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D28" w:rsidRPr="009460DA" w:rsidRDefault="00E92D28" w:rsidP="009460DA">
      <w:pPr>
        <w:spacing w:after="0" w:line="240" w:lineRule="auto"/>
        <w:jc w:val="both"/>
        <w:rPr>
          <w:rFonts w:ascii="Cambria" w:hAnsi="Cambria"/>
          <w:b/>
          <w:sz w:val="20"/>
          <w:szCs w:val="20"/>
          <w:lang w:val="en-US"/>
        </w:rPr>
      </w:pPr>
    </w:p>
    <w:p w:rsidR="00E92D28" w:rsidRPr="009460DA" w:rsidRDefault="00E92D28" w:rsidP="009460DA">
      <w:pPr>
        <w:spacing w:after="0" w:line="240" w:lineRule="auto"/>
        <w:jc w:val="both"/>
        <w:rPr>
          <w:rFonts w:ascii="Cambria" w:hAnsi="Cambria"/>
          <w:b/>
          <w:sz w:val="20"/>
          <w:szCs w:val="20"/>
          <w:lang w:val="en-US"/>
        </w:rPr>
      </w:pPr>
    </w:p>
    <w:p w:rsidR="00C066CE" w:rsidRPr="009460DA" w:rsidRDefault="00007C81" w:rsidP="009460DA">
      <w:pPr>
        <w:spacing w:after="0" w:line="240" w:lineRule="auto"/>
        <w:jc w:val="center"/>
        <w:rPr>
          <w:rFonts w:ascii="Cambria" w:hAnsi="Cambria"/>
          <w:b/>
          <w:sz w:val="20"/>
          <w:szCs w:val="20"/>
          <w:lang w:val="en-US"/>
        </w:rPr>
      </w:pPr>
      <w:r w:rsidRPr="009460DA">
        <w:rPr>
          <w:rFonts w:ascii="Cambria" w:hAnsi="Cambria"/>
          <w:b/>
          <w:sz w:val="20"/>
          <w:szCs w:val="20"/>
          <w:lang w:val="en-US"/>
        </w:rPr>
        <w:br w:type="textWrapping" w:clear="all"/>
      </w:r>
      <w:r w:rsidR="00822DA1" w:rsidRPr="009460DA">
        <w:rPr>
          <w:rFonts w:ascii="Cambria" w:hAnsi="Cambria"/>
          <w:b/>
          <w:noProof/>
          <w:sz w:val="20"/>
          <w:szCs w:val="20"/>
          <w:lang w:val="en-GB" w:eastAsia="en-GB"/>
        </w:rPr>
        <w:drawing>
          <wp:inline distT="0" distB="0" distL="0" distR="0">
            <wp:extent cx="4787900" cy="4540250"/>
            <wp:effectExtent l="19050" t="0" r="0" b="0"/>
            <wp:docPr id="65" name="Picture 65" descr="D:\Papers for Publication\ifrnd.org\images\IM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Papers for Publication\ifrnd.org\images\IMBR.jpg"/>
                    <pic:cNvPicPr>
                      <a:picLocks noChangeAspect="1" noChangeArrowheads="1"/>
                    </pic:cNvPicPr>
                  </pic:nvPicPr>
                  <pic:blipFill>
                    <a:blip r:embed="rId8" cstate="print"/>
                    <a:srcRect/>
                    <a:stretch>
                      <a:fillRect/>
                    </a:stretch>
                  </pic:blipFill>
                  <pic:spPr bwMode="auto">
                    <a:xfrm>
                      <a:off x="0" y="0"/>
                      <a:ext cx="4792974" cy="4545062"/>
                    </a:xfrm>
                    <a:prstGeom prst="rect">
                      <a:avLst/>
                    </a:prstGeom>
                    <a:noFill/>
                    <a:ln w="9525">
                      <a:noFill/>
                      <a:miter lim="800000"/>
                      <a:headEnd/>
                      <a:tailEnd/>
                    </a:ln>
                  </pic:spPr>
                </pic:pic>
              </a:graphicData>
            </a:graphic>
          </wp:inline>
        </w:drawing>
      </w:r>
    </w:p>
    <w:p w:rsidR="00C066CE" w:rsidRPr="009460DA" w:rsidRDefault="00902FB4" w:rsidP="009460DA">
      <w:pPr>
        <w:spacing w:after="0" w:line="240" w:lineRule="auto"/>
        <w:jc w:val="both"/>
        <w:rPr>
          <w:rFonts w:ascii="Cambria" w:hAnsi="Cambria"/>
          <w:b/>
          <w:sz w:val="20"/>
          <w:szCs w:val="20"/>
          <w:lang w:val="en-US"/>
        </w:rPr>
      </w:pPr>
      <w:r w:rsidRPr="00902FB4">
        <w:rPr>
          <w:rFonts w:ascii="Cambria" w:hAnsi="Cambria"/>
          <w:b/>
          <w:noProof/>
          <w:sz w:val="20"/>
          <w:szCs w:val="20"/>
          <w:lang w:val="en-US" w:eastAsia="zh-TW"/>
        </w:rPr>
        <w:pict>
          <v:shapetype id="_x0000_t202" coordsize="21600,21600" o:spt="202" path="m,l,21600r21600,l21600,xe">
            <v:stroke joinstyle="miter"/>
            <v:path gradientshapeok="t" o:connecttype="rect"/>
          </v:shapetype>
          <v:shape id="_x0000_s1169" type="#_x0000_t202" style="position:absolute;left:0;text-align:left;margin-left:49pt;margin-top:-.05pt;width:374pt;height:24.85pt;z-index:251735040;mso-width-relative:margin;mso-height-relative:margin" fillcolor="white [3201]" strokecolor="#b2a1c7 [1943]" strokeweight="1pt">
            <v:fill color2="#ccc0d9 [1303]" focusposition="1" focussize="" focus="100%" type="gradient"/>
            <v:shadow on="t" type="perspective" color="#3f3151 [1607]" opacity=".5" offset="1pt" offset2="-3pt"/>
            <v:textbox style="mso-next-textbox:#_x0000_s1169">
              <w:txbxContent>
                <w:p w:rsidR="008B2F5A" w:rsidRPr="00A85C64" w:rsidRDefault="008B2F5A" w:rsidP="00A85C64">
                  <w:pPr>
                    <w:jc w:val="center"/>
                    <w:rPr>
                      <w:rFonts w:ascii="Cambria" w:hAnsi="Cambria"/>
                      <w:b/>
                      <w:bCs/>
                      <w:sz w:val="20"/>
                      <w:szCs w:val="20"/>
                    </w:rPr>
                  </w:pPr>
                  <w:r w:rsidRPr="00A85C64">
                    <w:rPr>
                      <w:rFonts w:ascii="Cambria" w:hAnsi="Cambria"/>
                      <w:b/>
                      <w:bCs/>
                      <w:sz w:val="20"/>
                      <w:szCs w:val="20"/>
                      <w:lang w:val="en-US"/>
                    </w:rPr>
                    <w:t>Vol. 1</w:t>
                  </w:r>
                  <w:r>
                    <w:rPr>
                      <w:rFonts w:ascii="Cambria" w:hAnsi="Cambria"/>
                      <w:b/>
                      <w:bCs/>
                      <w:sz w:val="20"/>
                      <w:szCs w:val="20"/>
                      <w:lang w:val="en-US"/>
                    </w:rPr>
                    <w:t>5</w:t>
                  </w:r>
                  <w:r w:rsidRPr="00A85C64">
                    <w:rPr>
                      <w:rFonts w:ascii="Cambria" w:hAnsi="Cambria"/>
                      <w:b/>
                      <w:bCs/>
                      <w:sz w:val="20"/>
                      <w:szCs w:val="20"/>
                      <w:lang w:val="en-US"/>
                    </w:rPr>
                    <w:t xml:space="preserve"> No. </w:t>
                  </w:r>
                  <w:r w:rsidR="003A1358">
                    <w:rPr>
                      <w:rFonts w:ascii="Cambria" w:hAnsi="Cambria"/>
                      <w:b/>
                      <w:bCs/>
                      <w:sz w:val="20"/>
                      <w:szCs w:val="20"/>
                      <w:lang w:val="en-US"/>
                    </w:rPr>
                    <w:t>2</w:t>
                  </w:r>
                  <w:r w:rsidRPr="00A85C64">
                    <w:rPr>
                      <w:rFonts w:ascii="Cambria" w:hAnsi="Cambria"/>
                      <w:b/>
                      <w:bCs/>
                      <w:sz w:val="20"/>
                      <w:szCs w:val="20"/>
                      <w:lang w:val="en-US"/>
                    </w:rPr>
                    <w:tab/>
                  </w:r>
                  <w:r w:rsidRPr="00A85C64">
                    <w:rPr>
                      <w:rFonts w:ascii="Cambria" w:hAnsi="Cambria"/>
                      <w:b/>
                      <w:bCs/>
                      <w:sz w:val="20"/>
                      <w:szCs w:val="20"/>
                      <w:lang w:val="en-US"/>
                    </w:rPr>
                    <w:tab/>
                  </w:r>
                  <w:r>
                    <w:rPr>
                      <w:rFonts w:ascii="Cambria" w:hAnsi="Cambria"/>
                      <w:b/>
                      <w:bCs/>
                      <w:sz w:val="20"/>
                      <w:szCs w:val="20"/>
                      <w:lang w:val="en-US"/>
                    </w:rPr>
                    <w:tab/>
                  </w:r>
                  <w:r w:rsidRPr="00A85C64">
                    <w:rPr>
                      <w:rFonts w:ascii="Cambria" w:hAnsi="Cambria"/>
                      <w:b/>
                      <w:bCs/>
                      <w:sz w:val="20"/>
                      <w:szCs w:val="20"/>
                      <w:lang w:val="en-US"/>
                    </w:rPr>
                    <w:tab/>
                  </w:r>
                  <w:r w:rsidRPr="00A85C64">
                    <w:rPr>
                      <w:rFonts w:ascii="Cambria" w:hAnsi="Cambria"/>
                      <w:b/>
                      <w:bCs/>
                      <w:sz w:val="20"/>
                      <w:szCs w:val="20"/>
                      <w:lang w:val="en-US"/>
                    </w:rPr>
                    <w:tab/>
                  </w:r>
                  <w:r w:rsidRPr="00A85C64">
                    <w:rPr>
                      <w:rFonts w:ascii="Cambria" w:hAnsi="Cambria"/>
                      <w:b/>
                      <w:bCs/>
                      <w:sz w:val="20"/>
                      <w:szCs w:val="20"/>
                    </w:rPr>
                    <w:t>ISSN 2220-3796</w:t>
                  </w:r>
                </w:p>
              </w:txbxContent>
            </v:textbox>
          </v:shape>
        </w:pict>
      </w:r>
    </w:p>
    <w:p w:rsidR="00C066CE" w:rsidRPr="009460DA" w:rsidRDefault="00C066CE" w:rsidP="009460DA">
      <w:pPr>
        <w:spacing w:after="0" w:line="240" w:lineRule="auto"/>
        <w:jc w:val="both"/>
        <w:rPr>
          <w:rFonts w:ascii="Cambria" w:hAnsi="Cambria"/>
          <w:b/>
          <w:sz w:val="20"/>
          <w:szCs w:val="20"/>
          <w:lang w:val="en-US"/>
        </w:rPr>
      </w:pPr>
    </w:p>
    <w:p w:rsidR="00007C81" w:rsidRPr="009460DA" w:rsidRDefault="00007C81" w:rsidP="009460DA">
      <w:pPr>
        <w:spacing w:after="0" w:line="240" w:lineRule="auto"/>
        <w:jc w:val="both"/>
        <w:rPr>
          <w:rFonts w:ascii="Cambria" w:hAnsi="Cambria"/>
          <w:b/>
          <w:sz w:val="20"/>
          <w:szCs w:val="20"/>
          <w:lang w:val="en-US"/>
        </w:rPr>
      </w:pPr>
    </w:p>
    <w:p w:rsidR="00E92D28" w:rsidRPr="009460DA" w:rsidRDefault="00E92D28" w:rsidP="009460DA">
      <w:pPr>
        <w:spacing w:after="0" w:line="240" w:lineRule="auto"/>
        <w:jc w:val="both"/>
        <w:rPr>
          <w:rFonts w:ascii="Cambria" w:hAnsi="Cambria"/>
          <w:b/>
          <w:sz w:val="20"/>
          <w:szCs w:val="20"/>
          <w:lang w:val="en-US"/>
        </w:rPr>
      </w:pPr>
    </w:p>
    <w:p w:rsidR="00E92D28" w:rsidRPr="009460DA" w:rsidRDefault="00E92D28" w:rsidP="009460DA">
      <w:pPr>
        <w:spacing w:after="0" w:line="240" w:lineRule="auto"/>
        <w:jc w:val="both"/>
        <w:rPr>
          <w:rFonts w:ascii="Cambria" w:hAnsi="Cambria"/>
          <w:b/>
          <w:sz w:val="20"/>
          <w:szCs w:val="20"/>
          <w:lang w:val="en-US"/>
        </w:rPr>
      </w:pPr>
    </w:p>
    <w:p w:rsidR="00DE1053" w:rsidRPr="009460DA" w:rsidRDefault="00DE1053" w:rsidP="009460DA">
      <w:pPr>
        <w:spacing w:after="0" w:line="240" w:lineRule="auto"/>
        <w:jc w:val="both"/>
        <w:rPr>
          <w:rFonts w:ascii="Cambria" w:hAnsi="Cambria"/>
          <w:b/>
          <w:sz w:val="20"/>
          <w:szCs w:val="20"/>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822DA1" w:rsidRPr="009460DA" w:rsidRDefault="00822DA1"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eastAsia="MS Mincho" w:hAnsi="Cambria"/>
          <w:b/>
          <w:sz w:val="20"/>
          <w:szCs w:val="20"/>
          <w:lang w:val="en-US" w:eastAsia="ja-JP"/>
        </w:rPr>
      </w:pPr>
    </w:p>
    <w:p w:rsidR="006C648C" w:rsidRPr="009460DA" w:rsidRDefault="006C648C" w:rsidP="009460DA">
      <w:pPr>
        <w:spacing w:after="0" w:line="240" w:lineRule="auto"/>
        <w:jc w:val="both"/>
        <w:rPr>
          <w:rFonts w:ascii="Cambria" w:eastAsia="MS Mincho" w:hAnsi="Cambria"/>
          <w:b/>
          <w:sz w:val="20"/>
          <w:szCs w:val="20"/>
          <w:lang w:val="en-US" w:eastAsia="ja-JP"/>
        </w:rPr>
      </w:pPr>
    </w:p>
    <w:p w:rsidR="006C648C" w:rsidRPr="009460DA" w:rsidRDefault="006C648C" w:rsidP="009460DA">
      <w:pPr>
        <w:spacing w:after="0" w:line="240" w:lineRule="auto"/>
        <w:jc w:val="both"/>
        <w:rPr>
          <w:rFonts w:ascii="Cambria" w:eastAsia="MS Mincho" w:hAnsi="Cambria"/>
          <w:b/>
          <w:sz w:val="20"/>
          <w:szCs w:val="20"/>
          <w:lang w:val="en-US" w:eastAsia="ja-JP"/>
        </w:rPr>
      </w:pPr>
    </w:p>
    <w:p w:rsidR="00DE1053" w:rsidRPr="009460DA" w:rsidRDefault="00DE1053" w:rsidP="009460DA">
      <w:pPr>
        <w:spacing w:after="0" w:line="240" w:lineRule="auto"/>
        <w:jc w:val="both"/>
        <w:rPr>
          <w:rFonts w:ascii="Cambria" w:eastAsia="MS Mincho" w:hAnsi="Cambria"/>
          <w:b/>
          <w:sz w:val="20"/>
          <w:szCs w:val="20"/>
          <w:lang w:eastAsia="ja-JP"/>
        </w:rPr>
      </w:pPr>
    </w:p>
    <w:p w:rsidR="00DE1053" w:rsidRPr="009460DA" w:rsidRDefault="00DE1053"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DD6FA1" w:rsidRPr="009460DA" w:rsidRDefault="00DD6FA1" w:rsidP="009460DA">
      <w:pPr>
        <w:spacing w:after="0" w:line="240" w:lineRule="auto"/>
        <w:jc w:val="both"/>
        <w:rPr>
          <w:rFonts w:ascii="Cambria" w:hAnsi="Cambria"/>
          <w:b/>
          <w:sz w:val="20"/>
          <w:szCs w:val="20"/>
          <w:lang w:val="en-US"/>
        </w:rPr>
      </w:pPr>
    </w:p>
    <w:p w:rsidR="00220A92" w:rsidRPr="009460DA" w:rsidRDefault="00220A92" w:rsidP="009460DA">
      <w:pPr>
        <w:spacing w:after="0" w:line="240" w:lineRule="auto"/>
        <w:jc w:val="both"/>
        <w:rPr>
          <w:rFonts w:ascii="Cambria" w:hAnsi="Cambria"/>
          <w:b/>
          <w:sz w:val="20"/>
          <w:szCs w:val="20"/>
          <w:lang w:val="en-US"/>
        </w:rPr>
      </w:pPr>
    </w:p>
    <w:p w:rsidR="00DE1053" w:rsidRPr="009460DA" w:rsidRDefault="00DE1053" w:rsidP="009460DA">
      <w:pPr>
        <w:spacing w:after="0" w:line="240" w:lineRule="auto"/>
        <w:jc w:val="both"/>
        <w:rPr>
          <w:rFonts w:ascii="Cambria" w:hAnsi="Cambria"/>
          <w:b/>
          <w:sz w:val="20"/>
          <w:szCs w:val="20"/>
          <w:lang w:val="en-US"/>
        </w:rPr>
      </w:pPr>
      <w:r w:rsidRPr="009460DA">
        <w:rPr>
          <w:rFonts w:ascii="Cambria" w:hAnsi="Cambria"/>
          <w:b/>
          <w:sz w:val="20"/>
          <w:szCs w:val="20"/>
          <w:lang w:val="en-US"/>
        </w:rPr>
        <w:t>Editorial</w:t>
      </w:r>
    </w:p>
    <w:p w:rsidR="00A40819" w:rsidRPr="009460DA" w:rsidRDefault="00A40819" w:rsidP="009460DA">
      <w:pPr>
        <w:spacing w:after="0" w:line="240" w:lineRule="auto"/>
        <w:jc w:val="both"/>
        <w:rPr>
          <w:rFonts w:ascii="Cambria" w:hAnsi="Cambria"/>
          <w:b/>
          <w:sz w:val="20"/>
          <w:szCs w:val="20"/>
          <w:lang w:val="en-US"/>
        </w:rPr>
      </w:pPr>
    </w:p>
    <w:p w:rsidR="00DE1053" w:rsidRPr="009460DA" w:rsidRDefault="0029753B" w:rsidP="009460DA">
      <w:pPr>
        <w:shd w:val="clear" w:color="auto" w:fill="FFFFFF" w:themeFill="background1"/>
        <w:autoSpaceDE w:val="0"/>
        <w:autoSpaceDN w:val="0"/>
        <w:adjustRightInd w:val="0"/>
        <w:spacing w:after="0" w:line="240" w:lineRule="auto"/>
        <w:jc w:val="both"/>
        <w:rPr>
          <w:rFonts w:ascii="Cambria" w:hAnsi="Cambria"/>
          <w:sz w:val="20"/>
          <w:szCs w:val="20"/>
        </w:rPr>
      </w:pPr>
      <w:r w:rsidRPr="009460DA">
        <w:rPr>
          <w:rFonts w:ascii="Cambria" w:hAnsi="Cambria" w:cs="Times New Roman"/>
          <w:sz w:val="20"/>
          <w:szCs w:val="20"/>
          <w:lang w:val="en-US"/>
        </w:rPr>
        <w:t>Information Management and Business Review</w:t>
      </w:r>
      <w:r w:rsidR="00A40819" w:rsidRPr="009460DA">
        <w:rPr>
          <w:rFonts w:ascii="Cambria" w:hAnsi="Cambria" w:cs="Times New Roman"/>
          <w:sz w:val="20"/>
          <w:szCs w:val="20"/>
          <w:lang w:val="en-US"/>
        </w:rPr>
        <w:t xml:space="preserve"> (</w:t>
      </w:r>
      <w:r w:rsidRPr="009460DA">
        <w:rPr>
          <w:rFonts w:ascii="Cambria" w:hAnsi="Cambria" w:cs="Times New Roman"/>
          <w:sz w:val="20"/>
          <w:szCs w:val="20"/>
          <w:lang w:val="en-US"/>
        </w:rPr>
        <w:t>IMBR</w:t>
      </w:r>
      <w:r w:rsidR="00A40819" w:rsidRPr="009460DA">
        <w:rPr>
          <w:rFonts w:ascii="Cambria" w:hAnsi="Cambria" w:cs="Times New Roman"/>
          <w:sz w:val="20"/>
          <w:szCs w:val="20"/>
          <w:lang w:val="en-US"/>
        </w:rPr>
        <w:t xml:space="preserve">) </w:t>
      </w:r>
      <w:proofErr w:type="gramStart"/>
      <w:r w:rsidR="00A40819" w:rsidRPr="009460DA">
        <w:rPr>
          <w:rFonts w:ascii="Cambria" w:hAnsi="Cambria" w:cs="Times New Roman"/>
          <w:sz w:val="20"/>
          <w:szCs w:val="20"/>
          <w:lang w:val="en-US"/>
        </w:rPr>
        <w:t>provides</w:t>
      </w:r>
      <w:proofErr w:type="gramEnd"/>
      <w:r w:rsidR="006D459A" w:rsidRPr="009460DA">
        <w:rPr>
          <w:rFonts w:ascii="Cambria" w:hAnsi="Cambria" w:cs="Times New Roman"/>
          <w:sz w:val="20"/>
          <w:szCs w:val="20"/>
          <w:lang w:val="en-US"/>
        </w:rPr>
        <w:t xml:space="preserve"> a unique</w:t>
      </w:r>
      <w:r w:rsidR="00A40819" w:rsidRPr="009460DA">
        <w:rPr>
          <w:rFonts w:ascii="Cambria" w:hAnsi="Cambria" w:cs="Times New Roman"/>
          <w:sz w:val="20"/>
          <w:szCs w:val="20"/>
          <w:lang w:val="en-US"/>
        </w:rPr>
        <w:t xml:space="preserve"> </w:t>
      </w:r>
      <w:r w:rsidR="006D459A" w:rsidRPr="009460DA">
        <w:rPr>
          <w:rFonts w:ascii="Cambria" w:hAnsi="Cambria" w:cs="Times New Roman"/>
          <w:sz w:val="20"/>
          <w:szCs w:val="20"/>
          <w:lang w:val="en-US"/>
        </w:rPr>
        <w:t xml:space="preserve">platform </w:t>
      </w:r>
      <w:r w:rsidR="009A1D34" w:rsidRPr="009460DA">
        <w:rPr>
          <w:rFonts w:ascii="Cambria" w:hAnsi="Cambria" w:cs="Times New Roman"/>
          <w:sz w:val="20"/>
          <w:szCs w:val="20"/>
          <w:lang w:val="en-US"/>
        </w:rPr>
        <w:t>for</w:t>
      </w:r>
      <w:r w:rsidR="006D459A" w:rsidRPr="009460DA">
        <w:rPr>
          <w:rFonts w:ascii="Cambria" w:hAnsi="Cambria" w:cs="Times New Roman"/>
          <w:sz w:val="20"/>
          <w:szCs w:val="20"/>
          <w:lang w:val="en-US"/>
        </w:rPr>
        <w:t xml:space="preserve"> scholars around the world to share their knowledge and publish research work</w:t>
      </w:r>
      <w:r w:rsidR="00A40819" w:rsidRPr="009460DA">
        <w:rPr>
          <w:rFonts w:ascii="Cambria" w:hAnsi="Cambria" w:cs="Times New Roman"/>
          <w:sz w:val="20"/>
          <w:szCs w:val="20"/>
          <w:lang w:val="en-US"/>
        </w:rPr>
        <w:t xml:space="preserve"> in the fields of </w:t>
      </w:r>
      <w:r w:rsidR="006D459A" w:rsidRPr="009460DA">
        <w:rPr>
          <w:rFonts w:ascii="Cambria" w:hAnsi="Cambria" w:cs="Times New Roman"/>
          <w:sz w:val="20"/>
          <w:szCs w:val="20"/>
          <w:lang w:val="en-US"/>
        </w:rPr>
        <w:t xml:space="preserve">information management, </w:t>
      </w:r>
      <w:r w:rsidR="00D30007" w:rsidRPr="009460DA">
        <w:rPr>
          <w:rFonts w:ascii="Cambria" w:hAnsi="Cambria" w:cs="Times New Roman"/>
          <w:sz w:val="20"/>
          <w:szCs w:val="20"/>
          <w:lang w:val="en-US"/>
        </w:rPr>
        <w:t>business,</w:t>
      </w:r>
      <w:r w:rsidR="00592968" w:rsidRPr="009460DA">
        <w:rPr>
          <w:rFonts w:ascii="Cambria" w:hAnsi="Cambria" w:cs="Times New Roman"/>
          <w:sz w:val="20"/>
          <w:szCs w:val="20"/>
          <w:lang w:val="en-US"/>
        </w:rPr>
        <w:t xml:space="preserve"> </w:t>
      </w:r>
      <w:r w:rsidR="00D30007" w:rsidRPr="009460DA">
        <w:rPr>
          <w:rFonts w:ascii="Cambria" w:hAnsi="Cambria" w:cs="Times New Roman"/>
          <w:sz w:val="20"/>
          <w:szCs w:val="20"/>
          <w:lang w:val="en-US"/>
        </w:rPr>
        <w:t>management</w:t>
      </w:r>
      <w:r w:rsidR="00A40819" w:rsidRPr="009460DA">
        <w:rPr>
          <w:rFonts w:ascii="Cambria" w:hAnsi="Cambria" w:cs="Times New Roman"/>
          <w:sz w:val="20"/>
          <w:szCs w:val="20"/>
          <w:lang w:val="en-US"/>
        </w:rPr>
        <w:t xml:space="preserve"> and related disciplines. The</w:t>
      </w:r>
      <w:r w:rsidR="00592968" w:rsidRPr="009460DA">
        <w:rPr>
          <w:rFonts w:ascii="Cambria" w:hAnsi="Cambria" w:cs="Times New Roman"/>
          <w:sz w:val="20"/>
          <w:szCs w:val="20"/>
          <w:lang w:val="en-US"/>
        </w:rPr>
        <w:t xml:space="preserve"> work submitted for publication consideration in IMBR should address empirical and theoretical developments </w:t>
      </w:r>
      <w:r w:rsidR="00592968" w:rsidRPr="009460DA">
        <w:rPr>
          <w:rFonts w:ascii="Cambria" w:hAnsi="Cambria" w:cs="Times New Roman"/>
          <w:noProof/>
          <w:sz w:val="20"/>
          <w:szCs w:val="20"/>
          <w:lang w:val="en-US"/>
        </w:rPr>
        <w:t xml:space="preserve">in the subjects related to </w:t>
      </w:r>
      <w:r w:rsidR="00C54924" w:rsidRPr="009460DA">
        <w:rPr>
          <w:rFonts w:ascii="Cambria" w:hAnsi="Cambria" w:cs="Times New Roman"/>
          <w:noProof/>
          <w:sz w:val="20"/>
          <w:szCs w:val="20"/>
          <w:lang w:val="en-US"/>
        </w:rPr>
        <w:t xml:space="preserve">the </w:t>
      </w:r>
      <w:r w:rsidR="00592968" w:rsidRPr="009460DA">
        <w:rPr>
          <w:rFonts w:ascii="Cambria" w:hAnsi="Cambria" w:cs="Times New Roman"/>
          <w:noProof/>
          <w:sz w:val="20"/>
          <w:szCs w:val="20"/>
          <w:lang w:val="en-US"/>
        </w:rPr>
        <w:t xml:space="preserve">scope of the journal in particular and allied </w:t>
      </w:r>
      <w:r w:rsidR="00A40819" w:rsidRPr="009460DA">
        <w:rPr>
          <w:rFonts w:ascii="Cambria" w:hAnsi="Cambria" w:cs="Times New Roman"/>
          <w:noProof/>
          <w:sz w:val="20"/>
          <w:szCs w:val="20"/>
          <w:lang w:val="en-US"/>
        </w:rPr>
        <w:t xml:space="preserve">theories and practices </w:t>
      </w:r>
      <w:r w:rsidR="00592968" w:rsidRPr="009460DA">
        <w:rPr>
          <w:rFonts w:ascii="Cambria" w:hAnsi="Cambria" w:cs="Times New Roman"/>
          <w:noProof/>
          <w:sz w:val="20"/>
          <w:szCs w:val="20"/>
          <w:lang w:val="en-US"/>
        </w:rPr>
        <w:t>in</w:t>
      </w:r>
      <w:r w:rsidR="00A40819" w:rsidRPr="009460DA">
        <w:rPr>
          <w:rFonts w:ascii="Cambria" w:hAnsi="Cambria" w:cs="Times New Roman"/>
          <w:noProof/>
          <w:sz w:val="20"/>
          <w:szCs w:val="20"/>
          <w:lang w:val="en-US"/>
        </w:rPr>
        <w:t xml:space="preserve"> general. </w:t>
      </w:r>
      <w:r w:rsidR="00592968" w:rsidRPr="009460DA">
        <w:rPr>
          <w:rFonts w:ascii="Cambria" w:hAnsi="Cambria" w:cs="Times New Roman"/>
          <w:noProof/>
          <w:sz w:val="20"/>
          <w:szCs w:val="20"/>
          <w:lang w:val="en-US"/>
        </w:rPr>
        <w:t>Scope of</w:t>
      </w:r>
      <w:r w:rsidR="00592968" w:rsidRPr="009460DA">
        <w:rPr>
          <w:rFonts w:ascii="Cambria" w:hAnsi="Cambria" w:cs="Times New Roman"/>
          <w:sz w:val="20"/>
          <w:szCs w:val="20"/>
          <w:lang w:val="en-US"/>
        </w:rPr>
        <w:t xml:space="preserve"> IMBR includes:</w:t>
      </w:r>
      <w:r w:rsidR="00B80E60" w:rsidRPr="009460DA">
        <w:rPr>
          <w:rFonts w:ascii="Cambria" w:hAnsi="Cambria" w:cs="Times New Roman"/>
          <w:sz w:val="20"/>
          <w:szCs w:val="20"/>
          <w:lang w:val="en-US"/>
        </w:rPr>
        <w:t xml:space="preserve"> subjects of</w:t>
      </w:r>
      <w:r w:rsidR="00A40819" w:rsidRPr="009460DA">
        <w:rPr>
          <w:rFonts w:ascii="Cambria" w:hAnsi="Cambria" w:cs="Times New Roman"/>
          <w:sz w:val="20"/>
          <w:szCs w:val="20"/>
          <w:lang w:val="en-US"/>
        </w:rPr>
        <w:t xml:space="preserve"> </w:t>
      </w:r>
      <w:r w:rsidR="001B3A8D" w:rsidRPr="009460DA">
        <w:rPr>
          <w:rFonts w:ascii="Cambria" w:hAnsi="Cambria" w:cs="Times New Roman"/>
          <w:sz w:val="20"/>
          <w:szCs w:val="20"/>
          <w:lang w:val="en-US"/>
        </w:rPr>
        <w:t>finance, accounting, auditing, cost &amp; management accounting, financial psychology, financial literacy, marketing, information management, human resource management, knowledge management, innovation, change management, enterprise management, e-</w:t>
      </w:r>
      <w:r w:rsidR="00313315" w:rsidRPr="009460DA">
        <w:rPr>
          <w:rFonts w:ascii="Cambria" w:hAnsi="Cambria" w:cs="Times New Roman"/>
          <w:sz w:val="20"/>
          <w:szCs w:val="20"/>
          <w:lang w:val="en-US"/>
        </w:rPr>
        <w:t>commerce and information system</w:t>
      </w:r>
      <w:r w:rsidR="00E9563C" w:rsidRPr="009460DA">
        <w:rPr>
          <w:rFonts w:ascii="Cambria" w:hAnsi="Cambria" w:cs="Times New Roman"/>
          <w:sz w:val="20"/>
          <w:szCs w:val="20"/>
          <w:lang w:val="en-US"/>
        </w:rPr>
        <w:t>.</w:t>
      </w:r>
      <w:r w:rsidR="00A40819" w:rsidRPr="009460DA">
        <w:rPr>
          <w:rFonts w:ascii="Cambria" w:hAnsi="Cambria" w:cs="Times New Roman"/>
          <w:sz w:val="20"/>
          <w:szCs w:val="20"/>
          <w:lang w:val="en-US"/>
        </w:rPr>
        <w:t xml:space="preserve"> </w:t>
      </w:r>
      <w:r w:rsidR="00A40819" w:rsidRPr="009460DA">
        <w:rPr>
          <w:rFonts w:ascii="Cambria" w:hAnsi="Cambria" w:cs="Times New Roman"/>
          <w:noProof/>
          <w:sz w:val="20"/>
          <w:szCs w:val="20"/>
          <w:lang w:val="en-US"/>
        </w:rPr>
        <w:t>Author(s) should declare that work submitted to the journal is original, not under consideration for publication by another journal and that all listed author</w:t>
      </w:r>
      <w:r w:rsidR="00E9563C" w:rsidRPr="009460DA">
        <w:rPr>
          <w:rFonts w:ascii="Cambria" w:hAnsi="Cambria" w:cs="Times New Roman"/>
          <w:noProof/>
          <w:sz w:val="20"/>
          <w:szCs w:val="20"/>
          <w:lang w:val="en-US"/>
        </w:rPr>
        <w:t>s approve its submission to</w:t>
      </w:r>
      <w:r w:rsidR="00E9563C" w:rsidRPr="009460DA">
        <w:rPr>
          <w:rFonts w:ascii="Cambria" w:hAnsi="Cambria" w:cs="Times New Roman"/>
          <w:sz w:val="20"/>
          <w:szCs w:val="20"/>
          <w:lang w:val="en-US"/>
        </w:rPr>
        <w:t xml:space="preserve"> </w:t>
      </w:r>
      <w:r w:rsidR="00AF6062" w:rsidRPr="009460DA">
        <w:rPr>
          <w:rFonts w:ascii="Cambria" w:hAnsi="Cambria" w:cs="Times New Roman"/>
          <w:sz w:val="20"/>
          <w:szCs w:val="20"/>
          <w:lang w:val="en-US"/>
        </w:rPr>
        <w:t>IMBR</w:t>
      </w:r>
      <w:r w:rsidR="00E9563C" w:rsidRPr="009460DA">
        <w:rPr>
          <w:rFonts w:ascii="Cambria" w:hAnsi="Cambria" w:cs="Times New Roman"/>
          <w:sz w:val="20"/>
          <w:szCs w:val="20"/>
          <w:lang w:val="en-US"/>
        </w:rPr>
        <w:t xml:space="preserve">. It is </w:t>
      </w:r>
      <w:r w:rsidR="00AF6062" w:rsidRPr="009460DA">
        <w:rPr>
          <w:rFonts w:ascii="Cambria" w:hAnsi="Cambria" w:cs="Times New Roman"/>
          <w:sz w:val="20"/>
          <w:szCs w:val="20"/>
          <w:lang w:val="en-US"/>
        </w:rPr>
        <w:t>IMBR</w:t>
      </w:r>
      <w:r w:rsidR="00A40819" w:rsidRPr="009460DA">
        <w:rPr>
          <w:rFonts w:ascii="Cambria" w:hAnsi="Cambria" w:cs="Times New Roman"/>
          <w:sz w:val="20"/>
          <w:szCs w:val="20"/>
          <w:lang w:val="en-US"/>
        </w:rPr>
        <w:t xml:space="preserve"> </w:t>
      </w:r>
      <w:r w:rsidR="00A40819" w:rsidRPr="009460DA">
        <w:rPr>
          <w:rFonts w:ascii="Cambria" w:hAnsi="Cambria" w:cs="Times New Roman"/>
          <w:noProof/>
          <w:sz w:val="20"/>
          <w:szCs w:val="20"/>
          <w:lang w:val="en-US"/>
        </w:rPr>
        <w:t>policy to welcome submissions for consideration, which are original, and not under consideration for publication by another journal at the same time. Author (s) can submit: Research Paper, Conceptual Paper, Case Studies and Book Review.</w:t>
      </w:r>
      <w:r w:rsidR="002A4642" w:rsidRPr="009460DA">
        <w:rPr>
          <w:rFonts w:ascii="Cambria" w:hAnsi="Cambria" w:cs="Times New Roman"/>
          <w:noProof/>
          <w:sz w:val="20"/>
          <w:szCs w:val="20"/>
          <w:lang w:val="en-US"/>
        </w:rPr>
        <w:t xml:space="preserve"> </w:t>
      </w:r>
      <w:r w:rsidR="00DE1053" w:rsidRPr="009460DA">
        <w:rPr>
          <w:rFonts w:ascii="Cambria" w:hAnsi="Cambria" w:cs="Times New Roman"/>
          <w:noProof/>
          <w:sz w:val="20"/>
          <w:szCs w:val="20"/>
          <w:lang w:val="en-US"/>
        </w:rPr>
        <w:t>The current issue of</w:t>
      </w:r>
      <w:r w:rsidR="00DE1053" w:rsidRPr="009460DA">
        <w:rPr>
          <w:rFonts w:ascii="Cambria" w:hAnsi="Cambria" w:cs="Times New Roman"/>
          <w:sz w:val="20"/>
          <w:szCs w:val="20"/>
          <w:lang w:val="en-US"/>
        </w:rPr>
        <w:t xml:space="preserve"> </w:t>
      </w:r>
      <w:r w:rsidR="00AF6062" w:rsidRPr="009460DA">
        <w:rPr>
          <w:rFonts w:ascii="Cambria" w:hAnsi="Cambria" w:cs="Times New Roman"/>
          <w:sz w:val="20"/>
          <w:szCs w:val="20"/>
          <w:lang w:val="en-US"/>
        </w:rPr>
        <w:t>IMBR</w:t>
      </w:r>
      <w:r w:rsidR="00DE1053" w:rsidRPr="009460DA">
        <w:rPr>
          <w:rFonts w:ascii="Cambria" w:hAnsi="Cambria" w:cs="Times New Roman"/>
          <w:sz w:val="20"/>
          <w:szCs w:val="20"/>
          <w:lang w:val="en-US"/>
        </w:rPr>
        <w:t xml:space="preserve"> </w:t>
      </w:r>
      <w:r w:rsidR="00A40819" w:rsidRPr="009460DA">
        <w:rPr>
          <w:rFonts w:ascii="Cambria" w:hAnsi="Cambria" w:cs="Times New Roman"/>
          <w:sz w:val="20"/>
          <w:szCs w:val="20"/>
          <w:lang w:val="en-US"/>
        </w:rPr>
        <w:t>comprises papers of scholars from</w:t>
      </w:r>
      <w:r w:rsidR="009A009E" w:rsidRPr="009460DA">
        <w:rPr>
          <w:rFonts w:ascii="Cambria" w:hAnsi="Cambria" w:cs="Times New Roman"/>
          <w:sz w:val="20"/>
          <w:szCs w:val="20"/>
          <w:lang w:val="en-US"/>
        </w:rPr>
        <w:t xml:space="preserve"> </w:t>
      </w:r>
      <w:r w:rsidR="004C738B" w:rsidRPr="009460DA">
        <w:rPr>
          <w:rFonts w:ascii="Cambria" w:hAnsi="Cambria" w:cs="Times New Roman"/>
          <w:sz w:val="20"/>
          <w:szCs w:val="20"/>
          <w:lang w:val="en-US"/>
        </w:rPr>
        <w:t>Malaysia</w:t>
      </w:r>
      <w:r w:rsidR="003A1358" w:rsidRPr="009460DA">
        <w:rPr>
          <w:rFonts w:ascii="Cambria" w:hAnsi="Cambria" w:cs="Times New Roman"/>
          <w:sz w:val="20"/>
          <w:szCs w:val="20"/>
          <w:lang w:val="en-US"/>
        </w:rPr>
        <w:t xml:space="preserve"> and Tunis</w:t>
      </w:r>
      <w:r w:rsidR="00A57764" w:rsidRPr="009460DA">
        <w:rPr>
          <w:rFonts w:ascii="Cambria" w:hAnsi="Cambria" w:cs="Times New Roman"/>
          <w:sz w:val="20"/>
          <w:szCs w:val="20"/>
          <w:lang w:val="en-US"/>
        </w:rPr>
        <w:t>.</w:t>
      </w:r>
      <w:r w:rsidR="001C2436" w:rsidRPr="009460DA">
        <w:rPr>
          <w:rFonts w:ascii="Cambria" w:hAnsi="Cambria" w:cs="Times New Roman"/>
          <w:sz w:val="20"/>
          <w:szCs w:val="20"/>
          <w:lang w:val="en-US"/>
        </w:rPr>
        <w:t xml:space="preserve"> </w:t>
      </w:r>
      <w:r w:rsidR="004C738B" w:rsidRPr="009460DA">
        <w:rPr>
          <w:rFonts w:ascii="Cambria" w:hAnsi="Cambria"/>
          <w:sz w:val="20"/>
          <w:szCs w:val="20"/>
        </w:rPr>
        <w:t>Effectiveness of Microfinance Program on Women’s Empowerment</w:t>
      </w:r>
      <w:r w:rsidR="004C738B" w:rsidRPr="009460DA">
        <w:rPr>
          <w:rFonts w:ascii="Cambria" w:hAnsi="Cambria"/>
          <w:sz w:val="20"/>
          <w:szCs w:val="20"/>
          <w:lang w:val="en-US"/>
        </w:rPr>
        <w:t>,</w:t>
      </w:r>
      <w:r w:rsidR="00653982" w:rsidRPr="009460DA">
        <w:rPr>
          <w:rFonts w:ascii="Cambria" w:hAnsi="Cambria"/>
          <w:sz w:val="20"/>
          <w:szCs w:val="20"/>
          <w:lang w:val="en-US"/>
        </w:rPr>
        <w:t xml:space="preserve"> </w:t>
      </w:r>
      <w:r w:rsidR="00653982" w:rsidRPr="009460DA">
        <w:rPr>
          <w:rFonts w:ascii="Cambria" w:eastAsia="Cambria" w:hAnsi="Cambria" w:cs="Cambria"/>
          <w:sz w:val="20"/>
          <w:szCs w:val="20"/>
        </w:rPr>
        <w:t>Job Satisfaction and Turnover Intention among Employees in Educity</w:t>
      </w:r>
      <w:r w:rsidR="00653982" w:rsidRPr="009460DA">
        <w:rPr>
          <w:rFonts w:ascii="Cambria" w:eastAsia="Cambria" w:hAnsi="Cambria" w:cs="Cambria"/>
          <w:sz w:val="20"/>
          <w:szCs w:val="20"/>
          <w:lang w:val="en-US"/>
        </w:rPr>
        <w:t xml:space="preserve">, </w:t>
      </w:r>
      <w:r w:rsidR="00653982" w:rsidRPr="009460DA">
        <w:rPr>
          <w:rFonts w:ascii="Cambria" w:hAnsi="Cambria" w:cstheme="majorBidi"/>
          <w:bCs/>
          <w:sz w:val="20"/>
          <w:szCs w:val="20"/>
          <w:lang w:val="en-ZA"/>
        </w:rPr>
        <w:t>Does Internal Audit Quality Improve Firm Performance,</w:t>
      </w:r>
      <w:r w:rsidR="008B2F5A" w:rsidRPr="009460DA">
        <w:rPr>
          <w:rFonts w:ascii="Cambria" w:hAnsi="Cambria" w:cstheme="majorBidi"/>
          <w:bCs/>
          <w:sz w:val="20"/>
          <w:szCs w:val="20"/>
          <w:lang w:val="en-ZA"/>
        </w:rPr>
        <w:t xml:space="preserve"> </w:t>
      </w:r>
      <w:r w:rsidR="008B2F5A" w:rsidRPr="009460DA">
        <w:rPr>
          <w:rFonts w:ascii="Cambria" w:hAnsi="Cambria" w:cs="Arial"/>
          <w:bCs/>
          <w:sz w:val="20"/>
          <w:szCs w:val="20"/>
        </w:rPr>
        <w:t>Examining the Relationship of Customer Satisfaction and Brand Loyalty in Sports Products</w:t>
      </w:r>
      <w:r w:rsidR="008B2F5A" w:rsidRPr="009460DA">
        <w:rPr>
          <w:rFonts w:ascii="Cambria" w:hAnsi="Cambria" w:cs="Arial"/>
          <w:bCs/>
          <w:sz w:val="20"/>
          <w:szCs w:val="20"/>
          <w:lang w:val="en-US"/>
        </w:rPr>
        <w:t>,</w:t>
      </w:r>
      <w:r w:rsidR="00077D92" w:rsidRPr="009460DA">
        <w:rPr>
          <w:rFonts w:ascii="Cambria" w:hAnsi="Cambria" w:cs="Arial"/>
          <w:bCs/>
          <w:sz w:val="20"/>
          <w:szCs w:val="20"/>
          <w:lang w:val="en-US"/>
        </w:rPr>
        <w:t xml:space="preserve"> </w:t>
      </w:r>
      <w:r w:rsidR="00077D92" w:rsidRPr="009460DA">
        <w:rPr>
          <w:rFonts w:ascii="Cambria" w:hAnsi="Cambria" w:cs="Times New Roman"/>
          <w:bCs/>
          <w:sz w:val="20"/>
          <w:szCs w:val="20"/>
        </w:rPr>
        <w:t>A Review of the Critical Gaps in the Food Security Literature</w:t>
      </w:r>
      <w:r w:rsidR="00F730A4">
        <w:rPr>
          <w:rFonts w:ascii="Cambria" w:hAnsi="Cambria" w:cs="Times New Roman"/>
          <w:bCs/>
          <w:sz w:val="20"/>
          <w:szCs w:val="20"/>
          <w:lang w:val="en-US"/>
        </w:rPr>
        <w:t>,</w:t>
      </w:r>
      <w:r w:rsidR="003A1358" w:rsidRPr="009460DA">
        <w:rPr>
          <w:rFonts w:ascii="Cambria" w:hAnsi="Cambria" w:cs="Times New Roman"/>
          <w:bCs/>
          <w:sz w:val="20"/>
          <w:szCs w:val="20"/>
          <w:lang w:val="en-US"/>
        </w:rPr>
        <w:t xml:space="preserve"> </w:t>
      </w:r>
      <w:r w:rsidR="003A1358" w:rsidRPr="009460DA">
        <w:rPr>
          <w:rFonts w:ascii="Cambria" w:hAnsi="Cambria" w:cs="Arial"/>
          <w:bCs/>
          <w:sz w:val="20"/>
          <w:szCs w:val="20"/>
        </w:rPr>
        <w:t>The Effect of HRM Practices on Organizational Performance</w:t>
      </w:r>
      <w:r w:rsidR="00F730A4">
        <w:rPr>
          <w:rFonts w:ascii="Cambria" w:hAnsi="Cambria" w:cs="Arial"/>
          <w:bCs/>
          <w:sz w:val="20"/>
          <w:szCs w:val="20"/>
          <w:lang w:val="en-US"/>
        </w:rPr>
        <w:t xml:space="preserve"> and </w:t>
      </w:r>
      <w:r w:rsidR="00F730A4" w:rsidRPr="00646FE1">
        <w:rPr>
          <w:rFonts w:ascii="Cambria" w:hAnsi="Cambria"/>
          <w:sz w:val="20"/>
          <w:szCs w:val="20"/>
          <w:lang w:val="en-MY"/>
        </w:rPr>
        <w:t>Modelling Online Shopping Behaviour Patterns among Higher Education Consumers</w:t>
      </w:r>
      <w:r w:rsidR="00F730A4">
        <w:rPr>
          <w:rFonts w:ascii="Cambria" w:hAnsi="Cambria"/>
          <w:sz w:val="20"/>
          <w:szCs w:val="20"/>
          <w:lang w:val="en-MY"/>
        </w:rPr>
        <w:t xml:space="preserve"> </w:t>
      </w:r>
      <w:r w:rsidR="008D0347" w:rsidRPr="009460DA">
        <w:rPr>
          <w:rFonts w:ascii="Cambria" w:hAnsi="Cambria" w:cs="Times New Roman"/>
          <w:bCs/>
          <w:sz w:val="20"/>
          <w:szCs w:val="20"/>
        </w:rPr>
        <w:t>a</w:t>
      </w:r>
      <w:r w:rsidR="009C74C3" w:rsidRPr="009460DA">
        <w:rPr>
          <w:rFonts w:ascii="Cambria" w:hAnsi="Cambria" w:cs="Times New Roman"/>
          <w:bCs/>
          <w:sz w:val="20"/>
          <w:szCs w:val="20"/>
        </w:rPr>
        <w:t xml:space="preserve">re </w:t>
      </w:r>
      <w:r w:rsidR="009C74C3" w:rsidRPr="009460DA">
        <w:rPr>
          <w:rFonts w:ascii="Cambria" w:hAnsi="Cambria" w:cs="Times New Roman"/>
          <w:bCs/>
          <w:noProof/>
          <w:sz w:val="20"/>
          <w:szCs w:val="20"/>
        </w:rPr>
        <w:t>some of</w:t>
      </w:r>
      <w:r w:rsidR="009C74C3" w:rsidRPr="009460DA">
        <w:rPr>
          <w:rFonts w:ascii="Cambria" w:hAnsi="Cambria" w:cs="Times New Roman"/>
          <w:noProof/>
          <w:sz w:val="20"/>
          <w:szCs w:val="20"/>
          <w:lang w:val="en-US"/>
        </w:rPr>
        <w:t xml:space="preserve"> the m</w:t>
      </w:r>
      <w:r w:rsidR="00690EFA" w:rsidRPr="009460DA">
        <w:rPr>
          <w:rFonts w:ascii="Cambria" w:hAnsi="Cambria" w:cs="Times New Roman"/>
          <w:noProof/>
          <w:sz w:val="20"/>
          <w:szCs w:val="20"/>
          <w:lang w:val="en-US"/>
        </w:rPr>
        <w:t>ajor practices and concepts</w:t>
      </w:r>
      <w:r w:rsidR="009C74C3" w:rsidRPr="009460DA">
        <w:rPr>
          <w:rFonts w:ascii="Cambria" w:hAnsi="Cambria" w:cs="Times New Roman"/>
          <w:noProof/>
          <w:sz w:val="20"/>
          <w:szCs w:val="20"/>
          <w:lang w:val="en-US"/>
        </w:rPr>
        <w:t xml:space="preserve"> examined in these studies.</w:t>
      </w:r>
      <w:r w:rsidR="00A40819" w:rsidRPr="009460DA">
        <w:rPr>
          <w:rFonts w:ascii="Cambria" w:hAnsi="Cambria" w:cs="Times New Roman"/>
          <w:noProof/>
          <w:sz w:val="20"/>
          <w:szCs w:val="20"/>
          <w:lang w:val="en-US"/>
        </w:rPr>
        <w:t xml:space="preserve"> </w:t>
      </w:r>
      <w:r w:rsidR="009C74C3" w:rsidRPr="009460DA">
        <w:rPr>
          <w:rFonts w:ascii="Cambria" w:hAnsi="Cambria" w:cs="Times New Roman"/>
          <w:noProof/>
          <w:sz w:val="20"/>
          <w:szCs w:val="20"/>
          <w:lang w:val="en-US"/>
        </w:rPr>
        <w:t>Journal</w:t>
      </w:r>
      <w:r w:rsidR="00DE1053" w:rsidRPr="009460DA">
        <w:rPr>
          <w:rFonts w:ascii="Cambria" w:hAnsi="Cambria"/>
          <w:noProof/>
          <w:sz w:val="20"/>
          <w:szCs w:val="20"/>
        </w:rPr>
        <w:t xml:space="preserve"> </w:t>
      </w:r>
      <w:r w:rsidR="009C74C3" w:rsidRPr="009460DA">
        <w:rPr>
          <w:rFonts w:ascii="Cambria" w:hAnsi="Cambria"/>
          <w:noProof/>
          <w:sz w:val="20"/>
          <w:szCs w:val="20"/>
          <w:lang w:val="en-US"/>
        </w:rPr>
        <w:t>received</w:t>
      </w:r>
      <w:r w:rsidR="00DE1053" w:rsidRPr="009460DA">
        <w:rPr>
          <w:rFonts w:ascii="Cambria" w:hAnsi="Cambria"/>
          <w:noProof/>
          <w:sz w:val="20"/>
          <w:szCs w:val="20"/>
        </w:rPr>
        <w:t xml:space="preserve"> research submission related to all aspects of major themes and tracks. All the submitted papers </w:t>
      </w:r>
      <w:r w:rsidR="009C74C3" w:rsidRPr="009460DA">
        <w:rPr>
          <w:rFonts w:ascii="Cambria" w:hAnsi="Cambria"/>
          <w:noProof/>
          <w:sz w:val="20"/>
          <w:szCs w:val="20"/>
          <w:lang w:val="en-US"/>
        </w:rPr>
        <w:t xml:space="preserve">were first assessed by the </w:t>
      </w:r>
      <w:r w:rsidR="009C74C3" w:rsidRPr="009460DA">
        <w:rPr>
          <w:rFonts w:ascii="Cambria" w:hAnsi="Cambria"/>
          <w:noProof/>
          <w:sz w:val="20"/>
          <w:szCs w:val="20"/>
        </w:rPr>
        <w:t xml:space="preserve">editorial </w:t>
      </w:r>
      <w:r w:rsidR="009C74C3" w:rsidRPr="009460DA">
        <w:rPr>
          <w:rFonts w:ascii="Cambria" w:hAnsi="Cambria"/>
          <w:noProof/>
          <w:sz w:val="20"/>
          <w:szCs w:val="20"/>
          <w:lang w:val="en-US"/>
        </w:rPr>
        <w:t>team for relevance and originality of the work and blindly</w:t>
      </w:r>
      <w:r w:rsidR="009C74C3" w:rsidRPr="009460DA">
        <w:rPr>
          <w:rFonts w:ascii="Cambria" w:hAnsi="Cambria"/>
          <w:noProof/>
          <w:sz w:val="20"/>
          <w:szCs w:val="20"/>
        </w:rPr>
        <w:t xml:space="preserve"> peer</w:t>
      </w:r>
      <w:r w:rsidR="00C54924" w:rsidRPr="009460DA">
        <w:rPr>
          <w:rFonts w:ascii="Cambria" w:hAnsi="Cambria"/>
          <w:noProof/>
          <w:sz w:val="20"/>
          <w:szCs w:val="20"/>
        </w:rPr>
        <w:t>-</w:t>
      </w:r>
      <w:r w:rsidR="009C74C3" w:rsidRPr="009460DA">
        <w:rPr>
          <w:rFonts w:ascii="Cambria" w:hAnsi="Cambria"/>
          <w:noProof/>
          <w:sz w:val="20"/>
          <w:szCs w:val="20"/>
        </w:rPr>
        <w:t xml:space="preserve">reviewed by the </w:t>
      </w:r>
      <w:r w:rsidR="00DE1053" w:rsidRPr="009460DA">
        <w:rPr>
          <w:rFonts w:ascii="Cambria" w:hAnsi="Cambria"/>
          <w:noProof/>
          <w:sz w:val="20"/>
          <w:szCs w:val="20"/>
        </w:rPr>
        <w:t>external reviewers</w:t>
      </w:r>
      <w:r w:rsidR="009C74C3" w:rsidRPr="009460DA">
        <w:rPr>
          <w:rFonts w:ascii="Cambria" w:hAnsi="Cambria"/>
          <w:noProof/>
          <w:sz w:val="20"/>
          <w:szCs w:val="20"/>
          <w:lang w:val="en-US"/>
        </w:rPr>
        <w:t xml:space="preserve"> </w:t>
      </w:r>
      <w:r w:rsidR="00DE1053" w:rsidRPr="009460DA">
        <w:rPr>
          <w:rFonts w:ascii="Cambria" w:hAnsi="Cambria"/>
          <w:noProof/>
          <w:sz w:val="20"/>
          <w:szCs w:val="20"/>
        </w:rPr>
        <w:t>depending on the subject matter of the paper. After the rigorous peer-review process, the submitted papers were selected based on originalit</w:t>
      </w:r>
      <w:r w:rsidR="00690EFA" w:rsidRPr="009460DA">
        <w:rPr>
          <w:rFonts w:ascii="Cambria" w:hAnsi="Cambria"/>
          <w:noProof/>
          <w:sz w:val="20"/>
          <w:szCs w:val="20"/>
        </w:rPr>
        <w:t xml:space="preserve">y, significance, and clarity </w:t>
      </w:r>
      <w:r w:rsidR="00690EFA" w:rsidRPr="009460DA">
        <w:rPr>
          <w:rFonts w:ascii="Cambria" w:hAnsi="Cambria"/>
          <w:noProof/>
          <w:sz w:val="20"/>
          <w:szCs w:val="20"/>
          <w:lang w:val="en-US"/>
        </w:rPr>
        <w:t>of</w:t>
      </w:r>
      <w:r w:rsidR="00DE1053" w:rsidRPr="009460DA">
        <w:rPr>
          <w:rFonts w:ascii="Cambria" w:hAnsi="Cambria"/>
          <w:noProof/>
          <w:sz w:val="20"/>
          <w:szCs w:val="20"/>
        </w:rPr>
        <w:t xml:space="preserve"> the purpose. </w:t>
      </w:r>
      <w:r w:rsidR="00C54924" w:rsidRPr="009460DA">
        <w:rPr>
          <w:rFonts w:ascii="Cambria" w:hAnsi="Cambria"/>
          <w:noProof/>
          <w:sz w:val="20"/>
          <w:szCs w:val="20"/>
          <w:lang w:val="en-US"/>
        </w:rPr>
        <w:t>The c</w:t>
      </w:r>
      <w:r w:rsidR="002A4642" w:rsidRPr="009460DA">
        <w:rPr>
          <w:rFonts w:ascii="Cambria" w:hAnsi="Cambria"/>
          <w:noProof/>
          <w:sz w:val="20"/>
          <w:szCs w:val="20"/>
          <w:lang w:val="en-US"/>
        </w:rPr>
        <w:t>urrent issue</w:t>
      </w:r>
      <w:r w:rsidR="00DE1053" w:rsidRPr="009460DA">
        <w:rPr>
          <w:rFonts w:ascii="Cambria" w:hAnsi="Cambria"/>
          <w:noProof/>
          <w:sz w:val="20"/>
          <w:szCs w:val="20"/>
        </w:rPr>
        <w:t xml:space="preserve"> will therefore be a unique </w:t>
      </w:r>
      <w:r w:rsidR="002A4642" w:rsidRPr="009460DA">
        <w:rPr>
          <w:rFonts w:ascii="Cambria" w:hAnsi="Cambria"/>
          <w:noProof/>
          <w:sz w:val="20"/>
          <w:szCs w:val="20"/>
          <w:lang w:val="en-US"/>
        </w:rPr>
        <w:t>offer</w:t>
      </w:r>
      <w:r w:rsidR="00DE1053" w:rsidRPr="009460DA">
        <w:rPr>
          <w:rFonts w:ascii="Cambria" w:hAnsi="Cambria"/>
          <w:noProof/>
          <w:sz w:val="20"/>
          <w:szCs w:val="20"/>
        </w:rPr>
        <w:t xml:space="preserve">, where </w:t>
      </w:r>
      <w:r w:rsidR="002A4642" w:rsidRPr="009460DA">
        <w:rPr>
          <w:rFonts w:ascii="Cambria" w:hAnsi="Cambria"/>
          <w:noProof/>
          <w:sz w:val="20"/>
          <w:szCs w:val="20"/>
          <w:lang w:val="en-US"/>
        </w:rPr>
        <w:t>scholars</w:t>
      </w:r>
      <w:r w:rsidR="00DE1053" w:rsidRPr="009460DA">
        <w:rPr>
          <w:rFonts w:ascii="Cambria" w:hAnsi="Cambria"/>
          <w:noProof/>
          <w:sz w:val="20"/>
          <w:szCs w:val="20"/>
        </w:rPr>
        <w:t xml:space="preserve"> will be able to appreciate the latest results in their field of expertise, and to acquire additional knowledge in other</w:t>
      </w:r>
      <w:r w:rsidR="002A4642" w:rsidRPr="009460DA">
        <w:rPr>
          <w:rFonts w:ascii="Cambria" w:hAnsi="Cambria"/>
          <w:noProof/>
          <w:sz w:val="20"/>
          <w:szCs w:val="20"/>
          <w:lang w:val="en-US"/>
        </w:rPr>
        <w:t xml:space="preserve"> relevant</w:t>
      </w:r>
      <w:r w:rsidR="00DE1053" w:rsidRPr="009460DA">
        <w:rPr>
          <w:rFonts w:ascii="Cambria" w:hAnsi="Cambria"/>
          <w:noProof/>
          <w:sz w:val="20"/>
          <w:szCs w:val="20"/>
        </w:rPr>
        <w:t xml:space="preserve"> fields.</w:t>
      </w:r>
    </w:p>
    <w:p w:rsidR="00DE1053" w:rsidRPr="009460DA" w:rsidRDefault="00DE1053" w:rsidP="009460DA">
      <w:pPr>
        <w:spacing w:after="0" w:line="240" w:lineRule="auto"/>
        <w:jc w:val="both"/>
        <w:rPr>
          <w:rFonts w:ascii="Cambria" w:hAnsi="Cambria"/>
          <w:sz w:val="20"/>
          <w:szCs w:val="20"/>
        </w:rPr>
      </w:pPr>
    </w:p>
    <w:p w:rsidR="00DE1053" w:rsidRPr="009460DA" w:rsidRDefault="00DE1053" w:rsidP="009460DA">
      <w:pPr>
        <w:spacing w:after="0" w:line="240" w:lineRule="auto"/>
        <w:jc w:val="both"/>
        <w:rPr>
          <w:rFonts w:ascii="Cambria" w:hAnsi="Cambria"/>
          <w:sz w:val="20"/>
          <w:szCs w:val="20"/>
          <w:lang w:val="en-US"/>
        </w:rPr>
      </w:pPr>
    </w:p>
    <w:p w:rsidR="00420218" w:rsidRPr="009460DA" w:rsidRDefault="00420218" w:rsidP="009460DA">
      <w:pPr>
        <w:tabs>
          <w:tab w:val="left" w:pos="5130"/>
        </w:tabs>
        <w:spacing w:after="0" w:line="240" w:lineRule="auto"/>
        <w:jc w:val="both"/>
        <w:rPr>
          <w:rFonts w:ascii="Cambria" w:hAnsi="Cambria"/>
          <w:sz w:val="20"/>
          <w:szCs w:val="20"/>
          <w:lang w:val="en-US"/>
        </w:rPr>
      </w:pPr>
    </w:p>
    <w:p w:rsidR="00DE1053" w:rsidRPr="009460DA" w:rsidRDefault="00DE1053" w:rsidP="009460DA">
      <w:pPr>
        <w:spacing w:after="0" w:line="240" w:lineRule="auto"/>
        <w:jc w:val="both"/>
        <w:rPr>
          <w:rFonts w:ascii="Cambria" w:hAnsi="Cambria"/>
          <w:sz w:val="20"/>
          <w:szCs w:val="20"/>
        </w:rPr>
      </w:pPr>
    </w:p>
    <w:p w:rsidR="003E0548" w:rsidRPr="009460DA" w:rsidRDefault="003E0548" w:rsidP="009460DA">
      <w:pPr>
        <w:spacing w:after="0" w:line="240" w:lineRule="auto"/>
        <w:jc w:val="both"/>
        <w:rPr>
          <w:rFonts w:ascii="Cambria" w:hAnsi="Cambria"/>
          <w:sz w:val="20"/>
          <w:szCs w:val="20"/>
        </w:rPr>
      </w:pPr>
    </w:p>
    <w:p w:rsidR="003E0548" w:rsidRPr="009460DA" w:rsidRDefault="003E0548" w:rsidP="009460DA">
      <w:pPr>
        <w:spacing w:after="0" w:line="240" w:lineRule="auto"/>
        <w:jc w:val="both"/>
        <w:rPr>
          <w:rFonts w:ascii="Cambria" w:hAnsi="Cambria"/>
          <w:sz w:val="20"/>
          <w:szCs w:val="20"/>
        </w:rPr>
      </w:pPr>
      <w:r w:rsidRPr="009460DA">
        <w:rPr>
          <w:rFonts w:ascii="Cambria" w:hAnsi="Cambria"/>
          <w:sz w:val="20"/>
          <w:szCs w:val="20"/>
        </w:rPr>
        <w:t>Editor In Chief</w:t>
      </w:r>
    </w:p>
    <w:p w:rsidR="003E0548" w:rsidRPr="009460DA" w:rsidRDefault="003E0548" w:rsidP="009460DA">
      <w:pPr>
        <w:spacing w:after="0" w:line="240" w:lineRule="auto"/>
        <w:jc w:val="both"/>
        <w:rPr>
          <w:rFonts w:ascii="Cambria" w:hAnsi="Cambria"/>
          <w:sz w:val="20"/>
          <w:szCs w:val="20"/>
        </w:rPr>
      </w:pPr>
    </w:p>
    <w:p w:rsidR="00DE1053" w:rsidRPr="009460DA" w:rsidRDefault="00DE1053" w:rsidP="009460DA">
      <w:pPr>
        <w:spacing w:after="0" w:line="240" w:lineRule="auto"/>
        <w:jc w:val="both"/>
        <w:rPr>
          <w:rFonts w:ascii="Cambria" w:hAnsi="Cambria"/>
          <w:sz w:val="20"/>
          <w:szCs w:val="20"/>
        </w:rPr>
      </w:pPr>
    </w:p>
    <w:p w:rsidR="00DE1053" w:rsidRPr="009460DA" w:rsidRDefault="00902FB4" w:rsidP="009460DA">
      <w:pPr>
        <w:spacing w:after="0" w:line="240" w:lineRule="auto"/>
        <w:jc w:val="both"/>
        <w:rPr>
          <w:rFonts w:ascii="Cambria" w:hAnsi="Cambria"/>
          <w:sz w:val="20"/>
          <w:szCs w:val="20"/>
        </w:rPr>
      </w:pPr>
      <w:hyperlink r:id="rId9" w:history="1">
        <w:r w:rsidR="00F902AA" w:rsidRPr="009460DA">
          <w:rPr>
            <w:rFonts w:ascii="Cambria" w:hAnsi="Cambria"/>
            <w:sz w:val="20"/>
            <w:szCs w:val="20"/>
          </w:rPr>
          <w:t>Ijaz Ur Rehman PhD</w:t>
        </w:r>
      </w:hyperlink>
    </w:p>
    <w:p w:rsidR="00DE1053" w:rsidRPr="009460DA" w:rsidRDefault="00DE1053" w:rsidP="009460DA">
      <w:pPr>
        <w:spacing w:after="0" w:line="240" w:lineRule="auto"/>
        <w:jc w:val="both"/>
        <w:rPr>
          <w:rFonts w:ascii="Cambria" w:hAnsi="Cambria"/>
          <w:sz w:val="20"/>
          <w:szCs w:val="20"/>
        </w:rPr>
      </w:pPr>
    </w:p>
    <w:p w:rsidR="00DE1053" w:rsidRPr="009460DA" w:rsidRDefault="00DE1053" w:rsidP="009460DA">
      <w:pPr>
        <w:spacing w:after="0" w:line="240" w:lineRule="auto"/>
        <w:jc w:val="both"/>
        <w:rPr>
          <w:rFonts w:ascii="Cambria" w:hAnsi="Cambria"/>
          <w:sz w:val="20"/>
          <w:szCs w:val="20"/>
        </w:rPr>
      </w:pPr>
    </w:p>
    <w:p w:rsidR="00DE1053" w:rsidRPr="009460DA" w:rsidRDefault="00DE1053" w:rsidP="009460DA">
      <w:pPr>
        <w:spacing w:after="0" w:line="240" w:lineRule="auto"/>
        <w:jc w:val="both"/>
        <w:rPr>
          <w:rFonts w:ascii="Cambria" w:hAnsi="Cambria"/>
          <w:sz w:val="20"/>
          <w:szCs w:val="20"/>
        </w:rPr>
      </w:pPr>
    </w:p>
    <w:p w:rsidR="00DE1053" w:rsidRPr="009460DA" w:rsidRDefault="00DE1053" w:rsidP="009460DA">
      <w:pPr>
        <w:spacing w:after="0" w:line="240" w:lineRule="auto"/>
        <w:jc w:val="both"/>
        <w:rPr>
          <w:rFonts w:ascii="Cambria" w:hAnsi="Cambria"/>
          <w:b/>
          <w:sz w:val="20"/>
          <w:szCs w:val="20"/>
          <w:lang w:val="en-US"/>
        </w:rPr>
      </w:pPr>
    </w:p>
    <w:p w:rsidR="006C648C" w:rsidRPr="009460DA" w:rsidRDefault="006C648C" w:rsidP="009460DA">
      <w:pPr>
        <w:spacing w:after="0" w:line="240" w:lineRule="auto"/>
        <w:jc w:val="both"/>
        <w:rPr>
          <w:rFonts w:ascii="Cambria" w:hAnsi="Cambria"/>
          <w:b/>
          <w:sz w:val="20"/>
          <w:szCs w:val="20"/>
          <w:lang w:val="en-US"/>
        </w:rPr>
      </w:pPr>
    </w:p>
    <w:p w:rsidR="006C648C" w:rsidRPr="009460DA" w:rsidRDefault="006C648C" w:rsidP="009460DA">
      <w:pPr>
        <w:spacing w:after="0" w:line="240" w:lineRule="auto"/>
        <w:jc w:val="both"/>
        <w:rPr>
          <w:rFonts w:ascii="Cambria" w:hAnsi="Cambria"/>
          <w:b/>
          <w:sz w:val="20"/>
          <w:szCs w:val="20"/>
          <w:lang w:val="en-US"/>
        </w:rPr>
      </w:pPr>
    </w:p>
    <w:p w:rsidR="002A4642" w:rsidRPr="009460DA" w:rsidRDefault="002A4642" w:rsidP="009460DA">
      <w:pPr>
        <w:spacing w:after="0" w:line="240" w:lineRule="auto"/>
        <w:jc w:val="both"/>
        <w:rPr>
          <w:rFonts w:ascii="Cambria" w:hAnsi="Cambria"/>
          <w:b/>
          <w:sz w:val="20"/>
          <w:szCs w:val="20"/>
          <w:lang w:val="en-US"/>
        </w:rPr>
      </w:pPr>
    </w:p>
    <w:p w:rsidR="00DD0081" w:rsidRPr="009460DA" w:rsidRDefault="00DD0081" w:rsidP="009460DA">
      <w:pPr>
        <w:spacing w:after="0" w:line="240" w:lineRule="auto"/>
        <w:jc w:val="both"/>
        <w:rPr>
          <w:rFonts w:ascii="Cambria" w:hAnsi="Cambria"/>
          <w:b/>
          <w:sz w:val="20"/>
          <w:szCs w:val="20"/>
          <w:lang w:val="en-US"/>
        </w:rPr>
      </w:pPr>
    </w:p>
    <w:p w:rsidR="00DD0081" w:rsidRPr="009460DA" w:rsidRDefault="00DD0081" w:rsidP="009460DA">
      <w:pPr>
        <w:spacing w:after="0" w:line="240" w:lineRule="auto"/>
        <w:jc w:val="both"/>
        <w:rPr>
          <w:rFonts w:ascii="Cambria" w:hAnsi="Cambria"/>
          <w:b/>
          <w:sz w:val="20"/>
          <w:szCs w:val="20"/>
          <w:lang w:val="en-US"/>
        </w:rPr>
      </w:pPr>
    </w:p>
    <w:p w:rsidR="00DD0081" w:rsidRPr="009460DA" w:rsidRDefault="00DD0081" w:rsidP="009460DA">
      <w:pPr>
        <w:spacing w:after="0" w:line="240" w:lineRule="auto"/>
        <w:jc w:val="both"/>
        <w:rPr>
          <w:rFonts w:ascii="Cambria" w:hAnsi="Cambria"/>
          <w:b/>
          <w:sz w:val="20"/>
          <w:szCs w:val="20"/>
          <w:lang w:val="en-US"/>
        </w:rPr>
      </w:pPr>
    </w:p>
    <w:p w:rsidR="00DD0081" w:rsidRPr="009460DA" w:rsidRDefault="00DD0081" w:rsidP="009460DA">
      <w:pPr>
        <w:spacing w:after="0" w:line="240" w:lineRule="auto"/>
        <w:jc w:val="both"/>
        <w:rPr>
          <w:rFonts w:ascii="Cambria" w:hAnsi="Cambria"/>
          <w:b/>
          <w:sz w:val="20"/>
          <w:szCs w:val="20"/>
          <w:lang w:val="en-US"/>
        </w:rPr>
      </w:pPr>
    </w:p>
    <w:p w:rsidR="003E0548" w:rsidRPr="009460DA" w:rsidRDefault="003E0548" w:rsidP="009460DA">
      <w:pPr>
        <w:spacing w:after="0" w:line="240" w:lineRule="auto"/>
        <w:jc w:val="both"/>
        <w:rPr>
          <w:rFonts w:ascii="Cambria" w:hAnsi="Cambria"/>
          <w:b/>
          <w:sz w:val="20"/>
          <w:szCs w:val="20"/>
          <w:lang w:val="en-US"/>
        </w:rPr>
      </w:pPr>
    </w:p>
    <w:p w:rsidR="003E0548" w:rsidRPr="009460DA" w:rsidRDefault="003E0548" w:rsidP="009460DA">
      <w:pPr>
        <w:spacing w:after="0" w:line="240" w:lineRule="auto"/>
        <w:jc w:val="both"/>
        <w:rPr>
          <w:rFonts w:ascii="Cambria" w:hAnsi="Cambria"/>
          <w:b/>
          <w:sz w:val="20"/>
          <w:szCs w:val="20"/>
          <w:lang w:val="en-US"/>
        </w:rPr>
      </w:pPr>
    </w:p>
    <w:p w:rsidR="003E0548" w:rsidRPr="009460DA" w:rsidRDefault="003E0548" w:rsidP="009460DA">
      <w:pPr>
        <w:spacing w:after="0" w:line="240" w:lineRule="auto"/>
        <w:jc w:val="both"/>
        <w:rPr>
          <w:rFonts w:ascii="Cambria" w:hAnsi="Cambria"/>
          <w:b/>
          <w:sz w:val="20"/>
          <w:szCs w:val="20"/>
          <w:lang w:val="en-US"/>
        </w:rPr>
      </w:pPr>
    </w:p>
    <w:p w:rsidR="00D17D23" w:rsidRPr="009460DA" w:rsidRDefault="00D17D23" w:rsidP="009460DA">
      <w:pPr>
        <w:spacing w:after="0" w:line="240" w:lineRule="auto"/>
        <w:jc w:val="both"/>
        <w:rPr>
          <w:rFonts w:ascii="Cambria" w:hAnsi="Cambria"/>
          <w:b/>
          <w:sz w:val="20"/>
          <w:szCs w:val="20"/>
          <w:lang w:val="en-US"/>
        </w:rPr>
      </w:pPr>
    </w:p>
    <w:p w:rsidR="00D17D23" w:rsidRPr="009460DA" w:rsidRDefault="00D17D23" w:rsidP="009460DA">
      <w:pPr>
        <w:spacing w:after="0" w:line="240" w:lineRule="auto"/>
        <w:jc w:val="both"/>
        <w:rPr>
          <w:rFonts w:ascii="Cambria" w:hAnsi="Cambria"/>
          <w:b/>
          <w:sz w:val="20"/>
          <w:szCs w:val="20"/>
          <w:lang w:val="en-US"/>
        </w:rPr>
      </w:pPr>
    </w:p>
    <w:p w:rsidR="00D17D23" w:rsidRPr="009460DA" w:rsidRDefault="00D17D23" w:rsidP="009460DA">
      <w:pPr>
        <w:spacing w:after="0" w:line="240" w:lineRule="auto"/>
        <w:jc w:val="both"/>
        <w:rPr>
          <w:rFonts w:ascii="Cambria" w:hAnsi="Cambria"/>
          <w:b/>
          <w:sz w:val="20"/>
          <w:szCs w:val="20"/>
          <w:lang w:val="en-US"/>
        </w:rPr>
      </w:pPr>
    </w:p>
    <w:p w:rsidR="00D17D23" w:rsidRPr="009460DA" w:rsidRDefault="00D17D23" w:rsidP="009460DA">
      <w:pPr>
        <w:spacing w:after="0" w:line="240" w:lineRule="auto"/>
        <w:jc w:val="both"/>
        <w:rPr>
          <w:rFonts w:ascii="Cambria" w:hAnsi="Cambria"/>
          <w:b/>
          <w:sz w:val="20"/>
          <w:szCs w:val="20"/>
          <w:lang w:val="en-US"/>
        </w:rPr>
      </w:pPr>
    </w:p>
    <w:p w:rsidR="00D17D23" w:rsidRPr="009460DA" w:rsidRDefault="00D17D23" w:rsidP="009460DA">
      <w:pPr>
        <w:spacing w:after="0" w:line="240" w:lineRule="auto"/>
        <w:jc w:val="both"/>
        <w:rPr>
          <w:rFonts w:ascii="Cambria" w:hAnsi="Cambria"/>
          <w:b/>
          <w:sz w:val="20"/>
          <w:szCs w:val="20"/>
          <w:lang w:val="en-US"/>
        </w:rPr>
      </w:pPr>
    </w:p>
    <w:p w:rsidR="003E0548" w:rsidRPr="009460DA" w:rsidRDefault="003E0548" w:rsidP="009460DA">
      <w:pPr>
        <w:spacing w:after="0" w:line="240" w:lineRule="auto"/>
        <w:jc w:val="both"/>
        <w:rPr>
          <w:rFonts w:ascii="Cambria" w:hAnsi="Cambria"/>
          <w:b/>
          <w:sz w:val="20"/>
          <w:szCs w:val="20"/>
          <w:lang w:val="en-US"/>
        </w:rPr>
      </w:pPr>
    </w:p>
    <w:p w:rsidR="00DE1053" w:rsidRPr="009460DA" w:rsidRDefault="00DE1053" w:rsidP="009460DA">
      <w:pPr>
        <w:shd w:val="clear" w:color="auto" w:fill="FFFFFF"/>
        <w:spacing w:after="0" w:line="240" w:lineRule="auto"/>
        <w:jc w:val="center"/>
        <w:rPr>
          <w:rFonts w:ascii="Cambria" w:hAnsi="Cambria"/>
          <w:b/>
          <w:bCs/>
          <w:sz w:val="20"/>
          <w:szCs w:val="20"/>
          <w:lang w:val="en-US"/>
        </w:rPr>
      </w:pPr>
      <w:r w:rsidRPr="009460DA">
        <w:rPr>
          <w:rFonts w:ascii="Cambria" w:hAnsi="Cambria"/>
          <w:b/>
          <w:bCs/>
          <w:sz w:val="20"/>
          <w:szCs w:val="20"/>
          <w:lang w:val="en-US"/>
        </w:rPr>
        <w:t xml:space="preserve">Editorial </w:t>
      </w:r>
      <w:r w:rsidR="00BF2CE5" w:rsidRPr="009460DA">
        <w:rPr>
          <w:rFonts w:ascii="Cambria" w:hAnsi="Cambria"/>
          <w:b/>
          <w:bCs/>
          <w:sz w:val="20"/>
          <w:szCs w:val="20"/>
          <w:lang w:val="en-US"/>
        </w:rPr>
        <w:t>Board</w:t>
      </w:r>
    </w:p>
    <w:p w:rsidR="00412C1F" w:rsidRPr="009460DA" w:rsidRDefault="00412C1F" w:rsidP="009460DA">
      <w:pPr>
        <w:shd w:val="clear" w:color="auto" w:fill="FFFFFF"/>
        <w:spacing w:after="0" w:line="240" w:lineRule="auto"/>
        <w:jc w:val="both"/>
        <w:rPr>
          <w:rFonts w:ascii="Cambria" w:hAnsi="Cambria"/>
          <w:sz w:val="20"/>
          <w:szCs w:val="20"/>
        </w:rPr>
      </w:pPr>
    </w:p>
    <w:tbl>
      <w:tblPr>
        <w:tblW w:w="9255" w:type="dxa"/>
        <w:tblCellMar>
          <w:top w:w="15" w:type="dxa"/>
          <w:left w:w="15" w:type="dxa"/>
          <w:bottom w:w="15" w:type="dxa"/>
          <w:right w:w="15" w:type="dxa"/>
        </w:tblCellMar>
        <w:tblLook w:val="04A0"/>
      </w:tblPr>
      <w:tblGrid>
        <w:gridCol w:w="9255"/>
      </w:tblGrid>
      <w:tr w:rsidR="003E0548" w:rsidRPr="009460DA" w:rsidTr="00E402EE">
        <w:tc>
          <w:tcPr>
            <w:tcW w:w="0" w:type="auto"/>
            <w:vAlign w:val="center"/>
            <w:hideMark/>
          </w:tcPr>
          <w:p w:rsidR="003E0548" w:rsidRPr="009460DA" w:rsidRDefault="003E0548" w:rsidP="009460DA">
            <w:pPr>
              <w:spacing w:after="0" w:line="240" w:lineRule="auto"/>
              <w:jc w:val="both"/>
              <w:rPr>
                <w:rFonts w:ascii="Cambria" w:eastAsia="Times New Roman" w:hAnsi="Cambria" w:cs="Times New Roman"/>
                <w:sz w:val="20"/>
                <w:szCs w:val="20"/>
                <w:lang w:val="en-US"/>
              </w:rPr>
            </w:pPr>
          </w:p>
        </w:tc>
      </w:tr>
      <w:tr w:rsidR="003E0548" w:rsidRPr="009460DA" w:rsidTr="00E402EE">
        <w:tc>
          <w:tcPr>
            <w:tcW w:w="0" w:type="auto"/>
            <w:vAlign w:val="center"/>
            <w:hideMark/>
          </w:tcPr>
          <w:tbl>
            <w:tblPr>
              <w:tblW w:w="0" w:type="auto"/>
              <w:tblCellSpacing w:w="15" w:type="dxa"/>
              <w:tblCellMar>
                <w:top w:w="15" w:type="dxa"/>
                <w:left w:w="15" w:type="dxa"/>
                <w:bottom w:w="15" w:type="dxa"/>
                <w:right w:w="15" w:type="dxa"/>
              </w:tblCellMar>
              <w:tblLook w:val="04A0"/>
            </w:tblPr>
            <w:tblGrid>
              <w:gridCol w:w="9225"/>
            </w:tblGrid>
            <w:tr w:rsidR="003E0548" w:rsidRPr="009460DA">
              <w:trPr>
                <w:tblCellSpacing w:w="15" w:type="dxa"/>
              </w:trPr>
              <w:tc>
                <w:tcPr>
                  <w:tcW w:w="0" w:type="auto"/>
                  <w:vAlign w:val="center"/>
                  <w:hideMark/>
                </w:tcPr>
                <w:p w:rsidR="003E0548" w:rsidRPr="009460DA" w:rsidRDefault="003E0548" w:rsidP="009460DA">
                  <w:pPr>
                    <w:spacing w:after="0" w:line="240" w:lineRule="auto"/>
                    <w:jc w:val="both"/>
                    <w:rPr>
                      <w:rFonts w:ascii="Cambria" w:eastAsia="Times New Roman" w:hAnsi="Cambria" w:cs="Times New Roman"/>
                      <w:sz w:val="20"/>
                      <w:szCs w:val="20"/>
                      <w:lang w:val="en-US"/>
                    </w:rPr>
                  </w:pPr>
                </w:p>
              </w:tc>
            </w:tr>
            <w:tr w:rsidR="003E0548" w:rsidRPr="009460DA">
              <w:trPr>
                <w:tblCellSpacing w:w="15" w:type="dxa"/>
              </w:trPr>
              <w:tc>
                <w:tcPr>
                  <w:tcW w:w="0" w:type="auto"/>
                  <w:vAlign w:val="center"/>
                  <w:hideMark/>
                </w:tcPr>
                <w:tbl>
                  <w:tblPr>
                    <w:tblW w:w="9135" w:type="dxa"/>
                    <w:tblCellMar>
                      <w:top w:w="15" w:type="dxa"/>
                      <w:left w:w="15" w:type="dxa"/>
                      <w:bottom w:w="15" w:type="dxa"/>
                      <w:right w:w="15" w:type="dxa"/>
                    </w:tblCellMar>
                    <w:tblLook w:val="04A0"/>
                  </w:tblPr>
                  <w:tblGrid>
                    <w:gridCol w:w="9135"/>
                  </w:tblGrid>
                  <w:tr w:rsidR="00E402EE" w:rsidRPr="009460DA" w:rsidTr="00E402EE">
                    <w:tc>
                      <w:tcPr>
                        <w:tcW w:w="5000" w:type="pct"/>
                        <w:hideMark/>
                      </w:tcPr>
                      <w:p w:rsidR="00E402EE" w:rsidRPr="009460DA" w:rsidRDefault="00E402EE" w:rsidP="009460DA">
                        <w:pPr>
                          <w:numPr>
                            <w:ilvl w:val="0"/>
                            <w:numId w:val="13"/>
                          </w:numPr>
                          <w:spacing w:after="0" w:line="360" w:lineRule="auto"/>
                          <w:jc w:val="both"/>
                          <w:rPr>
                            <w:rFonts w:ascii="Cambria" w:hAnsi="Cambria" w:cs="Segoe UI"/>
                            <w:sz w:val="20"/>
                            <w:szCs w:val="20"/>
                          </w:rPr>
                        </w:pPr>
                        <w:r w:rsidRPr="009460DA">
                          <w:rPr>
                            <w:rFonts w:ascii="Cambria" w:hAnsi="Cambria" w:cs="Segoe UI"/>
                            <w:sz w:val="20"/>
                            <w:szCs w:val="20"/>
                          </w:rPr>
                          <w:t>Lew Tek Yew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Curtin University Sarawak, Malaysia</w:t>
                        </w:r>
                      </w:p>
                    </w:tc>
                  </w:tr>
                  <w:tr w:rsidR="00E402EE" w:rsidRPr="009460DA" w:rsidTr="00E402EE">
                    <w:tc>
                      <w:tcPr>
                        <w:tcW w:w="5000" w:type="pct"/>
                        <w:hideMark/>
                      </w:tcPr>
                      <w:p w:rsidR="00E402EE" w:rsidRPr="009460DA" w:rsidRDefault="00E402EE" w:rsidP="009460DA">
                        <w:pPr>
                          <w:numPr>
                            <w:ilvl w:val="0"/>
                            <w:numId w:val="14"/>
                          </w:numPr>
                          <w:spacing w:after="0" w:line="360" w:lineRule="auto"/>
                          <w:jc w:val="both"/>
                          <w:rPr>
                            <w:rFonts w:ascii="Cambria" w:hAnsi="Cambria" w:cs="Segoe UI"/>
                            <w:sz w:val="20"/>
                            <w:szCs w:val="20"/>
                          </w:rPr>
                        </w:pPr>
                        <w:r w:rsidRPr="009460DA">
                          <w:rPr>
                            <w:rFonts w:ascii="Cambria" w:hAnsi="Cambria" w:cs="Segoe UI"/>
                            <w:sz w:val="20"/>
                            <w:szCs w:val="20"/>
                          </w:rPr>
                          <w:t>Mohammad Kazemi Reza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University of Tehran, Iran</w:t>
                        </w:r>
                      </w:p>
                    </w:tc>
                  </w:tr>
                  <w:tr w:rsidR="00E402EE" w:rsidRPr="009460DA" w:rsidTr="00E402EE">
                    <w:tc>
                      <w:tcPr>
                        <w:tcW w:w="5000" w:type="pct"/>
                        <w:hideMark/>
                      </w:tcPr>
                      <w:p w:rsidR="00E402EE" w:rsidRPr="009460DA" w:rsidRDefault="00E402EE" w:rsidP="009460DA">
                        <w:pPr>
                          <w:numPr>
                            <w:ilvl w:val="0"/>
                            <w:numId w:val="15"/>
                          </w:numPr>
                          <w:spacing w:after="0" w:line="360" w:lineRule="auto"/>
                          <w:jc w:val="both"/>
                          <w:rPr>
                            <w:rFonts w:ascii="Cambria" w:hAnsi="Cambria" w:cs="Segoe UI"/>
                            <w:sz w:val="20"/>
                            <w:szCs w:val="20"/>
                          </w:rPr>
                        </w:pPr>
                        <w:r w:rsidRPr="009460DA">
                          <w:rPr>
                            <w:rFonts w:ascii="Cambria" w:hAnsi="Cambria" w:cs="Segoe UI"/>
                            <w:sz w:val="20"/>
                            <w:szCs w:val="20"/>
                          </w:rPr>
                          <w:t>Chandana Prasad Withana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Charles Sturt University, Sydney, Australia</w:t>
                        </w:r>
                      </w:p>
                    </w:tc>
                  </w:tr>
                  <w:tr w:rsidR="00E402EE" w:rsidRPr="009460DA" w:rsidTr="00E402EE">
                    <w:tc>
                      <w:tcPr>
                        <w:tcW w:w="5000" w:type="pct"/>
                        <w:hideMark/>
                      </w:tcPr>
                      <w:p w:rsidR="00E402EE" w:rsidRPr="009460DA" w:rsidRDefault="00E402EE" w:rsidP="009460DA">
                        <w:pPr>
                          <w:numPr>
                            <w:ilvl w:val="0"/>
                            <w:numId w:val="16"/>
                          </w:numPr>
                          <w:spacing w:after="0" w:line="360" w:lineRule="auto"/>
                          <w:jc w:val="both"/>
                          <w:rPr>
                            <w:rFonts w:ascii="Cambria" w:hAnsi="Cambria" w:cs="Segoe UI"/>
                            <w:sz w:val="20"/>
                            <w:szCs w:val="20"/>
                          </w:rPr>
                        </w:pPr>
                        <w:r w:rsidRPr="009460DA">
                          <w:rPr>
                            <w:rFonts w:ascii="Cambria" w:hAnsi="Cambria" w:cs="Segoe UI"/>
                            <w:sz w:val="20"/>
                            <w:szCs w:val="20"/>
                          </w:rPr>
                          <w:t>KOH Noi Keng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National Institute of Education, Nanyang Technological University, Singapore</w:t>
                        </w:r>
                      </w:p>
                    </w:tc>
                  </w:tr>
                  <w:tr w:rsidR="00E402EE" w:rsidRPr="009460DA" w:rsidTr="00E402EE">
                    <w:tc>
                      <w:tcPr>
                        <w:tcW w:w="5000" w:type="pct"/>
                        <w:hideMark/>
                      </w:tcPr>
                      <w:p w:rsidR="00E402EE" w:rsidRPr="009460DA" w:rsidRDefault="00E402EE" w:rsidP="009460DA">
                        <w:pPr>
                          <w:numPr>
                            <w:ilvl w:val="0"/>
                            <w:numId w:val="17"/>
                          </w:numPr>
                          <w:spacing w:after="0" w:line="360" w:lineRule="auto"/>
                          <w:jc w:val="both"/>
                          <w:rPr>
                            <w:rFonts w:ascii="Cambria" w:hAnsi="Cambria" w:cs="Segoe UI"/>
                            <w:sz w:val="20"/>
                            <w:szCs w:val="20"/>
                          </w:rPr>
                        </w:pPr>
                        <w:r w:rsidRPr="009460DA">
                          <w:rPr>
                            <w:rFonts w:ascii="Cambria" w:hAnsi="Cambria" w:cs="Segoe UI"/>
                            <w:sz w:val="20"/>
                            <w:szCs w:val="20"/>
                          </w:rPr>
                          <w:t>Boubker Sbihi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I-s</w:t>
                        </w:r>
                        <w:r w:rsidR="009A1D34" w:rsidRPr="009460DA">
                          <w:rPr>
                            <w:rFonts w:ascii="Cambria" w:hAnsi="Cambria" w:cs="Segoe UI"/>
                            <w:sz w:val="20"/>
                            <w:szCs w:val="20"/>
                            <w:shd w:val="clear" w:color="auto" w:fill="FFFFFF"/>
                          </w:rPr>
                          <w:t>ch</w:t>
                        </w:r>
                        <w:r w:rsidRPr="009460DA">
                          <w:rPr>
                            <w:rFonts w:ascii="Cambria" w:hAnsi="Cambria" w:cs="Segoe UI"/>
                            <w:sz w:val="20"/>
                            <w:szCs w:val="20"/>
                            <w:shd w:val="clear" w:color="auto" w:fill="FFFFFF"/>
                          </w:rPr>
                          <w:t>ool ESI, Rabat, Morocco</w:t>
                        </w:r>
                      </w:p>
                    </w:tc>
                  </w:tr>
                  <w:tr w:rsidR="00E402EE" w:rsidRPr="009460DA" w:rsidTr="00E402EE">
                    <w:tc>
                      <w:tcPr>
                        <w:tcW w:w="5000" w:type="pct"/>
                        <w:hideMark/>
                      </w:tcPr>
                      <w:p w:rsidR="00E402EE" w:rsidRPr="009460DA" w:rsidRDefault="00E402EE" w:rsidP="009460DA">
                        <w:pPr>
                          <w:numPr>
                            <w:ilvl w:val="0"/>
                            <w:numId w:val="18"/>
                          </w:numPr>
                          <w:spacing w:after="0" w:line="360" w:lineRule="auto"/>
                          <w:jc w:val="both"/>
                          <w:rPr>
                            <w:rFonts w:ascii="Cambria" w:hAnsi="Cambria" w:cs="Segoe UI"/>
                            <w:sz w:val="20"/>
                            <w:szCs w:val="20"/>
                          </w:rPr>
                        </w:pPr>
                        <w:r w:rsidRPr="009460DA">
                          <w:rPr>
                            <w:rFonts w:ascii="Cambria" w:hAnsi="Cambria" w:cs="Segoe UI"/>
                            <w:sz w:val="20"/>
                            <w:szCs w:val="20"/>
                          </w:rPr>
                          <w:t>Ayhan Kapusuzoglu PhD</w:t>
                        </w:r>
                        <w:r w:rsidRPr="009460DA">
                          <w:rPr>
                            <w:rFonts w:ascii="Cambria" w:hAnsi="Cambria" w:cs="Segoe UI"/>
                            <w:sz w:val="20"/>
                            <w:szCs w:val="20"/>
                            <w:lang w:val="en-US"/>
                          </w:rPr>
                          <w:t xml:space="preserve">, </w:t>
                        </w:r>
                        <w:r w:rsidRPr="009460DA">
                          <w:rPr>
                            <w:rFonts w:ascii="Cambria" w:hAnsi="Cambria" w:cs="Segoe UI"/>
                            <w:sz w:val="20"/>
                            <w:szCs w:val="20"/>
                            <w:shd w:val="clear" w:color="auto" w:fill="FFFFFF"/>
                          </w:rPr>
                          <w:t>Yildirim Beyazit University, Turkey</w:t>
                        </w:r>
                      </w:p>
                    </w:tc>
                  </w:tr>
                  <w:tr w:rsidR="00E402EE" w:rsidRPr="009460DA" w:rsidTr="00E402EE">
                    <w:tc>
                      <w:tcPr>
                        <w:tcW w:w="5000" w:type="pct"/>
                        <w:hideMark/>
                      </w:tcPr>
                      <w:p w:rsidR="00E402EE" w:rsidRPr="009460DA" w:rsidRDefault="009460DA" w:rsidP="009460DA">
                        <w:pPr>
                          <w:numPr>
                            <w:ilvl w:val="0"/>
                            <w:numId w:val="41"/>
                          </w:numPr>
                          <w:shd w:val="clear" w:color="auto" w:fill="FFFFFF"/>
                          <w:spacing w:after="0" w:line="360" w:lineRule="auto"/>
                          <w:jc w:val="both"/>
                          <w:rPr>
                            <w:rFonts w:ascii="Cambria" w:eastAsia="Times New Roman" w:hAnsi="Cambria" w:cs="Segoe UI"/>
                            <w:sz w:val="20"/>
                            <w:szCs w:val="20"/>
                            <w:lang w:val="en-GB" w:eastAsia="en-GB"/>
                          </w:rPr>
                        </w:pPr>
                        <w:r w:rsidRPr="009460DA">
                          <w:rPr>
                            <w:rFonts w:ascii="Cambria" w:hAnsi="Cambria" w:cs="Segoe UI"/>
                            <w:sz w:val="20"/>
                            <w:szCs w:val="20"/>
                          </w:rPr>
                          <w:t>Elias Randjbaran PhD, University Putra Malaysia, Malaysia</w:t>
                        </w:r>
                      </w:p>
                    </w:tc>
                  </w:tr>
                  <w:tr w:rsidR="00E402EE" w:rsidRPr="009460DA" w:rsidTr="00E402EE">
                    <w:tc>
                      <w:tcPr>
                        <w:tcW w:w="5000" w:type="pct"/>
                        <w:hideMark/>
                      </w:tcPr>
                      <w:p w:rsidR="00E402EE" w:rsidRPr="009460DA" w:rsidRDefault="00E402EE" w:rsidP="009460DA">
                        <w:pPr>
                          <w:numPr>
                            <w:ilvl w:val="0"/>
                            <w:numId w:val="20"/>
                          </w:numPr>
                          <w:spacing w:after="0" w:line="360" w:lineRule="auto"/>
                          <w:jc w:val="both"/>
                          <w:rPr>
                            <w:rFonts w:ascii="Cambria" w:hAnsi="Cambria" w:cs="Segoe UI"/>
                            <w:sz w:val="20"/>
                            <w:szCs w:val="20"/>
                            <w:shd w:val="clear" w:color="auto" w:fill="FFFFFF"/>
                          </w:rPr>
                        </w:pPr>
                        <w:r w:rsidRPr="009460DA">
                          <w:rPr>
                            <w:rFonts w:ascii="Cambria" w:hAnsi="Cambria" w:cs="Segoe UI"/>
                            <w:sz w:val="20"/>
                            <w:szCs w:val="20"/>
                            <w:shd w:val="clear" w:color="auto" w:fill="FFFFFF"/>
                          </w:rPr>
                          <w:t>Dong Hwa Kim PhD, Hanbat National University, Daejeon, Republic of Korea</w:t>
                        </w:r>
                      </w:p>
                    </w:tc>
                  </w:tr>
                  <w:tr w:rsidR="00E402EE" w:rsidRPr="009460DA" w:rsidTr="00E402EE">
                    <w:tc>
                      <w:tcPr>
                        <w:tcW w:w="5000" w:type="pct"/>
                        <w:hideMark/>
                      </w:tcPr>
                      <w:p w:rsidR="00E402EE" w:rsidRPr="009460DA" w:rsidRDefault="00DD0081" w:rsidP="009460DA">
                        <w:pPr>
                          <w:numPr>
                            <w:ilvl w:val="0"/>
                            <w:numId w:val="25"/>
                          </w:numPr>
                          <w:shd w:val="clear" w:color="auto" w:fill="FFFFFF"/>
                          <w:spacing w:after="0" w:line="360" w:lineRule="auto"/>
                          <w:jc w:val="both"/>
                          <w:rPr>
                            <w:rFonts w:ascii="Cambria" w:hAnsi="Cambria" w:cs="Segoe UI"/>
                            <w:sz w:val="20"/>
                            <w:szCs w:val="20"/>
                            <w:shd w:val="clear" w:color="auto" w:fill="FFFFFF"/>
                          </w:rPr>
                        </w:pPr>
                        <w:r w:rsidRPr="009460DA">
                          <w:rPr>
                            <w:rFonts w:ascii="Cambria" w:hAnsi="Cambria" w:cs="Segoe UI"/>
                            <w:sz w:val="20"/>
                            <w:szCs w:val="20"/>
                            <w:shd w:val="clear" w:color="auto" w:fill="FFFFFF"/>
                          </w:rPr>
                          <w:t>Teodoro A. Macaraeg Jr PhD, University of Caloocan City, Manila, Philippines</w:t>
                        </w:r>
                      </w:p>
                    </w:tc>
                  </w:tr>
                  <w:tr w:rsidR="00E402EE" w:rsidRPr="009460DA" w:rsidTr="00E402EE">
                    <w:tc>
                      <w:tcPr>
                        <w:tcW w:w="5000" w:type="pct"/>
                        <w:hideMark/>
                      </w:tcPr>
                      <w:p w:rsidR="00E402EE" w:rsidRPr="009460DA" w:rsidRDefault="00E402EE" w:rsidP="009460DA">
                        <w:pPr>
                          <w:numPr>
                            <w:ilvl w:val="0"/>
                            <w:numId w:val="21"/>
                          </w:numPr>
                          <w:spacing w:after="0" w:line="360" w:lineRule="auto"/>
                          <w:jc w:val="both"/>
                          <w:rPr>
                            <w:rFonts w:ascii="Cambria" w:hAnsi="Cambria" w:cs="Segoe UI"/>
                            <w:sz w:val="20"/>
                            <w:szCs w:val="20"/>
                            <w:shd w:val="clear" w:color="auto" w:fill="FFFFFF"/>
                          </w:rPr>
                        </w:pPr>
                        <w:r w:rsidRPr="009460DA">
                          <w:rPr>
                            <w:rFonts w:ascii="Cambria" w:hAnsi="Cambria" w:cs="Segoe UI"/>
                            <w:sz w:val="20"/>
                            <w:szCs w:val="20"/>
                            <w:shd w:val="clear" w:color="auto" w:fill="FFFFFF"/>
                          </w:rPr>
                          <w:t>Benedict Valentine Arulanandam PhD, University Putra Malaysia, Malaysia</w:t>
                        </w:r>
                      </w:p>
                    </w:tc>
                  </w:tr>
                  <w:tr w:rsidR="00E402EE" w:rsidRPr="009460DA" w:rsidTr="00E402EE">
                    <w:tc>
                      <w:tcPr>
                        <w:tcW w:w="5000" w:type="pct"/>
                        <w:hideMark/>
                      </w:tcPr>
                      <w:p w:rsidR="00E402EE" w:rsidRPr="009460DA" w:rsidRDefault="00E402EE" w:rsidP="009460DA">
                        <w:pPr>
                          <w:numPr>
                            <w:ilvl w:val="0"/>
                            <w:numId w:val="22"/>
                          </w:numPr>
                          <w:spacing w:after="0" w:line="360" w:lineRule="auto"/>
                          <w:jc w:val="both"/>
                          <w:rPr>
                            <w:rFonts w:ascii="Cambria" w:hAnsi="Cambria" w:cs="Segoe UI"/>
                            <w:sz w:val="20"/>
                            <w:szCs w:val="20"/>
                            <w:shd w:val="clear" w:color="auto" w:fill="FFFFFF"/>
                          </w:rPr>
                        </w:pPr>
                        <w:r w:rsidRPr="009460DA">
                          <w:rPr>
                            <w:rFonts w:ascii="Cambria" w:hAnsi="Cambria" w:cs="Segoe UI"/>
                            <w:sz w:val="20"/>
                            <w:szCs w:val="20"/>
                            <w:shd w:val="clear" w:color="auto" w:fill="FFFFFF"/>
                          </w:rPr>
                          <w:t>Yousef Daradkeh PhD, Prince Sattam bin Abdulaziz University, KSA</w:t>
                        </w:r>
                      </w:p>
                    </w:tc>
                  </w:tr>
                  <w:tr w:rsidR="00E402EE" w:rsidRPr="009460DA" w:rsidTr="00E402EE">
                    <w:tc>
                      <w:tcPr>
                        <w:tcW w:w="5000" w:type="pct"/>
                        <w:hideMark/>
                      </w:tcPr>
                      <w:p w:rsidR="00E402EE" w:rsidRPr="009460DA" w:rsidRDefault="009460DA" w:rsidP="009460DA">
                        <w:pPr>
                          <w:numPr>
                            <w:ilvl w:val="0"/>
                            <w:numId w:val="42"/>
                          </w:numPr>
                          <w:shd w:val="clear" w:color="auto" w:fill="FFFFFF"/>
                          <w:spacing w:after="0" w:line="360" w:lineRule="auto"/>
                          <w:jc w:val="both"/>
                          <w:rPr>
                            <w:rFonts w:ascii="Cambria" w:eastAsia="Times New Roman" w:hAnsi="Cambria" w:cs="Segoe UI"/>
                            <w:sz w:val="20"/>
                            <w:szCs w:val="20"/>
                            <w:lang w:val="en-GB" w:eastAsia="en-GB"/>
                          </w:rPr>
                        </w:pPr>
                        <w:r w:rsidRPr="009460DA">
                          <w:rPr>
                            <w:rFonts w:ascii="Cambria" w:hAnsi="Cambria" w:cs="Segoe UI"/>
                            <w:sz w:val="20"/>
                            <w:szCs w:val="20"/>
                            <w:shd w:val="clear" w:color="auto" w:fill="FFFFFF"/>
                          </w:rPr>
                          <w:t>Nurhuda Haji Nizar PhD, Universiti Teknologi MARA, Puncak Alam, Malaysia</w:t>
                        </w:r>
                      </w:p>
                    </w:tc>
                  </w:tr>
                </w:tbl>
                <w:p w:rsidR="003E0548" w:rsidRPr="009460DA" w:rsidRDefault="003E0548" w:rsidP="009460DA">
                  <w:pPr>
                    <w:spacing w:after="0" w:line="240" w:lineRule="auto"/>
                    <w:jc w:val="both"/>
                    <w:rPr>
                      <w:rFonts w:ascii="Cambria" w:eastAsia="Times New Roman" w:hAnsi="Cambria" w:cs="Times New Roman"/>
                      <w:sz w:val="20"/>
                      <w:szCs w:val="20"/>
                      <w:lang w:val="en-US"/>
                    </w:rPr>
                  </w:pPr>
                </w:p>
              </w:tc>
            </w:tr>
          </w:tbl>
          <w:p w:rsidR="003E0548" w:rsidRPr="009460DA" w:rsidRDefault="003E0548" w:rsidP="009460DA">
            <w:pPr>
              <w:spacing w:after="0" w:line="240" w:lineRule="auto"/>
              <w:jc w:val="both"/>
              <w:rPr>
                <w:rFonts w:ascii="Cambria" w:eastAsia="Times New Roman" w:hAnsi="Cambria" w:cs="Times New Roman"/>
                <w:sz w:val="20"/>
                <w:szCs w:val="20"/>
                <w:lang w:val="en-US"/>
              </w:rPr>
            </w:pPr>
          </w:p>
        </w:tc>
      </w:tr>
    </w:tbl>
    <w:p w:rsidR="00DE1053" w:rsidRPr="009460DA" w:rsidRDefault="00DE1053" w:rsidP="009460DA">
      <w:pPr>
        <w:spacing w:after="0" w:line="240" w:lineRule="auto"/>
        <w:jc w:val="both"/>
        <w:rPr>
          <w:rFonts w:ascii="Cambria" w:hAnsi="Cambria"/>
          <w:b/>
          <w:sz w:val="20"/>
          <w:szCs w:val="20"/>
        </w:rPr>
      </w:pPr>
    </w:p>
    <w:p w:rsidR="00DE1053" w:rsidRPr="009460DA" w:rsidRDefault="00DE1053" w:rsidP="009460DA">
      <w:pPr>
        <w:spacing w:after="0" w:line="240" w:lineRule="auto"/>
        <w:jc w:val="both"/>
        <w:rPr>
          <w:rFonts w:ascii="Cambria" w:hAnsi="Cambria"/>
          <w:b/>
          <w:sz w:val="20"/>
          <w:szCs w:val="20"/>
        </w:rPr>
      </w:pPr>
    </w:p>
    <w:p w:rsidR="00DE1053" w:rsidRPr="009460DA" w:rsidRDefault="00DE1053" w:rsidP="009460DA">
      <w:pPr>
        <w:spacing w:after="0" w:line="240" w:lineRule="auto"/>
        <w:jc w:val="both"/>
        <w:rPr>
          <w:rFonts w:ascii="Cambria" w:hAnsi="Cambria"/>
          <w:b/>
          <w:sz w:val="20"/>
          <w:szCs w:val="20"/>
        </w:rPr>
      </w:pPr>
    </w:p>
    <w:p w:rsidR="00DE1053" w:rsidRPr="009460DA" w:rsidRDefault="00DE1053" w:rsidP="009460DA">
      <w:pPr>
        <w:spacing w:after="0" w:line="240" w:lineRule="auto"/>
        <w:jc w:val="both"/>
        <w:rPr>
          <w:rFonts w:ascii="Cambria" w:hAnsi="Cambria"/>
          <w:b/>
          <w:sz w:val="20"/>
          <w:szCs w:val="20"/>
        </w:rPr>
      </w:pPr>
    </w:p>
    <w:p w:rsidR="00DE1053" w:rsidRPr="009460DA" w:rsidRDefault="00DE1053"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5C3BD4" w:rsidRPr="009460DA" w:rsidRDefault="005C3BD4"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4338F5" w:rsidRPr="009460DA" w:rsidRDefault="004338F5"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F45FEB" w:rsidRPr="009460DA" w:rsidRDefault="00F45FEB" w:rsidP="009460DA">
      <w:pPr>
        <w:spacing w:after="0" w:line="240" w:lineRule="auto"/>
        <w:jc w:val="both"/>
        <w:rPr>
          <w:rFonts w:ascii="Cambria" w:hAnsi="Cambria"/>
          <w:b/>
          <w:sz w:val="20"/>
          <w:szCs w:val="20"/>
          <w:lang w:val="en-US"/>
        </w:rPr>
      </w:pPr>
    </w:p>
    <w:p w:rsidR="00F45FEB" w:rsidRPr="009460DA" w:rsidRDefault="00F45FEB" w:rsidP="009460DA">
      <w:pPr>
        <w:spacing w:after="0" w:line="240" w:lineRule="auto"/>
        <w:jc w:val="both"/>
        <w:rPr>
          <w:rFonts w:ascii="Cambria" w:hAnsi="Cambria"/>
          <w:b/>
          <w:sz w:val="20"/>
          <w:szCs w:val="20"/>
          <w:lang w:val="en-US"/>
        </w:rPr>
      </w:pPr>
    </w:p>
    <w:p w:rsidR="00F45FEB" w:rsidRPr="009460DA" w:rsidRDefault="00F45FEB"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B1042A" w:rsidRPr="009460DA" w:rsidRDefault="00B1042A" w:rsidP="009460DA">
      <w:pPr>
        <w:spacing w:after="0" w:line="240" w:lineRule="auto"/>
        <w:jc w:val="both"/>
        <w:rPr>
          <w:rFonts w:ascii="Cambria" w:hAnsi="Cambria"/>
          <w:b/>
          <w:sz w:val="20"/>
          <w:szCs w:val="20"/>
          <w:lang w:val="en-US"/>
        </w:rPr>
      </w:pPr>
    </w:p>
    <w:p w:rsidR="00E402EE" w:rsidRPr="009460DA" w:rsidRDefault="00E402EE" w:rsidP="009460DA">
      <w:pPr>
        <w:spacing w:after="0" w:line="240" w:lineRule="auto"/>
        <w:jc w:val="both"/>
        <w:rPr>
          <w:rFonts w:ascii="Cambria" w:hAnsi="Cambria"/>
          <w:b/>
          <w:sz w:val="20"/>
          <w:szCs w:val="20"/>
          <w:lang w:val="en-US"/>
        </w:rPr>
      </w:pPr>
    </w:p>
    <w:p w:rsidR="003A1358" w:rsidRPr="009460DA" w:rsidRDefault="003A1358" w:rsidP="009460DA">
      <w:pPr>
        <w:spacing w:after="0" w:line="240" w:lineRule="auto"/>
        <w:jc w:val="center"/>
        <w:rPr>
          <w:rFonts w:ascii="Cambria" w:hAnsi="Cambria"/>
          <w:b/>
          <w:sz w:val="20"/>
          <w:szCs w:val="20"/>
          <w:lang w:val="en-US"/>
        </w:rPr>
      </w:pPr>
    </w:p>
    <w:p w:rsidR="00DE1053" w:rsidRPr="009460DA" w:rsidRDefault="00F70877" w:rsidP="009460DA">
      <w:pPr>
        <w:spacing w:after="0" w:line="240" w:lineRule="auto"/>
        <w:jc w:val="center"/>
        <w:rPr>
          <w:rFonts w:ascii="Cambria" w:hAnsi="Cambria"/>
          <w:b/>
          <w:sz w:val="20"/>
          <w:szCs w:val="20"/>
          <w:lang w:val="en-US"/>
        </w:rPr>
      </w:pPr>
      <w:r w:rsidRPr="009460DA">
        <w:rPr>
          <w:rFonts w:ascii="Cambria" w:hAnsi="Cambria"/>
          <w:b/>
          <w:sz w:val="20"/>
          <w:szCs w:val="20"/>
        </w:rPr>
        <w:t>TABLE OF CONTENTS</w:t>
      </w:r>
    </w:p>
    <w:p w:rsidR="00A85C64" w:rsidRPr="009460DA" w:rsidRDefault="00A85C64" w:rsidP="009460DA">
      <w:pPr>
        <w:spacing w:after="0" w:line="240" w:lineRule="auto"/>
        <w:jc w:val="both"/>
        <w:rPr>
          <w:rFonts w:ascii="Cambria" w:hAnsi="Cambria"/>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98"/>
        <w:gridCol w:w="947"/>
      </w:tblGrid>
      <w:tr w:rsidR="00DE1053" w:rsidRPr="009460DA" w:rsidTr="00DE1053">
        <w:tc>
          <w:tcPr>
            <w:tcW w:w="8298" w:type="dxa"/>
            <w:vAlign w:val="center"/>
          </w:tcPr>
          <w:p w:rsidR="00DE1053" w:rsidRPr="009460DA" w:rsidRDefault="00DE1053" w:rsidP="009460DA">
            <w:pPr>
              <w:tabs>
                <w:tab w:val="center" w:pos="4680"/>
                <w:tab w:val="right" w:pos="9360"/>
              </w:tabs>
              <w:spacing w:after="0" w:line="240" w:lineRule="auto"/>
              <w:jc w:val="both"/>
              <w:rPr>
                <w:rFonts w:ascii="Cambria" w:hAnsi="Cambria"/>
                <w:b/>
                <w:bCs/>
                <w:sz w:val="20"/>
                <w:szCs w:val="20"/>
                <w:lang w:val="en-US"/>
              </w:rPr>
            </w:pPr>
            <w:r w:rsidRPr="009460DA">
              <w:rPr>
                <w:rFonts w:ascii="Cambria" w:hAnsi="Cambria"/>
                <w:b/>
                <w:bCs/>
                <w:sz w:val="20"/>
                <w:szCs w:val="20"/>
              </w:rPr>
              <w:t>Description</w:t>
            </w:r>
          </w:p>
        </w:tc>
        <w:tc>
          <w:tcPr>
            <w:tcW w:w="947" w:type="dxa"/>
            <w:vAlign w:val="center"/>
          </w:tcPr>
          <w:p w:rsidR="00DE1053" w:rsidRPr="009460DA" w:rsidRDefault="00DE1053" w:rsidP="009460DA">
            <w:pPr>
              <w:tabs>
                <w:tab w:val="center" w:pos="4680"/>
                <w:tab w:val="right" w:pos="9360"/>
              </w:tabs>
              <w:spacing w:after="0" w:line="240" w:lineRule="auto"/>
              <w:jc w:val="both"/>
              <w:rPr>
                <w:rFonts w:ascii="Cambria" w:hAnsi="Cambria"/>
                <w:b/>
                <w:bCs/>
                <w:sz w:val="20"/>
                <w:szCs w:val="20"/>
              </w:rPr>
            </w:pPr>
            <w:r w:rsidRPr="009460DA">
              <w:rPr>
                <w:rFonts w:ascii="Cambria" w:hAnsi="Cambria"/>
                <w:b/>
                <w:bCs/>
                <w:sz w:val="20"/>
                <w:szCs w:val="20"/>
              </w:rPr>
              <w:t>Pages</w:t>
            </w:r>
          </w:p>
        </w:tc>
      </w:tr>
      <w:tr w:rsidR="00DE1053" w:rsidRPr="009460DA" w:rsidTr="00DE1053">
        <w:tc>
          <w:tcPr>
            <w:tcW w:w="8298" w:type="dxa"/>
            <w:vAlign w:val="center"/>
          </w:tcPr>
          <w:p w:rsidR="00DE1053" w:rsidRPr="009460DA" w:rsidRDefault="00BF2CE5" w:rsidP="009460DA">
            <w:pPr>
              <w:tabs>
                <w:tab w:val="center" w:pos="4680"/>
                <w:tab w:val="right" w:pos="9360"/>
              </w:tabs>
              <w:spacing w:after="0" w:line="240" w:lineRule="auto"/>
              <w:jc w:val="both"/>
              <w:rPr>
                <w:rFonts w:ascii="Cambria" w:hAnsi="Cambria"/>
                <w:sz w:val="20"/>
                <w:szCs w:val="20"/>
                <w:lang w:val="en-US"/>
              </w:rPr>
            </w:pPr>
            <w:r w:rsidRPr="009460DA">
              <w:rPr>
                <w:rFonts w:ascii="Cambria" w:hAnsi="Cambria"/>
                <w:sz w:val="20"/>
                <w:szCs w:val="20"/>
                <w:lang w:val="en-US"/>
              </w:rPr>
              <w:t>Title</w:t>
            </w:r>
          </w:p>
        </w:tc>
        <w:tc>
          <w:tcPr>
            <w:tcW w:w="947" w:type="dxa"/>
            <w:vAlign w:val="center"/>
          </w:tcPr>
          <w:p w:rsidR="00DE1053" w:rsidRPr="009460DA" w:rsidRDefault="00033D3E"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I</w:t>
            </w:r>
          </w:p>
        </w:tc>
      </w:tr>
      <w:tr w:rsidR="00DE1053" w:rsidRPr="009460DA" w:rsidTr="00DE1053">
        <w:tc>
          <w:tcPr>
            <w:tcW w:w="8298" w:type="dxa"/>
            <w:vAlign w:val="center"/>
          </w:tcPr>
          <w:p w:rsidR="00DE1053" w:rsidRPr="009460DA" w:rsidRDefault="00BF2CE5" w:rsidP="009460DA">
            <w:pPr>
              <w:tabs>
                <w:tab w:val="center" w:pos="4680"/>
                <w:tab w:val="right" w:pos="9360"/>
              </w:tabs>
              <w:spacing w:after="0" w:line="240" w:lineRule="auto"/>
              <w:jc w:val="both"/>
              <w:rPr>
                <w:rFonts w:ascii="Cambria" w:hAnsi="Cambria"/>
                <w:sz w:val="20"/>
                <w:szCs w:val="20"/>
                <w:lang w:val="en-US"/>
              </w:rPr>
            </w:pPr>
            <w:r w:rsidRPr="009460DA">
              <w:rPr>
                <w:rFonts w:ascii="Cambria" w:hAnsi="Cambria"/>
                <w:sz w:val="20"/>
                <w:szCs w:val="20"/>
                <w:lang w:val="en-US"/>
              </w:rPr>
              <w:t>Editorial</w:t>
            </w:r>
          </w:p>
        </w:tc>
        <w:tc>
          <w:tcPr>
            <w:tcW w:w="947" w:type="dxa"/>
            <w:vAlign w:val="center"/>
          </w:tcPr>
          <w:p w:rsidR="00DE1053" w:rsidRPr="009460DA" w:rsidRDefault="00033D3E"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II</w:t>
            </w:r>
          </w:p>
        </w:tc>
      </w:tr>
      <w:tr w:rsidR="00DE1053" w:rsidRPr="009460DA" w:rsidTr="00DE1053">
        <w:tc>
          <w:tcPr>
            <w:tcW w:w="8298" w:type="dxa"/>
            <w:vAlign w:val="center"/>
          </w:tcPr>
          <w:p w:rsidR="00DE1053" w:rsidRPr="009460DA" w:rsidRDefault="00BF2CE5" w:rsidP="009460DA">
            <w:pPr>
              <w:tabs>
                <w:tab w:val="center" w:pos="4680"/>
                <w:tab w:val="right" w:pos="9360"/>
              </w:tabs>
              <w:spacing w:after="0" w:line="240" w:lineRule="auto"/>
              <w:jc w:val="both"/>
              <w:rPr>
                <w:rFonts w:ascii="Cambria" w:hAnsi="Cambria"/>
                <w:sz w:val="20"/>
                <w:szCs w:val="20"/>
                <w:lang w:val="en-US"/>
              </w:rPr>
            </w:pPr>
            <w:r w:rsidRPr="009460DA">
              <w:rPr>
                <w:rFonts w:ascii="Cambria" w:hAnsi="Cambria"/>
                <w:sz w:val="20"/>
                <w:szCs w:val="20"/>
                <w:lang w:val="en-US"/>
              </w:rPr>
              <w:t>Editorial Board</w:t>
            </w:r>
          </w:p>
        </w:tc>
        <w:tc>
          <w:tcPr>
            <w:tcW w:w="947" w:type="dxa"/>
            <w:vAlign w:val="center"/>
          </w:tcPr>
          <w:p w:rsidR="00DE1053" w:rsidRPr="009460DA" w:rsidRDefault="00033D3E"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III</w:t>
            </w:r>
          </w:p>
        </w:tc>
      </w:tr>
      <w:tr w:rsidR="00DE1053" w:rsidRPr="009460DA" w:rsidTr="00DE1053">
        <w:tc>
          <w:tcPr>
            <w:tcW w:w="8298" w:type="dxa"/>
            <w:vAlign w:val="center"/>
          </w:tcPr>
          <w:p w:rsidR="00DE1053" w:rsidRPr="009460DA" w:rsidRDefault="00BF2CE5" w:rsidP="009460DA">
            <w:pPr>
              <w:tabs>
                <w:tab w:val="center" w:pos="4680"/>
                <w:tab w:val="right" w:pos="9360"/>
              </w:tabs>
              <w:spacing w:after="0" w:line="240" w:lineRule="auto"/>
              <w:jc w:val="both"/>
              <w:rPr>
                <w:rFonts w:ascii="Cambria" w:hAnsi="Cambria"/>
                <w:sz w:val="20"/>
                <w:szCs w:val="20"/>
              </w:rPr>
            </w:pPr>
            <w:r w:rsidRPr="009460DA">
              <w:rPr>
                <w:rFonts w:ascii="Cambria" w:hAnsi="Cambria"/>
                <w:sz w:val="20"/>
                <w:szCs w:val="20"/>
              </w:rPr>
              <w:t>Table of Contents</w:t>
            </w:r>
          </w:p>
        </w:tc>
        <w:tc>
          <w:tcPr>
            <w:tcW w:w="947" w:type="dxa"/>
            <w:vAlign w:val="center"/>
          </w:tcPr>
          <w:p w:rsidR="00DE1053" w:rsidRPr="009460DA" w:rsidRDefault="00033D3E"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IV</w:t>
            </w:r>
          </w:p>
        </w:tc>
      </w:tr>
      <w:tr w:rsidR="00BF2CE5" w:rsidRPr="009460DA" w:rsidTr="00DE1053">
        <w:tc>
          <w:tcPr>
            <w:tcW w:w="8298" w:type="dxa"/>
            <w:vAlign w:val="center"/>
          </w:tcPr>
          <w:p w:rsidR="00BF2CE5" w:rsidRPr="009460DA" w:rsidRDefault="00BF2CE5" w:rsidP="009460DA">
            <w:pPr>
              <w:tabs>
                <w:tab w:val="center" w:pos="4680"/>
                <w:tab w:val="right" w:pos="9360"/>
              </w:tabs>
              <w:spacing w:after="0" w:line="240" w:lineRule="auto"/>
              <w:jc w:val="both"/>
              <w:rPr>
                <w:rFonts w:ascii="Cambria" w:hAnsi="Cambria"/>
                <w:sz w:val="20"/>
                <w:szCs w:val="20"/>
                <w:lang w:val="en-US"/>
              </w:rPr>
            </w:pPr>
            <w:r w:rsidRPr="009460DA">
              <w:rPr>
                <w:rFonts w:ascii="Cambria" w:hAnsi="Cambria"/>
                <w:sz w:val="20"/>
                <w:szCs w:val="20"/>
                <w:lang w:val="en-US"/>
              </w:rPr>
              <w:t>Papers</w:t>
            </w:r>
          </w:p>
        </w:tc>
        <w:tc>
          <w:tcPr>
            <w:tcW w:w="947" w:type="dxa"/>
            <w:vAlign w:val="center"/>
          </w:tcPr>
          <w:p w:rsidR="00BF2CE5" w:rsidRPr="009460DA" w:rsidRDefault="00033D3E"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V</w:t>
            </w:r>
          </w:p>
        </w:tc>
      </w:tr>
      <w:tr w:rsidR="00D146F8" w:rsidRPr="009460DA" w:rsidTr="00DE1053">
        <w:tc>
          <w:tcPr>
            <w:tcW w:w="8298" w:type="dxa"/>
            <w:vAlign w:val="center"/>
          </w:tcPr>
          <w:p w:rsidR="004C738B" w:rsidRPr="009460DA" w:rsidRDefault="004C738B" w:rsidP="009460DA">
            <w:pPr>
              <w:pStyle w:val="Heading1"/>
              <w:spacing w:before="0" w:line="240" w:lineRule="auto"/>
              <w:jc w:val="both"/>
              <w:rPr>
                <w:rFonts w:ascii="Cambria" w:hAnsi="Cambria"/>
                <w:b w:val="0"/>
                <w:color w:val="auto"/>
                <w:sz w:val="20"/>
                <w:szCs w:val="20"/>
              </w:rPr>
            </w:pPr>
            <w:r w:rsidRPr="009460DA">
              <w:rPr>
                <w:rFonts w:ascii="Cambria" w:hAnsi="Cambria"/>
                <w:b w:val="0"/>
                <w:color w:val="auto"/>
                <w:sz w:val="20"/>
                <w:szCs w:val="20"/>
              </w:rPr>
              <w:t>The Effectiveness of Microfinance Program on Women’s Empowerment: Location as Moderator</w:t>
            </w:r>
          </w:p>
          <w:p w:rsidR="00D146F8" w:rsidRPr="009460DA" w:rsidRDefault="004C738B" w:rsidP="009460DA">
            <w:pPr>
              <w:spacing w:after="0" w:line="240" w:lineRule="auto"/>
              <w:jc w:val="both"/>
              <w:rPr>
                <w:rFonts w:ascii="Cambria" w:hAnsi="Cambria" w:cs="Times New Roman"/>
                <w:sz w:val="20"/>
                <w:szCs w:val="20"/>
              </w:rPr>
            </w:pPr>
            <w:r w:rsidRPr="009460DA">
              <w:rPr>
                <w:rFonts w:ascii="Cambria" w:hAnsi="Cambria"/>
                <w:color w:val="7030A0"/>
                <w:sz w:val="20"/>
                <w:szCs w:val="20"/>
              </w:rPr>
              <w:t>Maryam Jameelah Hashim</w:t>
            </w:r>
            <w:r w:rsidR="00653982" w:rsidRPr="009460DA">
              <w:rPr>
                <w:rFonts w:ascii="Cambria" w:hAnsi="Cambria"/>
                <w:color w:val="7030A0"/>
                <w:sz w:val="20"/>
                <w:szCs w:val="20"/>
                <w:lang w:val="en-US"/>
              </w:rPr>
              <w:t>,</w:t>
            </w:r>
            <w:r w:rsidRPr="009460DA">
              <w:rPr>
                <w:rFonts w:ascii="Cambria" w:hAnsi="Cambria"/>
                <w:color w:val="7030A0"/>
                <w:sz w:val="20"/>
                <w:szCs w:val="20"/>
              </w:rPr>
              <w:t xml:space="preserve"> Mohammad Izzat Naqib Yusof</w:t>
            </w:r>
            <w:r w:rsidRPr="009460DA">
              <w:rPr>
                <w:rFonts w:ascii="Cambria" w:hAnsi="Cambria"/>
                <w:color w:val="7030A0"/>
                <w:sz w:val="20"/>
                <w:szCs w:val="20"/>
                <w:lang w:val="en-US"/>
              </w:rPr>
              <w:t>,</w:t>
            </w:r>
            <w:r w:rsidRPr="009460DA">
              <w:rPr>
                <w:rFonts w:ascii="Cambria" w:hAnsi="Cambria"/>
                <w:color w:val="7030A0"/>
                <w:spacing w:val="-2"/>
                <w:sz w:val="20"/>
                <w:szCs w:val="20"/>
              </w:rPr>
              <w:t xml:space="preserve"> Nur Dina Athia Ramley</w:t>
            </w:r>
          </w:p>
        </w:tc>
        <w:tc>
          <w:tcPr>
            <w:tcW w:w="947" w:type="dxa"/>
            <w:vAlign w:val="center"/>
          </w:tcPr>
          <w:p w:rsidR="00D146F8" w:rsidRPr="009460DA" w:rsidRDefault="004C738B"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1</w:t>
            </w:r>
          </w:p>
        </w:tc>
      </w:tr>
      <w:tr w:rsidR="00DE1053" w:rsidRPr="009460DA" w:rsidTr="00DE1053">
        <w:tc>
          <w:tcPr>
            <w:tcW w:w="8298" w:type="dxa"/>
            <w:vAlign w:val="center"/>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Job Satisfaction and Turnover Intention among Employees in Educity, Johor</w:t>
            </w:r>
          </w:p>
          <w:p w:rsidR="00DE1053" w:rsidRPr="009460DA" w:rsidRDefault="00653982" w:rsidP="009460DA">
            <w:pPr>
              <w:pStyle w:val="CommentText"/>
              <w:spacing w:after="0"/>
              <w:jc w:val="both"/>
              <w:rPr>
                <w:rFonts w:ascii="Cambria" w:hAnsi="Cambria"/>
              </w:rPr>
            </w:pPr>
            <w:r w:rsidRPr="009460DA">
              <w:rPr>
                <w:rFonts w:ascii="Cambria" w:eastAsia="Cambria" w:hAnsi="Cambria" w:cs="Cambria"/>
                <w:color w:val="7030A0"/>
              </w:rPr>
              <w:t>Nur Dalilah Dahlan, Mohamad Firdaus Ahmad, Nur Syazwani Zulaikha Safwan, Nur Hani Syazwani Bakri &amp; Ummi Kalthum Mohd Mokhtar</w:t>
            </w:r>
          </w:p>
        </w:tc>
        <w:tc>
          <w:tcPr>
            <w:tcW w:w="947" w:type="dxa"/>
            <w:vAlign w:val="center"/>
          </w:tcPr>
          <w:p w:rsidR="00DE1053" w:rsidRPr="009460DA" w:rsidRDefault="004C738B"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14</w:t>
            </w:r>
          </w:p>
        </w:tc>
      </w:tr>
      <w:tr w:rsidR="00DE1053" w:rsidRPr="009460DA" w:rsidTr="00DE1053">
        <w:trPr>
          <w:trHeight w:val="287"/>
        </w:trPr>
        <w:tc>
          <w:tcPr>
            <w:tcW w:w="8298" w:type="dxa"/>
            <w:vAlign w:val="center"/>
          </w:tcPr>
          <w:p w:rsidR="00653982" w:rsidRPr="009460DA" w:rsidRDefault="00653982" w:rsidP="009460DA">
            <w:pPr>
              <w:tabs>
                <w:tab w:val="left" w:pos="7377"/>
              </w:tabs>
              <w:spacing w:after="0" w:line="240" w:lineRule="auto"/>
              <w:jc w:val="both"/>
              <w:rPr>
                <w:rFonts w:ascii="Cambria" w:hAnsi="Cambria" w:cstheme="majorBidi"/>
                <w:bCs/>
                <w:sz w:val="20"/>
                <w:szCs w:val="20"/>
                <w:lang w:val="en-ZA"/>
              </w:rPr>
            </w:pPr>
            <w:r w:rsidRPr="009460DA">
              <w:rPr>
                <w:rFonts w:ascii="Cambria" w:hAnsi="Cambria" w:cstheme="majorBidi"/>
                <w:bCs/>
                <w:sz w:val="20"/>
                <w:szCs w:val="20"/>
                <w:lang w:val="en-ZA"/>
              </w:rPr>
              <w:t>Does Internal Audit Quality Improve Firm Performance? The Moderating Effect of Chief Audit Executive Gender</w:t>
            </w:r>
          </w:p>
          <w:p w:rsidR="00DE1053" w:rsidRPr="009460DA" w:rsidRDefault="00653982" w:rsidP="009460DA">
            <w:pPr>
              <w:pStyle w:val="NoSpacing"/>
              <w:jc w:val="both"/>
              <w:rPr>
                <w:rFonts w:ascii="Cambria" w:hAnsi="Cambria"/>
                <w:sz w:val="20"/>
                <w:szCs w:val="20"/>
              </w:rPr>
            </w:pPr>
            <w:r w:rsidRPr="009460DA">
              <w:rPr>
                <w:rFonts w:ascii="Cambria" w:eastAsia="Times New Roman" w:hAnsi="Cambria" w:cstheme="majorBidi"/>
                <w:color w:val="7030A0"/>
                <w:sz w:val="20"/>
                <w:szCs w:val="20"/>
                <w:lang w:eastAsia="en-GB"/>
              </w:rPr>
              <w:t>Hella Dellai</w:t>
            </w:r>
          </w:p>
        </w:tc>
        <w:tc>
          <w:tcPr>
            <w:tcW w:w="947" w:type="dxa"/>
            <w:vAlign w:val="center"/>
          </w:tcPr>
          <w:p w:rsidR="00DE1053" w:rsidRPr="009460DA" w:rsidRDefault="00653982"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19</w:t>
            </w:r>
          </w:p>
        </w:tc>
      </w:tr>
      <w:tr w:rsidR="00DE1053" w:rsidRPr="009460DA" w:rsidTr="00DE1053">
        <w:tc>
          <w:tcPr>
            <w:tcW w:w="8298" w:type="dxa"/>
            <w:vAlign w:val="center"/>
          </w:tcPr>
          <w:p w:rsidR="008B2F5A" w:rsidRPr="009460DA" w:rsidRDefault="008B2F5A" w:rsidP="009460DA">
            <w:pPr>
              <w:spacing w:after="0" w:line="240" w:lineRule="auto"/>
              <w:jc w:val="both"/>
              <w:rPr>
                <w:rFonts w:ascii="Cambria" w:hAnsi="Cambria" w:cs="Arial"/>
                <w:bCs/>
                <w:sz w:val="20"/>
                <w:szCs w:val="20"/>
              </w:rPr>
            </w:pPr>
            <w:r w:rsidRPr="009460DA">
              <w:rPr>
                <w:rFonts w:ascii="Cambria" w:hAnsi="Cambria" w:cs="Arial"/>
                <w:bCs/>
                <w:sz w:val="20"/>
                <w:szCs w:val="20"/>
              </w:rPr>
              <w:t>Examining the Relationship of Customer Satisfaction and Brand Loyalty in Sports Products among University Students</w:t>
            </w:r>
          </w:p>
          <w:p w:rsidR="00DE1053" w:rsidRPr="009460DA" w:rsidRDefault="008B2F5A" w:rsidP="009460DA">
            <w:pPr>
              <w:spacing w:after="0" w:line="240" w:lineRule="auto"/>
              <w:jc w:val="both"/>
              <w:rPr>
                <w:rFonts w:ascii="Cambria" w:hAnsi="Cambria" w:cs="Times New Roman"/>
                <w:sz w:val="20"/>
                <w:szCs w:val="20"/>
              </w:rPr>
            </w:pPr>
            <w:r w:rsidRPr="009460DA">
              <w:rPr>
                <w:rFonts w:ascii="Cambria" w:hAnsi="Cambria"/>
                <w:iCs/>
                <w:color w:val="7030A0"/>
                <w:sz w:val="20"/>
                <w:szCs w:val="20"/>
              </w:rPr>
              <w:t>Nur Hani Syazwani Bakri, Mohamad Firdaus Ahmad, Nur Syazwani Zulaikha Safwan, Nur Dalilah Dahlan, Norsyazlin Elfira Mohd Azli</w:t>
            </w:r>
            <w:r w:rsidR="00ED0AF3" w:rsidRPr="009460DA">
              <w:rPr>
                <w:rFonts w:ascii="Cambria" w:hAnsi="Cambria"/>
                <w:iCs/>
                <w:color w:val="7030A0"/>
                <w:sz w:val="20"/>
                <w:szCs w:val="20"/>
                <w:lang w:val="en-US"/>
              </w:rPr>
              <w:t>,</w:t>
            </w:r>
            <w:r w:rsidRPr="009460DA">
              <w:rPr>
                <w:rFonts w:ascii="Cambria" w:hAnsi="Cambria"/>
                <w:iCs/>
                <w:color w:val="7030A0"/>
                <w:sz w:val="20"/>
                <w:szCs w:val="20"/>
              </w:rPr>
              <w:t xml:space="preserve"> Mohd Huzaimie Ahmad Kafrawi</w:t>
            </w:r>
          </w:p>
        </w:tc>
        <w:tc>
          <w:tcPr>
            <w:tcW w:w="947" w:type="dxa"/>
            <w:vAlign w:val="center"/>
          </w:tcPr>
          <w:p w:rsidR="00DE1053" w:rsidRPr="009460DA" w:rsidRDefault="00653982"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29</w:t>
            </w:r>
          </w:p>
        </w:tc>
      </w:tr>
      <w:tr w:rsidR="00653982" w:rsidRPr="009460DA" w:rsidTr="00DE1053">
        <w:tc>
          <w:tcPr>
            <w:tcW w:w="8298" w:type="dxa"/>
            <w:vAlign w:val="center"/>
          </w:tcPr>
          <w:p w:rsidR="00077D92" w:rsidRPr="009460DA" w:rsidRDefault="00077D92" w:rsidP="009460DA">
            <w:pPr>
              <w:spacing w:after="0" w:line="240" w:lineRule="auto"/>
              <w:jc w:val="both"/>
              <w:rPr>
                <w:rFonts w:ascii="Cambria" w:hAnsi="Cambria" w:cs="Times New Roman"/>
                <w:bCs/>
                <w:sz w:val="20"/>
                <w:szCs w:val="20"/>
              </w:rPr>
            </w:pPr>
            <w:r w:rsidRPr="009460DA">
              <w:rPr>
                <w:rFonts w:ascii="Cambria" w:hAnsi="Cambria" w:cs="Times New Roman"/>
                <w:bCs/>
                <w:sz w:val="20"/>
                <w:szCs w:val="20"/>
              </w:rPr>
              <w:t>A Review of the Critical Gaps in the Food Security Literature: Addressing Key Issues for Sustainable Development</w:t>
            </w:r>
          </w:p>
          <w:p w:rsidR="00653982" w:rsidRPr="009460DA" w:rsidRDefault="00077D92" w:rsidP="009460DA">
            <w:pPr>
              <w:spacing w:after="0" w:line="240" w:lineRule="auto"/>
              <w:jc w:val="both"/>
              <w:rPr>
                <w:rFonts w:ascii="Cambria" w:hAnsi="Cambria" w:cs="Times New Roman"/>
                <w:sz w:val="20"/>
                <w:szCs w:val="20"/>
              </w:rPr>
            </w:pPr>
            <w:r w:rsidRPr="009460DA">
              <w:rPr>
                <w:rFonts w:ascii="Cambria" w:hAnsi="Cambria" w:cs="Segoe UI"/>
                <w:color w:val="7030A0"/>
                <w:sz w:val="20"/>
                <w:szCs w:val="20"/>
                <w:shd w:val="clear" w:color="auto" w:fill="FFFFFF"/>
              </w:rPr>
              <w:t>Fadhlur Rahim Azmi, Suhaiza Zailani</w:t>
            </w:r>
            <w:r w:rsidRPr="009460DA">
              <w:rPr>
                <w:rFonts w:ascii="Cambria" w:hAnsi="Cambria" w:cs="Segoe UI"/>
                <w:color w:val="7030A0"/>
                <w:sz w:val="20"/>
                <w:szCs w:val="20"/>
                <w:shd w:val="clear" w:color="auto" w:fill="FFFFFF"/>
                <w:lang w:val="en-US"/>
              </w:rPr>
              <w:t>,</w:t>
            </w:r>
            <w:r w:rsidRPr="009460DA">
              <w:rPr>
                <w:rFonts w:ascii="Cambria" w:hAnsi="Cambria" w:cs="Segoe UI"/>
                <w:color w:val="7030A0"/>
                <w:sz w:val="20"/>
                <w:szCs w:val="20"/>
                <w:shd w:val="clear" w:color="auto" w:fill="FFFFFF"/>
              </w:rPr>
              <w:t xml:space="preserve"> Mastura Roni</w:t>
            </w:r>
          </w:p>
        </w:tc>
        <w:tc>
          <w:tcPr>
            <w:tcW w:w="947" w:type="dxa"/>
            <w:vAlign w:val="center"/>
          </w:tcPr>
          <w:p w:rsidR="00653982" w:rsidRPr="009460DA" w:rsidRDefault="00077D92"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35</w:t>
            </w:r>
          </w:p>
        </w:tc>
      </w:tr>
      <w:tr w:rsidR="003A1358" w:rsidRPr="009460DA" w:rsidTr="00DE1053">
        <w:tc>
          <w:tcPr>
            <w:tcW w:w="8298" w:type="dxa"/>
            <w:vAlign w:val="center"/>
          </w:tcPr>
          <w:p w:rsidR="003A1358" w:rsidRPr="009460DA" w:rsidRDefault="003A1358" w:rsidP="009460DA">
            <w:pPr>
              <w:spacing w:after="0" w:line="240" w:lineRule="auto"/>
              <w:jc w:val="both"/>
              <w:rPr>
                <w:rFonts w:ascii="Cambria" w:hAnsi="Cambria" w:cs="Arial"/>
                <w:sz w:val="20"/>
                <w:szCs w:val="20"/>
              </w:rPr>
            </w:pPr>
            <w:r w:rsidRPr="009460DA">
              <w:rPr>
                <w:rFonts w:ascii="Cambria" w:hAnsi="Cambria" w:cs="Arial"/>
                <w:bCs/>
                <w:sz w:val="20"/>
                <w:szCs w:val="20"/>
              </w:rPr>
              <w:t xml:space="preserve">The Effect of HRM Practices on Organizational Performance: A Survey of </w:t>
            </w:r>
            <w:r w:rsidRPr="009460DA">
              <w:rPr>
                <w:rFonts w:ascii="Cambria" w:hAnsi="Cambria" w:cs="Arial"/>
                <w:sz w:val="20"/>
                <w:szCs w:val="20"/>
              </w:rPr>
              <w:t>Malaysian State Sports Councils’ Employees</w:t>
            </w:r>
          </w:p>
          <w:p w:rsidR="003A1358" w:rsidRPr="009460DA" w:rsidRDefault="003A1358" w:rsidP="009460DA">
            <w:pPr>
              <w:spacing w:after="0" w:line="240" w:lineRule="auto"/>
              <w:jc w:val="both"/>
              <w:rPr>
                <w:rFonts w:ascii="Cambria" w:hAnsi="Cambria" w:cs="Times New Roman"/>
                <w:bCs/>
                <w:sz w:val="20"/>
                <w:szCs w:val="20"/>
              </w:rPr>
            </w:pPr>
            <w:r w:rsidRPr="009460DA">
              <w:rPr>
                <w:rFonts w:ascii="Cambria" w:hAnsi="Cambria" w:cs="Segoe UI"/>
                <w:color w:val="7030A0"/>
                <w:sz w:val="20"/>
                <w:szCs w:val="20"/>
                <w:shd w:val="clear" w:color="auto" w:fill="FFFFFF" w:themeFill="background1"/>
              </w:rPr>
              <w:t>Nur Syazwani Zulaikha Safwan, Mohamad Firdaus Ahmad</w:t>
            </w:r>
            <w:r w:rsidRPr="009460DA">
              <w:rPr>
                <w:rFonts w:ascii="Cambria" w:hAnsi="Cambria" w:cs="Segoe UI"/>
                <w:color w:val="7030A0"/>
                <w:sz w:val="20"/>
                <w:szCs w:val="20"/>
                <w:shd w:val="clear" w:color="auto" w:fill="FFFFFF" w:themeFill="background1"/>
                <w:lang w:val="en-US"/>
              </w:rPr>
              <w:t>,</w:t>
            </w:r>
            <w:r w:rsidRPr="009460DA">
              <w:rPr>
                <w:rFonts w:ascii="Cambria" w:hAnsi="Cambria" w:cs="Segoe UI"/>
                <w:color w:val="7030A0"/>
                <w:sz w:val="20"/>
                <w:szCs w:val="20"/>
                <w:shd w:val="clear" w:color="auto" w:fill="FFFFFF" w:themeFill="background1"/>
              </w:rPr>
              <w:t xml:space="preserve"> Muhammad Syukri Abdullah</w:t>
            </w:r>
          </w:p>
        </w:tc>
        <w:tc>
          <w:tcPr>
            <w:tcW w:w="947" w:type="dxa"/>
            <w:vAlign w:val="center"/>
          </w:tcPr>
          <w:p w:rsidR="003A1358" w:rsidRPr="009460DA" w:rsidRDefault="003A1358" w:rsidP="009460DA">
            <w:pPr>
              <w:tabs>
                <w:tab w:val="center" w:pos="4680"/>
                <w:tab w:val="right" w:pos="9360"/>
              </w:tabs>
              <w:spacing w:after="0" w:line="240" w:lineRule="auto"/>
              <w:jc w:val="center"/>
              <w:rPr>
                <w:rFonts w:ascii="Cambria" w:hAnsi="Cambria"/>
                <w:sz w:val="20"/>
                <w:szCs w:val="20"/>
                <w:lang w:val="en-US"/>
              </w:rPr>
            </w:pPr>
            <w:r w:rsidRPr="009460DA">
              <w:rPr>
                <w:rFonts w:ascii="Cambria" w:hAnsi="Cambria"/>
                <w:sz w:val="20"/>
                <w:szCs w:val="20"/>
                <w:lang w:val="en-US"/>
              </w:rPr>
              <w:t>47</w:t>
            </w:r>
          </w:p>
        </w:tc>
      </w:tr>
      <w:tr w:rsidR="00F730A4" w:rsidRPr="009460DA" w:rsidTr="00DE1053">
        <w:tc>
          <w:tcPr>
            <w:tcW w:w="8298" w:type="dxa"/>
            <w:vAlign w:val="center"/>
          </w:tcPr>
          <w:p w:rsidR="00F730A4" w:rsidRPr="00F730A4" w:rsidRDefault="00F730A4" w:rsidP="00F730A4">
            <w:pPr>
              <w:pStyle w:val="Heading1"/>
              <w:spacing w:before="0" w:line="240" w:lineRule="auto"/>
              <w:jc w:val="both"/>
              <w:rPr>
                <w:rFonts w:ascii="Cambria" w:hAnsi="Cambria"/>
                <w:b w:val="0"/>
                <w:color w:val="auto"/>
                <w:sz w:val="20"/>
                <w:szCs w:val="20"/>
                <w:lang w:val="en-MY"/>
              </w:rPr>
            </w:pPr>
            <w:r w:rsidRPr="00F730A4">
              <w:rPr>
                <w:rFonts w:ascii="Cambria" w:hAnsi="Cambria"/>
                <w:b w:val="0"/>
                <w:color w:val="auto"/>
                <w:sz w:val="20"/>
                <w:szCs w:val="20"/>
                <w:lang w:val="en-MY"/>
              </w:rPr>
              <w:t>Modelling Online Shopping Behaviour Patterns among Higher Education Consumers: A Structural Equation Modelling (SEM-AMOS) Approach</w:t>
            </w:r>
          </w:p>
          <w:p w:rsidR="00F730A4" w:rsidRPr="009460DA" w:rsidRDefault="00F730A4" w:rsidP="00F730A4">
            <w:pPr>
              <w:spacing w:after="0" w:line="240" w:lineRule="auto"/>
              <w:jc w:val="both"/>
              <w:rPr>
                <w:rFonts w:ascii="Cambria" w:hAnsi="Cambria" w:cs="Arial"/>
                <w:bCs/>
                <w:sz w:val="20"/>
                <w:szCs w:val="20"/>
              </w:rPr>
            </w:pPr>
            <w:r w:rsidRPr="00F730A4">
              <w:rPr>
                <w:rFonts w:ascii="Cambria" w:hAnsi="Cambria"/>
                <w:color w:val="6F2F9F"/>
                <w:sz w:val="20"/>
                <w:szCs w:val="20"/>
              </w:rPr>
              <w:t>Siti Hasma Hajar Mat Zin, Siti Haslini Binti Zakaria, Balkiah Moktar</w:t>
            </w:r>
            <w:r>
              <w:rPr>
                <w:rFonts w:ascii="Cambria" w:hAnsi="Cambria"/>
                <w:color w:val="6F2F9F"/>
                <w:sz w:val="20"/>
                <w:szCs w:val="20"/>
                <w:lang w:val="en-US"/>
              </w:rPr>
              <w:t>,</w:t>
            </w:r>
            <w:r w:rsidRPr="00F730A4">
              <w:rPr>
                <w:rFonts w:ascii="Cambria" w:hAnsi="Cambria"/>
                <w:color w:val="6F2F9F"/>
                <w:sz w:val="20"/>
                <w:szCs w:val="20"/>
              </w:rPr>
              <w:t xml:space="preserve"> Rumaizah Binti Che Md Nor</w:t>
            </w:r>
          </w:p>
        </w:tc>
        <w:tc>
          <w:tcPr>
            <w:tcW w:w="947" w:type="dxa"/>
            <w:vAlign w:val="center"/>
          </w:tcPr>
          <w:p w:rsidR="00F730A4" w:rsidRPr="009460DA" w:rsidRDefault="00F730A4" w:rsidP="009460DA">
            <w:pPr>
              <w:tabs>
                <w:tab w:val="center" w:pos="4680"/>
                <w:tab w:val="right" w:pos="9360"/>
              </w:tabs>
              <w:spacing w:after="0" w:line="240" w:lineRule="auto"/>
              <w:jc w:val="center"/>
              <w:rPr>
                <w:rFonts w:ascii="Cambria" w:hAnsi="Cambria"/>
                <w:sz w:val="20"/>
                <w:szCs w:val="20"/>
                <w:lang w:val="en-US"/>
              </w:rPr>
            </w:pPr>
            <w:r>
              <w:rPr>
                <w:rFonts w:ascii="Cambria" w:hAnsi="Cambria"/>
                <w:sz w:val="20"/>
                <w:szCs w:val="20"/>
                <w:lang w:val="en-US"/>
              </w:rPr>
              <w:t>54</w:t>
            </w:r>
          </w:p>
        </w:tc>
      </w:tr>
    </w:tbl>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BF2CE5" w:rsidRPr="009460DA" w:rsidRDefault="00BF2CE5" w:rsidP="009460DA">
      <w:pPr>
        <w:spacing w:after="0" w:line="240" w:lineRule="auto"/>
        <w:jc w:val="both"/>
        <w:rPr>
          <w:rFonts w:ascii="Cambria" w:hAnsi="Cambria"/>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BA029E" w:rsidRPr="009460DA" w:rsidRDefault="00BA029E" w:rsidP="009460DA">
      <w:pPr>
        <w:spacing w:after="0" w:line="240" w:lineRule="auto"/>
        <w:jc w:val="both"/>
        <w:rPr>
          <w:rFonts w:ascii="Cambria" w:eastAsia="Calibri" w:hAnsi="Cambria" w:cs="Times New Roman"/>
          <w:b/>
          <w:sz w:val="20"/>
          <w:szCs w:val="20"/>
          <w:lang w:val="en-US"/>
        </w:rPr>
      </w:pPr>
    </w:p>
    <w:p w:rsidR="00BA029E" w:rsidRPr="009460DA" w:rsidRDefault="00BA029E" w:rsidP="009460DA">
      <w:pPr>
        <w:spacing w:after="0" w:line="240" w:lineRule="auto"/>
        <w:jc w:val="both"/>
        <w:rPr>
          <w:rFonts w:ascii="Cambria" w:eastAsia="Calibri" w:hAnsi="Cambria" w:cs="Times New Roman"/>
          <w:b/>
          <w:sz w:val="20"/>
          <w:szCs w:val="20"/>
          <w:lang w:val="en-US"/>
        </w:rPr>
      </w:pPr>
    </w:p>
    <w:p w:rsidR="00DD6FA1" w:rsidRPr="009460DA" w:rsidRDefault="00DD6FA1" w:rsidP="009460DA">
      <w:pPr>
        <w:spacing w:after="0" w:line="240" w:lineRule="auto"/>
        <w:jc w:val="both"/>
        <w:rPr>
          <w:rFonts w:ascii="Cambria" w:eastAsia="Calibri" w:hAnsi="Cambria" w:cs="Times New Roman"/>
          <w:b/>
          <w:sz w:val="20"/>
          <w:szCs w:val="20"/>
          <w:lang w:val="en-US"/>
        </w:rPr>
      </w:pPr>
    </w:p>
    <w:p w:rsidR="00DD6FA1" w:rsidRPr="009460DA" w:rsidRDefault="00DD6FA1" w:rsidP="009460DA">
      <w:pPr>
        <w:spacing w:after="0" w:line="240" w:lineRule="auto"/>
        <w:jc w:val="both"/>
        <w:rPr>
          <w:rFonts w:ascii="Cambria" w:eastAsia="Calibri" w:hAnsi="Cambria" w:cs="Times New Roman"/>
          <w:b/>
          <w:sz w:val="20"/>
          <w:szCs w:val="20"/>
          <w:lang w:val="en-US"/>
        </w:rPr>
      </w:pPr>
    </w:p>
    <w:p w:rsidR="00DD6FA1" w:rsidRPr="009460DA" w:rsidRDefault="00DD6FA1" w:rsidP="009460DA">
      <w:pPr>
        <w:spacing w:after="0" w:line="240" w:lineRule="auto"/>
        <w:jc w:val="both"/>
        <w:rPr>
          <w:rFonts w:ascii="Cambria" w:eastAsia="Calibri" w:hAnsi="Cambria" w:cs="Times New Roman"/>
          <w:b/>
          <w:sz w:val="20"/>
          <w:szCs w:val="20"/>
          <w:lang w:val="en-US"/>
        </w:rPr>
      </w:pPr>
    </w:p>
    <w:p w:rsidR="00DD6FA1" w:rsidRPr="009460DA" w:rsidRDefault="00DD6FA1" w:rsidP="009460DA">
      <w:pPr>
        <w:spacing w:after="0" w:line="240" w:lineRule="auto"/>
        <w:jc w:val="both"/>
        <w:rPr>
          <w:rFonts w:ascii="Cambria" w:eastAsia="Calibri" w:hAnsi="Cambria" w:cs="Times New Roman"/>
          <w:b/>
          <w:sz w:val="20"/>
          <w:szCs w:val="20"/>
          <w:lang w:val="en-US"/>
        </w:rPr>
      </w:pPr>
    </w:p>
    <w:p w:rsidR="00DD6FA1" w:rsidRPr="009460DA" w:rsidRDefault="00DD6FA1" w:rsidP="009460DA">
      <w:pPr>
        <w:spacing w:after="0" w:line="240" w:lineRule="auto"/>
        <w:jc w:val="both"/>
        <w:rPr>
          <w:rFonts w:ascii="Cambria" w:eastAsia="Calibri" w:hAnsi="Cambria" w:cs="Times New Roman"/>
          <w:b/>
          <w:sz w:val="20"/>
          <w:szCs w:val="20"/>
          <w:lang w:val="en-US"/>
        </w:rPr>
      </w:pPr>
    </w:p>
    <w:p w:rsidR="00941E5E" w:rsidRPr="009460DA" w:rsidRDefault="00941E5E" w:rsidP="009460DA">
      <w:pPr>
        <w:spacing w:after="0" w:line="240" w:lineRule="auto"/>
        <w:jc w:val="both"/>
        <w:rPr>
          <w:rFonts w:ascii="Cambria" w:eastAsia="Calibri" w:hAnsi="Cambria" w:cs="Times New Roman"/>
          <w:b/>
          <w:sz w:val="20"/>
          <w:szCs w:val="20"/>
          <w:lang w:val="en-US"/>
        </w:rPr>
      </w:pPr>
    </w:p>
    <w:p w:rsidR="00941E5E" w:rsidRPr="009460DA" w:rsidRDefault="00941E5E" w:rsidP="009460DA">
      <w:pPr>
        <w:spacing w:after="0" w:line="240" w:lineRule="auto"/>
        <w:jc w:val="both"/>
        <w:rPr>
          <w:rFonts w:ascii="Cambria" w:eastAsia="Calibri" w:hAnsi="Cambria" w:cs="Times New Roman"/>
          <w:b/>
          <w:sz w:val="20"/>
          <w:szCs w:val="20"/>
          <w:lang w:val="en-US"/>
        </w:rPr>
      </w:pPr>
    </w:p>
    <w:p w:rsidR="00941E5E" w:rsidRPr="009460DA" w:rsidRDefault="00941E5E" w:rsidP="009460DA">
      <w:pPr>
        <w:spacing w:after="0" w:line="240" w:lineRule="auto"/>
        <w:jc w:val="both"/>
        <w:rPr>
          <w:rFonts w:ascii="Cambria" w:eastAsia="Calibri" w:hAnsi="Cambria" w:cs="Times New Roman"/>
          <w:b/>
          <w:sz w:val="20"/>
          <w:szCs w:val="20"/>
          <w:lang w:val="en-US"/>
        </w:rPr>
      </w:pPr>
    </w:p>
    <w:p w:rsidR="00BA029E" w:rsidRPr="009460DA" w:rsidRDefault="00BA029E" w:rsidP="009460DA">
      <w:pPr>
        <w:spacing w:after="0" w:line="240" w:lineRule="auto"/>
        <w:jc w:val="both"/>
        <w:rPr>
          <w:rFonts w:ascii="Cambria" w:eastAsia="Calibri" w:hAnsi="Cambria" w:cs="Times New Roman"/>
          <w:b/>
          <w:sz w:val="20"/>
          <w:szCs w:val="20"/>
          <w:lang w:val="en-US"/>
        </w:rPr>
      </w:pPr>
    </w:p>
    <w:p w:rsidR="00160800" w:rsidRPr="009460DA" w:rsidRDefault="00160800" w:rsidP="009460DA">
      <w:pPr>
        <w:spacing w:after="0" w:line="240" w:lineRule="auto"/>
        <w:jc w:val="both"/>
        <w:rPr>
          <w:rFonts w:ascii="Cambria" w:eastAsia="Calibri" w:hAnsi="Cambria" w:cs="Times New Roman"/>
          <w:b/>
          <w:sz w:val="20"/>
          <w:szCs w:val="20"/>
          <w:lang w:val="en-US"/>
        </w:rPr>
      </w:pPr>
    </w:p>
    <w:p w:rsidR="00A9316D" w:rsidRPr="009460DA" w:rsidRDefault="00A9316D" w:rsidP="009460DA">
      <w:pPr>
        <w:tabs>
          <w:tab w:val="left" w:pos="5223"/>
        </w:tabs>
        <w:spacing w:after="0" w:line="240" w:lineRule="auto"/>
        <w:jc w:val="both"/>
        <w:rPr>
          <w:rFonts w:ascii="Cambria" w:eastAsia="Calibri" w:hAnsi="Cambria" w:cs="Times New Roman"/>
          <w:b/>
          <w:sz w:val="20"/>
          <w:szCs w:val="20"/>
          <w:lang w:val="en-US"/>
        </w:rPr>
      </w:pPr>
    </w:p>
    <w:p w:rsidR="00D06F0C" w:rsidRPr="009460DA" w:rsidRDefault="00D06F0C" w:rsidP="009460DA">
      <w:pPr>
        <w:tabs>
          <w:tab w:val="left" w:pos="5223"/>
        </w:tabs>
        <w:spacing w:after="0" w:line="240" w:lineRule="auto"/>
        <w:jc w:val="both"/>
        <w:rPr>
          <w:rFonts w:ascii="Cambria" w:eastAsia="Calibri" w:hAnsi="Cambria" w:cs="Times New Roman"/>
          <w:b/>
          <w:sz w:val="20"/>
          <w:szCs w:val="20"/>
          <w:lang w:val="en-US"/>
        </w:rPr>
      </w:pPr>
    </w:p>
    <w:p w:rsidR="00D06F0C" w:rsidRPr="009460DA" w:rsidRDefault="00D06F0C" w:rsidP="009460DA">
      <w:pPr>
        <w:tabs>
          <w:tab w:val="left" w:pos="5223"/>
        </w:tabs>
        <w:spacing w:after="0" w:line="240" w:lineRule="auto"/>
        <w:jc w:val="both"/>
        <w:rPr>
          <w:rFonts w:ascii="Cambria" w:eastAsia="Calibri" w:hAnsi="Cambria" w:cs="Times New Roman"/>
          <w:b/>
          <w:sz w:val="20"/>
          <w:szCs w:val="20"/>
          <w:lang w:val="en-US"/>
        </w:rPr>
      </w:pPr>
    </w:p>
    <w:p w:rsidR="006410B4" w:rsidRPr="009460DA" w:rsidRDefault="006410B4" w:rsidP="009460DA">
      <w:pPr>
        <w:tabs>
          <w:tab w:val="left" w:pos="5223"/>
        </w:tabs>
        <w:spacing w:after="0" w:line="240" w:lineRule="auto"/>
        <w:jc w:val="both"/>
        <w:rPr>
          <w:rFonts w:ascii="Cambria" w:eastAsia="Calibri" w:hAnsi="Cambria" w:cs="Times New Roman"/>
          <w:b/>
          <w:sz w:val="20"/>
          <w:szCs w:val="20"/>
          <w:lang w:val="en-US"/>
        </w:rPr>
      </w:pPr>
    </w:p>
    <w:p w:rsidR="004C68EB" w:rsidRPr="009460DA" w:rsidRDefault="004C68EB" w:rsidP="009460DA">
      <w:pPr>
        <w:tabs>
          <w:tab w:val="left" w:pos="5223"/>
        </w:tabs>
        <w:spacing w:after="0" w:line="240" w:lineRule="auto"/>
        <w:jc w:val="both"/>
        <w:rPr>
          <w:rFonts w:ascii="Cambria" w:eastAsia="Calibri" w:hAnsi="Cambria" w:cs="Times New Roman"/>
          <w:b/>
          <w:sz w:val="20"/>
          <w:szCs w:val="20"/>
          <w:lang w:val="en-US"/>
        </w:rPr>
      </w:pPr>
    </w:p>
    <w:p w:rsidR="006410B4" w:rsidRPr="009460DA" w:rsidRDefault="006410B4" w:rsidP="009460DA">
      <w:pPr>
        <w:tabs>
          <w:tab w:val="left" w:pos="5223"/>
        </w:tabs>
        <w:spacing w:after="0" w:line="240" w:lineRule="auto"/>
        <w:jc w:val="both"/>
        <w:rPr>
          <w:rFonts w:ascii="Cambria" w:eastAsia="Calibri" w:hAnsi="Cambria" w:cs="Times New Roman"/>
          <w:b/>
          <w:sz w:val="20"/>
          <w:szCs w:val="20"/>
          <w:lang w:val="en-US"/>
        </w:rPr>
      </w:pPr>
    </w:p>
    <w:p w:rsidR="006410B4" w:rsidRPr="009460DA" w:rsidRDefault="006410B4" w:rsidP="009460DA">
      <w:pPr>
        <w:tabs>
          <w:tab w:val="left" w:pos="5223"/>
        </w:tabs>
        <w:spacing w:after="0" w:line="240" w:lineRule="auto"/>
        <w:jc w:val="both"/>
        <w:rPr>
          <w:rFonts w:ascii="Cambria" w:eastAsia="Calibri" w:hAnsi="Cambria" w:cs="Times New Roman"/>
          <w:b/>
          <w:sz w:val="20"/>
          <w:szCs w:val="20"/>
          <w:lang w:val="en-US"/>
        </w:rPr>
      </w:pPr>
    </w:p>
    <w:p w:rsidR="00D06F0C" w:rsidRPr="009460DA" w:rsidRDefault="00D06F0C" w:rsidP="009460DA">
      <w:pPr>
        <w:tabs>
          <w:tab w:val="left" w:pos="5223"/>
        </w:tabs>
        <w:spacing w:after="0" w:line="240" w:lineRule="auto"/>
        <w:jc w:val="both"/>
        <w:rPr>
          <w:rFonts w:ascii="Cambria" w:eastAsia="Calibri" w:hAnsi="Cambria" w:cs="Times New Roman"/>
          <w:b/>
          <w:sz w:val="20"/>
          <w:szCs w:val="20"/>
          <w:lang w:val="en-US"/>
        </w:rPr>
      </w:pPr>
    </w:p>
    <w:p w:rsidR="00311BF5" w:rsidRPr="009460DA" w:rsidRDefault="00311BF5" w:rsidP="009460DA">
      <w:pPr>
        <w:tabs>
          <w:tab w:val="left" w:pos="5223"/>
        </w:tabs>
        <w:spacing w:after="0" w:line="240" w:lineRule="auto"/>
        <w:jc w:val="both"/>
        <w:rPr>
          <w:rFonts w:ascii="Cambria" w:eastAsia="Calibri" w:hAnsi="Cambria" w:cs="Times New Roman"/>
          <w:b/>
          <w:sz w:val="20"/>
          <w:szCs w:val="20"/>
          <w:lang w:val="en-US"/>
        </w:rPr>
      </w:pPr>
    </w:p>
    <w:p w:rsidR="00667770" w:rsidRPr="009460DA" w:rsidRDefault="00667770"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1A10FA" w:rsidRPr="009460DA" w:rsidRDefault="001A10FA" w:rsidP="009460DA">
      <w:pPr>
        <w:tabs>
          <w:tab w:val="left" w:pos="5223"/>
        </w:tabs>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center"/>
        <w:rPr>
          <w:rFonts w:ascii="Cambria" w:eastAsia="Calibri" w:hAnsi="Cambria" w:cs="Times New Roman"/>
          <w:b/>
          <w:sz w:val="48"/>
          <w:szCs w:val="48"/>
          <w:lang w:val="en-US"/>
        </w:rPr>
      </w:pPr>
      <w:r w:rsidRPr="009460DA">
        <w:rPr>
          <w:rFonts w:ascii="Cambria" w:eastAsia="Calibri" w:hAnsi="Cambria" w:cs="Times New Roman"/>
          <w:b/>
          <w:sz w:val="48"/>
          <w:szCs w:val="48"/>
          <w:lang w:val="en-US"/>
        </w:rPr>
        <w:t>PAPERS</w:t>
      </w: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7A2B68" w:rsidRPr="009460DA" w:rsidRDefault="007A2B68" w:rsidP="009460DA">
      <w:pPr>
        <w:spacing w:after="0" w:line="240" w:lineRule="auto"/>
        <w:jc w:val="both"/>
        <w:rPr>
          <w:rFonts w:ascii="Cambria" w:eastAsia="Calibri" w:hAnsi="Cambria" w:cs="Times New Roman"/>
          <w:b/>
          <w:sz w:val="20"/>
          <w:szCs w:val="20"/>
          <w:lang w:val="en-US"/>
        </w:rPr>
      </w:pPr>
    </w:p>
    <w:p w:rsidR="009460DA" w:rsidRPr="009460DA" w:rsidRDefault="009460DA" w:rsidP="009460DA">
      <w:pPr>
        <w:spacing w:after="0" w:line="240" w:lineRule="auto"/>
        <w:jc w:val="both"/>
        <w:rPr>
          <w:rFonts w:ascii="Cambria" w:eastAsia="Calibri" w:hAnsi="Cambria" w:cs="Times New Roman"/>
          <w:b/>
          <w:sz w:val="20"/>
          <w:szCs w:val="20"/>
          <w:lang w:val="en-US"/>
        </w:rPr>
        <w:sectPr w:rsidR="009460DA" w:rsidRPr="009460DA" w:rsidSect="009460DA">
          <w:headerReference w:type="default" r:id="rId10"/>
          <w:footerReference w:type="default" r:id="rId11"/>
          <w:type w:val="continuous"/>
          <w:pgSz w:w="12240" w:h="15840" w:code="1"/>
          <w:pgMar w:top="1440" w:right="1440" w:bottom="1440" w:left="1440" w:header="720" w:footer="720" w:gutter="0"/>
          <w:pgNumType w:fmt="upperRoman" w:start="1"/>
          <w:cols w:space="720"/>
          <w:docGrid w:linePitch="360"/>
        </w:sectPr>
      </w:pPr>
    </w:p>
    <w:p w:rsidR="004C738B" w:rsidRPr="009460DA" w:rsidRDefault="004C738B" w:rsidP="009460DA">
      <w:pPr>
        <w:spacing w:after="0" w:line="240" w:lineRule="auto"/>
        <w:jc w:val="center"/>
        <w:rPr>
          <w:rFonts w:ascii="Cambria" w:hAnsi="Cambria"/>
          <w:b/>
          <w:sz w:val="20"/>
          <w:szCs w:val="20"/>
        </w:rPr>
      </w:pPr>
      <w:r w:rsidRPr="009460DA">
        <w:rPr>
          <w:rFonts w:ascii="Cambria" w:hAnsi="Cambria"/>
          <w:b/>
          <w:sz w:val="20"/>
          <w:szCs w:val="20"/>
        </w:rPr>
        <w:lastRenderedPageBreak/>
        <w:t>The Effectiveness of Microfinance Program on Women’s Empowerment: Location as Moderator</w:t>
      </w:r>
    </w:p>
    <w:p w:rsidR="004C738B" w:rsidRPr="009460DA" w:rsidRDefault="004C738B" w:rsidP="009460DA">
      <w:pPr>
        <w:pStyle w:val="Heading1"/>
        <w:spacing w:before="0" w:line="240" w:lineRule="auto"/>
        <w:jc w:val="both"/>
        <w:rPr>
          <w:rFonts w:ascii="Cambria" w:hAnsi="Cambria"/>
          <w:sz w:val="20"/>
          <w:szCs w:val="20"/>
        </w:rPr>
      </w:pPr>
    </w:p>
    <w:p w:rsidR="004C738B" w:rsidRPr="009460DA" w:rsidRDefault="004C738B" w:rsidP="009460DA">
      <w:pPr>
        <w:pStyle w:val="BodyText"/>
        <w:spacing w:after="0" w:line="240" w:lineRule="auto"/>
        <w:jc w:val="center"/>
        <w:rPr>
          <w:rFonts w:ascii="Cambria" w:hAnsi="Cambria"/>
          <w:color w:val="7030A0"/>
          <w:sz w:val="20"/>
          <w:szCs w:val="20"/>
        </w:rPr>
      </w:pPr>
      <w:r w:rsidRPr="009460DA">
        <w:rPr>
          <w:rFonts w:ascii="Cambria" w:hAnsi="Cambria"/>
          <w:color w:val="7030A0"/>
          <w:sz w:val="20"/>
          <w:szCs w:val="20"/>
        </w:rPr>
        <w:t>Maryam Jameelah Hashim</w:t>
      </w:r>
      <w:r w:rsidRPr="009460DA">
        <w:rPr>
          <w:rFonts w:ascii="Cambria" w:hAnsi="Cambria"/>
          <w:color w:val="7030A0"/>
          <w:position w:val="5"/>
          <w:sz w:val="20"/>
          <w:szCs w:val="20"/>
          <w:vertAlign w:val="superscript"/>
        </w:rPr>
        <w:t>1</w:t>
      </w:r>
      <w:r w:rsidRPr="009460DA">
        <w:rPr>
          <w:rFonts w:ascii="Cambria" w:hAnsi="Cambria"/>
          <w:color w:val="7030A0"/>
          <w:position w:val="5"/>
          <w:sz w:val="20"/>
          <w:szCs w:val="20"/>
        </w:rPr>
        <w:t>*</w:t>
      </w:r>
      <w:r w:rsidRPr="009460DA">
        <w:rPr>
          <w:rFonts w:ascii="Cambria" w:hAnsi="Cambria"/>
          <w:color w:val="7030A0"/>
          <w:spacing w:val="14"/>
          <w:position w:val="5"/>
          <w:sz w:val="20"/>
          <w:szCs w:val="20"/>
        </w:rPr>
        <w:t>,</w:t>
      </w:r>
      <w:r w:rsidRPr="009460DA">
        <w:rPr>
          <w:rFonts w:ascii="Cambria" w:hAnsi="Cambria"/>
          <w:color w:val="7030A0"/>
          <w:sz w:val="20"/>
          <w:szCs w:val="20"/>
        </w:rPr>
        <w:t xml:space="preserve"> Mohammad Izzat Naqib Yusof</w:t>
      </w:r>
      <w:r w:rsidRPr="009460DA">
        <w:rPr>
          <w:rFonts w:ascii="Cambria" w:hAnsi="Cambria"/>
          <w:color w:val="7030A0"/>
          <w:sz w:val="20"/>
          <w:szCs w:val="20"/>
          <w:vertAlign w:val="superscript"/>
        </w:rPr>
        <w:t>2</w:t>
      </w:r>
      <w:r w:rsidRPr="009460DA">
        <w:rPr>
          <w:rFonts w:ascii="Cambria" w:hAnsi="Cambria"/>
          <w:color w:val="7030A0"/>
          <w:spacing w:val="-2"/>
          <w:sz w:val="20"/>
          <w:szCs w:val="20"/>
        </w:rPr>
        <w:t xml:space="preserve"> &amp; Nur Dina Athia Ramley</w:t>
      </w:r>
      <w:r w:rsidRPr="009460DA">
        <w:rPr>
          <w:rFonts w:ascii="Cambria" w:hAnsi="Cambria"/>
          <w:color w:val="7030A0"/>
          <w:spacing w:val="-2"/>
          <w:sz w:val="20"/>
          <w:szCs w:val="20"/>
          <w:vertAlign w:val="superscript"/>
        </w:rPr>
        <w:t>3</w:t>
      </w:r>
    </w:p>
    <w:p w:rsidR="004C738B" w:rsidRPr="009460DA" w:rsidRDefault="004C738B" w:rsidP="009460DA">
      <w:pPr>
        <w:pStyle w:val="BodyText"/>
        <w:spacing w:after="0" w:line="240" w:lineRule="auto"/>
        <w:jc w:val="center"/>
        <w:rPr>
          <w:rFonts w:ascii="Cambria" w:hAnsi="Cambria"/>
          <w:color w:val="7030A0"/>
          <w:sz w:val="20"/>
          <w:szCs w:val="20"/>
        </w:rPr>
      </w:pPr>
      <w:r w:rsidRPr="009460DA">
        <w:rPr>
          <w:rFonts w:ascii="Cambria" w:hAnsi="Cambria"/>
          <w:color w:val="7030A0"/>
          <w:position w:val="5"/>
          <w:sz w:val="20"/>
          <w:szCs w:val="20"/>
          <w:vertAlign w:val="superscript"/>
        </w:rPr>
        <w:t>1</w:t>
      </w:r>
      <w:r w:rsidRPr="009460DA">
        <w:rPr>
          <w:rFonts w:ascii="Cambria" w:hAnsi="Cambria"/>
          <w:color w:val="7030A0"/>
          <w:sz w:val="20"/>
          <w:szCs w:val="20"/>
        </w:rPr>
        <w:t>Universiti Teknologi MARA, Faculty of Business and Management, Puncak Alam Campus, Selangor Branch</w:t>
      </w:r>
    </w:p>
    <w:p w:rsidR="004C738B" w:rsidRPr="009460DA" w:rsidRDefault="004C738B" w:rsidP="009460DA">
      <w:pPr>
        <w:pStyle w:val="BodyText"/>
        <w:spacing w:after="0" w:line="240" w:lineRule="auto"/>
        <w:jc w:val="center"/>
        <w:rPr>
          <w:rFonts w:ascii="Cambria" w:hAnsi="Cambria"/>
          <w:color w:val="7030A0"/>
          <w:sz w:val="20"/>
          <w:szCs w:val="20"/>
        </w:rPr>
      </w:pPr>
      <w:r w:rsidRPr="009460DA">
        <w:rPr>
          <w:rFonts w:ascii="Cambria" w:hAnsi="Cambria"/>
          <w:color w:val="7030A0"/>
          <w:sz w:val="20"/>
          <w:szCs w:val="20"/>
          <w:vertAlign w:val="superscript"/>
        </w:rPr>
        <w:t>2,3</w:t>
      </w:r>
      <w:r w:rsidRPr="009460DA">
        <w:rPr>
          <w:rFonts w:ascii="Cambria" w:hAnsi="Cambria"/>
          <w:color w:val="7030A0"/>
          <w:sz w:val="20"/>
          <w:szCs w:val="20"/>
        </w:rPr>
        <w:t>Arshad Ayub Graduate Business School, Universiti Teknologi MARA, Shah Alam, Selangor</w:t>
      </w:r>
    </w:p>
    <w:p w:rsidR="004C738B" w:rsidRPr="009460DA" w:rsidRDefault="004C738B" w:rsidP="009460DA">
      <w:pPr>
        <w:pStyle w:val="BodyText"/>
        <w:spacing w:after="0" w:line="240" w:lineRule="auto"/>
        <w:jc w:val="center"/>
        <w:rPr>
          <w:rFonts w:ascii="Cambria" w:hAnsi="Cambria"/>
          <w:color w:val="7030A0"/>
          <w:sz w:val="20"/>
          <w:szCs w:val="20"/>
        </w:rPr>
      </w:pPr>
      <w:r w:rsidRPr="009460DA">
        <w:rPr>
          <w:rFonts w:ascii="Cambria" w:hAnsi="Cambria"/>
          <w:color w:val="7030A0"/>
          <w:sz w:val="20"/>
          <w:szCs w:val="20"/>
        </w:rPr>
        <w:t>jamieniz@uitm.edu.my*</w:t>
      </w:r>
    </w:p>
    <w:p w:rsidR="004C738B" w:rsidRPr="009460DA" w:rsidRDefault="004C738B" w:rsidP="009460DA">
      <w:pPr>
        <w:pStyle w:val="BodyText"/>
        <w:spacing w:after="0" w:line="240" w:lineRule="auto"/>
        <w:jc w:val="both"/>
        <w:rPr>
          <w:rFonts w:ascii="Cambria" w:hAnsi="Cambria"/>
          <w:color w:val="6F2F9F"/>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Abstract:</w:t>
      </w:r>
      <w:r w:rsidRPr="009460DA">
        <w:rPr>
          <w:rFonts w:ascii="Cambria" w:hAnsi="Cambria"/>
          <w:b/>
          <w:spacing w:val="1"/>
          <w:sz w:val="20"/>
          <w:szCs w:val="20"/>
        </w:rPr>
        <w:t xml:space="preserve"> </w:t>
      </w:r>
      <w:r w:rsidRPr="009460DA">
        <w:rPr>
          <w:rFonts w:ascii="Cambria" w:hAnsi="Cambria"/>
          <w:sz w:val="20"/>
          <w:szCs w:val="20"/>
        </w:rPr>
        <w:t>Women are an engine for economic growth and a value creator for businesses. Though women contribute roughly 40-50% of all small business related in developing countries, they represent fewer than 20% of the world’s landholders, and often their access and control of resources, particularly income, is comparatively lower than that of men. This prevents them from actively driving economic growth and productivity in the business chain. With the help of Amanah Ikhtiar Malaysia (AIM), this study will reach out to the participant of AIM to understand the issue of women’s empowerment. This research focuses on 3 main components: the involvement of microfinance programs, social capital, and training. A survey designed for the participants of AIM was used to gather data from over 375 participants to study the effectiveness of Islamic microfinance in improving women’s empowerment in business. A partial least square-structural equation (PLS-SEM) was used to analyze the research model. Subsequently, the research model was validated using Smart PLS 4 and proposed the study hypothesis. The findings confirmed that involvement in microfinance programs, and social capital, except training, positively influenced women’s empowerment in business. Geographical location as moderator was also found to be non-significant towards women’s empowerment.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Bdr>
          <w:bottom w:val="single" w:sz="4" w:space="1" w:color="auto"/>
        </w:pBdr>
        <w:spacing w:after="0" w:line="240" w:lineRule="auto"/>
        <w:jc w:val="both"/>
        <w:rPr>
          <w:rFonts w:ascii="Cambria" w:hAnsi="Cambria"/>
          <w:i/>
          <w:sz w:val="20"/>
          <w:szCs w:val="20"/>
        </w:rPr>
      </w:pPr>
      <w:r w:rsidRPr="009460DA">
        <w:rPr>
          <w:rFonts w:ascii="Cambria" w:hAnsi="Cambria"/>
          <w:b/>
          <w:sz w:val="20"/>
          <w:szCs w:val="20"/>
        </w:rPr>
        <w:t>Keywords</w:t>
      </w:r>
      <w:r w:rsidRPr="009460DA">
        <w:rPr>
          <w:rFonts w:ascii="Cambria" w:hAnsi="Cambria"/>
          <w:sz w:val="20"/>
          <w:szCs w:val="20"/>
        </w:rPr>
        <w:t xml:space="preserve">: </w:t>
      </w:r>
      <w:r w:rsidRPr="009460DA">
        <w:rPr>
          <w:rFonts w:ascii="Cambria" w:hAnsi="Cambria"/>
          <w:i/>
          <w:sz w:val="20"/>
          <w:szCs w:val="20"/>
        </w:rPr>
        <w:t>Involvement in Microfinance Program, Social Capital, Training, Location, Women’s Empowerment</w:t>
      </w:r>
    </w:p>
    <w:p w:rsidR="004C738B" w:rsidRPr="009460DA" w:rsidRDefault="004C738B" w:rsidP="009460DA">
      <w:pPr>
        <w:pStyle w:val="Heading1"/>
        <w:tabs>
          <w:tab w:val="left" w:pos="447"/>
        </w:tabs>
        <w:spacing w:before="0" w:line="240" w:lineRule="auto"/>
        <w:jc w:val="both"/>
        <w:rPr>
          <w:rFonts w:ascii="Cambria" w:hAnsi="Cambria"/>
          <w:b w:val="0"/>
          <w:bCs w:val="0"/>
          <w:sz w:val="20"/>
          <w:szCs w:val="20"/>
        </w:rPr>
      </w:pPr>
    </w:p>
    <w:p w:rsidR="004C738B" w:rsidRPr="008471BD" w:rsidRDefault="004C738B" w:rsidP="009460DA">
      <w:pPr>
        <w:pStyle w:val="Heading1"/>
        <w:tabs>
          <w:tab w:val="left" w:pos="447"/>
        </w:tabs>
        <w:spacing w:before="0" w:line="240" w:lineRule="auto"/>
        <w:jc w:val="both"/>
        <w:rPr>
          <w:rFonts w:ascii="Cambria" w:hAnsi="Cambria"/>
          <w:color w:val="auto"/>
          <w:sz w:val="20"/>
          <w:szCs w:val="20"/>
        </w:rPr>
      </w:pPr>
      <w:r w:rsidRPr="008471BD">
        <w:rPr>
          <w:rFonts w:ascii="Cambria" w:hAnsi="Cambria"/>
          <w:bCs w:val="0"/>
          <w:color w:val="auto"/>
          <w:sz w:val="20"/>
          <w:szCs w:val="20"/>
        </w:rPr>
        <w:t xml:space="preserve">1. </w:t>
      </w:r>
      <w:r w:rsidRPr="008471BD">
        <w:rPr>
          <w:rFonts w:ascii="Cambria" w:hAnsi="Cambria"/>
          <w:color w:val="auto"/>
          <w:sz w:val="20"/>
          <w:szCs w:val="20"/>
        </w:rPr>
        <w:t>Introduction</w:t>
      </w:r>
      <w:r w:rsidRPr="008471BD">
        <w:rPr>
          <w:rFonts w:ascii="Cambria" w:hAnsi="Cambria"/>
          <w:color w:val="auto"/>
          <w:spacing w:val="-5"/>
          <w:sz w:val="20"/>
          <w:szCs w:val="20"/>
        </w:rPr>
        <w:t xml:space="preserve"> </w:t>
      </w:r>
      <w:r w:rsidRPr="008471BD">
        <w:rPr>
          <w:rFonts w:ascii="Cambria" w:hAnsi="Cambria"/>
          <w:color w:val="auto"/>
          <w:sz w:val="20"/>
          <w:szCs w:val="20"/>
        </w:rPr>
        <w:t>and</w:t>
      </w:r>
      <w:r w:rsidRPr="008471BD">
        <w:rPr>
          <w:rFonts w:ascii="Cambria" w:hAnsi="Cambria"/>
          <w:color w:val="auto"/>
          <w:spacing w:val="-5"/>
          <w:sz w:val="20"/>
          <w:szCs w:val="20"/>
        </w:rPr>
        <w:t xml:space="preserve"> </w:t>
      </w:r>
      <w:r w:rsidRPr="008471BD">
        <w:rPr>
          <w:rFonts w:ascii="Cambria" w:hAnsi="Cambria"/>
          <w:color w:val="auto"/>
          <w:sz w:val="20"/>
          <w:szCs w:val="20"/>
        </w:rPr>
        <w:t>Background</w:t>
      </w:r>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sz w:val="20"/>
          <w:szCs w:val="20"/>
          <w:highlight w:val="yellow"/>
        </w:rPr>
      </w:pPr>
      <w:r w:rsidRPr="009460DA">
        <w:rPr>
          <w:rFonts w:ascii="Cambria" w:hAnsi="Cambria"/>
          <w:sz w:val="20"/>
          <w:szCs w:val="20"/>
        </w:rPr>
        <w:t xml:space="preserve">Women make significant contributions to economic growth, innovation, and job creation </w:t>
      </w:r>
      <w:sdt>
        <w:sdtPr>
          <w:rPr>
            <w:rFonts w:ascii="Cambria" w:hAnsi="Cambria"/>
            <w:sz w:val="20"/>
            <w:szCs w:val="20"/>
          </w:rPr>
          <w:id w:val="-759529398"/>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CITATION Bru09 \l 1033 </w:instrText>
          </w:r>
          <w:r w:rsidR="00902FB4" w:rsidRPr="009460DA">
            <w:rPr>
              <w:rFonts w:ascii="Cambria" w:hAnsi="Cambria"/>
              <w:sz w:val="20"/>
              <w:szCs w:val="20"/>
            </w:rPr>
            <w:fldChar w:fldCharType="separate"/>
          </w:r>
          <w:r w:rsidRPr="009460DA">
            <w:rPr>
              <w:rFonts w:ascii="Cambria" w:hAnsi="Cambria"/>
              <w:noProof/>
              <w:sz w:val="20"/>
              <w:szCs w:val="20"/>
            </w:rPr>
            <w:t>(Brush, De Bruin, &amp; Welter, 2009)</w:t>
          </w:r>
          <w:r w:rsidR="00902FB4" w:rsidRPr="009460DA">
            <w:rPr>
              <w:rFonts w:ascii="Cambria" w:hAnsi="Cambria"/>
              <w:sz w:val="20"/>
              <w:szCs w:val="20"/>
            </w:rPr>
            <w:fldChar w:fldCharType="end"/>
          </w:r>
        </w:sdtContent>
      </w:sdt>
      <w:r w:rsidRPr="009460DA">
        <w:rPr>
          <w:rFonts w:ascii="Cambria" w:hAnsi="Cambria"/>
          <w:sz w:val="20"/>
          <w:szCs w:val="20"/>
        </w:rPr>
        <w:t xml:space="preserve">. There were over 163 million women who founded or managed new businesses in 74 different economies worldwide </w:t>
      </w:r>
      <w:sdt>
        <w:sdtPr>
          <w:rPr>
            <w:rFonts w:ascii="Cambria" w:hAnsi="Cambria"/>
            <w:sz w:val="20"/>
            <w:szCs w:val="20"/>
          </w:rPr>
          <w:id w:val="-19738906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Kel17 \l 1033 </w:instrText>
          </w:r>
          <w:r w:rsidR="00902FB4" w:rsidRPr="009460DA">
            <w:rPr>
              <w:rFonts w:ascii="Cambria" w:hAnsi="Cambria"/>
              <w:sz w:val="20"/>
              <w:szCs w:val="20"/>
            </w:rPr>
            <w:fldChar w:fldCharType="separate"/>
          </w:r>
          <w:r w:rsidRPr="009460DA">
            <w:rPr>
              <w:rFonts w:ascii="Cambria" w:hAnsi="Cambria"/>
              <w:noProof/>
              <w:sz w:val="20"/>
              <w:szCs w:val="20"/>
            </w:rPr>
            <w:t>(Kelley, et al., 2017)</w:t>
          </w:r>
          <w:r w:rsidR="00902FB4" w:rsidRPr="009460DA">
            <w:rPr>
              <w:rFonts w:ascii="Cambria" w:hAnsi="Cambria"/>
              <w:sz w:val="20"/>
              <w:szCs w:val="20"/>
            </w:rPr>
            <w:fldChar w:fldCharType="end"/>
          </w:r>
        </w:sdtContent>
      </w:sdt>
      <w:r w:rsidRPr="009460DA">
        <w:rPr>
          <w:rFonts w:ascii="Cambria" w:hAnsi="Cambria"/>
          <w:sz w:val="20"/>
          <w:szCs w:val="20"/>
        </w:rPr>
        <w:t xml:space="preserve">. We can observe the effects of women in business when 111 million additional women who already own their firms are included. These women are well-respected members of the business sector, occasionally employ members of their community, and provide for their families financially. However, there are considerable regional differences in the number of women who start their businesses. </w:t>
      </w:r>
      <w:sdt>
        <w:sdtPr>
          <w:rPr>
            <w:rFonts w:ascii="Cambria" w:hAnsi="Cambria"/>
            <w:sz w:val="20"/>
            <w:szCs w:val="20"/>
          </w:rPr>
          <w:id w:val="-207573303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CITATION Bas18 \l 1033 </w:instrText>
          </w:r>
          <w:r w:rsidR="00902FB4" w:rsidRPr="009460DA">
            <w:rPr>
              <w:rFonts w:ascii="Cambria" w:hAnsi="Cambria"/>
              <w:sz w:val="20"/>
              <w:szCs w:val="20"/>
            </w:rPr>
            <w:fldChar w:fldCharType="separate"/>
          </w:r>
          <w:r w:rsidRPr="009460DA">
            <w:rPr>
              <w:rFonts w:ascii="Cambria" w:hAnsi="Cambria"/>
              <w:noProof/>
              <w:sz w:val="20"/>
              <w:szCs w:val="20"/>
            </w:rPr>
            <w:t>(Basaffar, Niehm, &amp; Bosselman, 2018)</w:t>
          </w:r>
          <w:r w:rsidR="00902FB4" w:rsidRPr="009460DA">
            <w:rPr>
              <w:rFonts w:ascii="Cambria" w:hAnsi="Cambria"/>
              <w:sz w:val="20"/>
              <w:szCs w:val="20"/>
            </w:rPr>
            <w:fldChar w:fldCharType="end"/>
          </w:r>
        </w:sdtContent>
      </w:sdt>
      <w:r w:rsidRPr="009460DA">
        <w:rPr>
          <w:rFonts w:ascii="Cambria" w:hAnsi="Cambria"/>
          <w:sz w:val="20"/>
          <w:szCs w:val="20"/>
        </w:rPr>
        <w:t xml:space="preserve"> Claim that the proportion of female business owners in Islamic nations ranges from 23% in Kuwait to 12% in Bahrain to 9% in Oman and further drops to a low of 7% in Qatar and Saudi Arabia. Women hold many administrative roles </w:t>
      </w:r>
      <w:sdt>
        <w:sdtPr>
          <w:rPr>
            <w:rFonts w:ascii="Cambria" w:hAnsi="Cambria"/>
            <w:sz w:val="20"/>
            <w:szCs w:val="20"/>
          </w:rPr>
          <w:id w:val="61548678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Isl23 \l 1033 </w:instrText>
          </w:r>
          <w:r w:rsidR="00902FB4" w:rsidRPr="009460DA">
            <w:rPr>
              <w:rFonts w:ascii="Cambria" w:hAnsi="Cambria"/>
              <w:sz w:val="20"/>
              <w:szCs w:val="20"/>
            </w:rPr>
            <w:fldChar w:fldCharType="separate"/>
          </w:r>
          <w:r w:rsidRPr="009460DA">
            <w:rPr>
              <w:rFonts w:ascii="Cambria" w:hAnsi="Cambria"/>
              <w:noProof/>
              <w:sz w:val="20"/>
              <w:szCs w:val="20"/>
            </w:rPr>
            <w:t>(Islam, Shrabani , &amp; Mahfuzur , 2023)</w:t>
          </w:r>
          <w:r w:rsidR="00902FB4" w:rsidRPr="009460DA">
            <w:rPr>
              <w:rFonts w:ascii="Cambria" w:hAnsi="Cambria"/>
              <w:sz w:val="20"/>
              <w:szCs w:val="20"/>
            </w:rPr>
            <w:fldChar w:fldCharType="end"/>
          </w:r>
        </w:sdtContent>
      </w:sdt>
      <w:r w:rsidRPr="009460DA">
        <w:rPr>
          <w:rFonts w:ascii="Cambria" w:hAnsi="Cambria"/>
          <w:sz w:val="20"/>
          <w:szCs w:val="20"/>
        </w:rPr>
        <w:t xml:space="preserve">, however, men outnumber them due to the emergence of new businesses. Only 20% of Malaysia's business visionaries are women </w:t>
      </w:r>
      <w:sdt>
        <w:sdtPr>
          <w:rPr>
            <w:rFonts w:ascii="Cambria" w:hAnsi="Cambria"/>
            <w:sz w:val="20"/>
            <w:szCs w:val="20"/>
          </w:rPr>
          <w:id w:val="-1388411856"/>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CITATION Bas20 \l 1033 </w:instrText>
          </w:r>
          <w:r w:rsidR="00902FB4" w:rsidRPr="009460DA">
            <w:rPr>
              <w:rFonts w:ascii="Cambria" w:hAnsi="Cambria"/>
              <w:sz w:val="20"/>
              <w:szCs w:val="20"/>
            </w:rPr>
            <w:fldChar w:fldCharType="separate"/>
          </w:r>
          <w:r w:rsidRPr="009460DA">
            <w:rPr>
              <w:rFonts w:ascii="Cambria" w:hAnsi="Cambria"/>
              <w:noProof/>
              <w:sz w:val="20"/>
              <w:szCs w:val="20"/>
            </w:rPr>
            <w:t>(Basit, Hassan, &amp; Sethu, 2020)</w:t>
          </w:r>
          <w:r w:rsidR="00902FB4" w:rsidRPr="009460DA">
            <w:rPr>
              <w:rFonts w:ascii="Cambria" w:hAnsi="Cambria"/>
              <w:sz w:val="20"/>
              <w:szCs w:val="20"/>
            </w:rPr>
            <w:fldChar w:fldCharType="end"/>
          </w:r>
        </w:sdtContent>
      </w:sdt>
      <w:r w:rsidRPr="009460DA">
        <w:rPr>
          <w:rFonts w:ascii="Cambria" w:hAnsi="Cambria"/>
          <w:sz w:val="20"/>
          <w:szCs w:val="20"/>
        </w:rPr>
        <w:t xml:space="preserve">. Potential causes of this low number of female entrepreneurs are thought to be related to cultural norms and the preferences of financial experts. </w:t>
      </w:r>
    </w:p>
    <w:p w:rsidR="004C738B" w:rsidRPr="009460DA" w:rsidRDefault="004C738B" w:rsidP="009460DA">
      <w:pPr>
        <w:pStyle w:val="BodyText"/>
        <w:spacing w:after="0" w:line="240" w:lineRule="auto"/>
        <w:jc w:val="both"/>
        <w:rPr>
          <w:rFonts w:ascii="Cambria" w:hAnsi="Cambria"/>
          <w:sz w:val="20"/>
          <w:szCs w:val="20"/>
          <w:highlight w:val="yellow"/>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 xml:space="preserve">Furthermore, despite the advancements made by Malaysia and the changing societal roles of women, there continue to be significant disparities in various areas such as business, informal communities, education, and access to capital, which disproportionately affect Malaysian women. One organization established in accordance with the law to address these issues is Amanah Ikhtiar Malaysia (AIM). Registered under Act 258 of the Trust Act of 1952, with amendments made in 1981, The Ikhtiar Malaysia Trust Agreement Instrument was established on 17 September 1987. This trust entity, which is 24 years old, was founded through collaboration between the Malaysian Islamic Economic Development Foundation (YaPEIM), the Selangor state government, and Universiti Sains Malaysia (USM). It receives significant support from the Asia Pacific Development Centre. AIM plays a crucial role in reducing poverty in Malaysia by providing financial assistance to disadvantaged communities in rural areas, enabling them to engage in various income-generating activities. In doing so, AIM enables these individuals to start small-scale businesses. According to a report from 2019, Malaysia has a considerable number of households living below the poverty line, amounting to 8.9% (World Bank, 2019). The government aims to assist this segment of the population to mitigate the severe impact of economic instability. To date, numerous studies have focused on women living </w:t>
      </w:r>
      <w:r w:rsidRPr="009460DA">
        <w:rPr>
          <w:rFonts w:ascii="Cambria" w:hAnsi="Cambria"/>
          <w:sz w:val="20"/>
          <w:szCs w:val="20"/>
        </w:rPr>
        <w:lastRenderedPageBreak/>
        <w:t>in poverty, revealing that many of them are heads of households due to widowhood, the death or separation from a spouse (Ali &amp; Aziz, 2014), or having an incompetent wedded partner.</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The husband's lack of responsibility or failure to take responsibility for his obligations is evident (Nurasyiah, Miyasto, Mariyanti, &amp; Beik, 2020). Moreover, the factors mentioned above still contribute to women's reliance solely on their spouses for income generation (Aktaruzzaman &amp; Farooq, 2020). Additionally, older women are particularly susceptible to poverty due to a decline in their ability to earn income. In both Bangladesh (Aktaruzzaman &amp; Farooq, 2020) and Indonesia (Nurasyiah, Miyasto, Mariyanti, &amp; Beik, 2020), cultural beliefs play a significant role in perpetuating women's poverty. These beliefs assign women the responsibility of running household chores while denying them access to social rights such as education and financial literacy. The studies conducted identified various independent variables, including engagement in small-scale entrepreneurship and securing financial resources (Tammili, Mohamed, &amp; Terano, 2017), implementation of educational programs (Misnan, Abdul, &amp; Othman, 2015), and leveraging social connections and networks (Ado &amp; Mata, 2020). These factors collectively affect the opportunity for women to have their independent source of income.</w:t>
      </w:r>
    </w:p>
    <w:p w:rsidR="004C738B" w:rsidRPr="009460DA" w:rsidRDefault="004C738B" w:rsidP="009460DA">
      <w:pPr>
        <w:pStyle w:val="BodyText"/>
        <w:spacing w:after="0" w:line="240" w:lineRule="auto"/>
        <w:jc w:val="both"/>
        <w:rPr>
          <w:rFonts w:ascii="Cambria" w:hAnsi="Cambria"/>
          <w:sz w:val="20"/>
          <w:szCs w:val="20"/>
          <w:highlight w:val="yellow"/>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It has been demonstrated that participation in microfinance significantly enhances women's negotiating power and contributes to their empowerment (Mosley &amp; Mayoux, 1999). The availability of training programs is extensively discussed as a valuable form of support, specifically for individuals who borrow (Geta &amp; Tilahun, 2017). Another form of support, social capital, takes the shape of self-help groups or strong network connections, allowing individuals to assist and support one another through group formation and resource pooling, such as providing moral support (Hameed, 2019). Regarding the dependent variables, the present study centers on women's empowerment as a result of microfinance. This encompasses financial outcomes such as asset acquisition and nonfinancial outcomes like children's education (Al-Shami, et al., 2015), decision-making abilities, independent financial management, and participation in social activities (Misnan, Abdul, &amp; Othman, 2015). The main objective of this study is to examine the impact of the microfinance program, including involvement in microfinance, training, and social capital, on the empowerment of women among AIM clients.</w:t>
      </w: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2. Literature</w:t>
      </w:r>
      <w:r w:rsidRPr="009460DA">
        <w:rPr>
          <w:rFonts w:ascii="Cambria" w:hAnsi="Cambria"/>
          <w:b/>
          <w:spacing w:val="-2"/>
          <w:sz w:val="20"/>
          <w:szCs w:val="20"/>
        </w:rPr>
        <w:t xml:space="preserve"> </w:t>
      </w:r>
      <w:r w:rsidRPr="009460DA">
        <w:rPr>
          <w:rFonts w:ascii="Cambria" w:hAnsi="Cambria"/>
          <w:b/>
          <w:sz w:val="20"/>
          <w:szCs w:val="20"/>
        </w:rPr>
        <w:t>Review</w:t>
      </w:r>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cs="Times New Roman"/>
          <w:sz w:val="20"/>
          <w:szCs w:val="20"/>
        </w:rPr>
        <w:t>The purposeful model of the Theory of Change explores how an initiative program can lead to the desired outcome. The approach centers on achieving desired outcomes by aligning various initiatives such as policies, programs, strategies, or projects to assess the intended transformation. The utilization of the Theory of Change is motivated by several reasons: (1) it helps entities or groups to systematically understand the root causes or underlying reasons behind development challenges within the community and determine the focal points for effecting change; (2) it empowers users to express the underlying causes of development obstacles, such as poverty and gender-related social problems, and devise plans of action to accomplish the intended outcomes; (3) stakeholders have the ability to utilize it to standardize and optimize their strategic collaborations, guaranteeing that these partnerships are in line with overarching goals and desired results by unifying diverse viewpoints of the Theory of Change regarding specific issues (UNDAF, 2015).</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cs="Times New Roman"/>
          <w:sz w:val="20"/>
          <w:szCs w:val="20"/>
        </w:rPr>
      </w:pPr>
      <w:r w:rsidRPr="009460DA">
        <w:rPr>
          <w:rFonts w:ascii="Cambria" w:hAnsi="Cambria"/>
          <w:b/>
          <w:sz w:val="20"/>
          <w:szCs w:val="20"/>
        </w:rPr>
        <w:t>Women’s Empowerment:</w:t>
      </w:r>
      <w:r w:rsidRPr="009460DA">
        <w:rPr>
          <w:rFonts w:ascii="Cambria" w:hAnsi="Cambria"/>
          <w:sz w:val="20"/>
          <w:szCs w:val="20"/>
        </w:rPr>
        <w:t xml:space="preserve"> Women's empowerment is the process of enabling women to be self-sufficient, monetarily independent, and have a positive self-image </w:t>
      </w:r>
      <w:sdt>
        <w:sdtPr>
          <w:rPr>
            <w:rFonts w:ascii="Cambria" w:hAnsi="Cambria"/>
            <w:sz w:val="20"/>
            <w:szCs w:val="20"/>
          </w:rPr>
          <w:id w:val="486904874"/>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Kap16 \l 1033 </w:instrText>
          </w:r>
          <w:r w:rsidR="00902FB4" w:rsidRPr="009460DA">
            <w:rPr>
              <w:rFonts w:ascii="Cambria" w:hAnsi="Cambria"/>
              <w:sz w:val="20"/>
              <w:szCs w:val="20"/>
            </w:rPr>
            <w:fldChar w:fldCharType="separate"/>
          </w:r>
          <w:r w:rsidRPr="009460DA">
            <w:rPr>
              <w:rFonts w:ascii="Cambria" w:hAnsi="Cambria"/>
              <w:noProof/>
              <w:sz w:val="20"/>
              <w:szCs w:val="20"/>
            </w:rPr>
            <w:t>(Kapila, Singla, &amp; Gupta, 2016)</w:t>
          </w:r>
          <w:r w:rsidR="00902FB4" w:rsidRPr="009460DA">
            <w:rPr>
              <w:rFonts w:ascii="Cambria" w:hAnsi="Cambria"/>
              <w:sz w:val="20"/>
              <w:szCs w:val="20"/>
            </w:rPr>
            <w:fldChar w:fldCharType="end"/>
          </w:r>
        </w:sdtContent>
      </w:sdt>
      <w:r w:rsidRPr="009460DA">
        <w:rPr>
          <w:rFonts w:ascii="Cambria" w:hAnsi="Cambria"/>
          <w:sz w:val="20"/>
          <w:szCs w:val="20"/>
        </w:rPr>
        <w:t xml:space="preserve">. This empowers them to deal with any challenging situations and to take part in various development projects. This process results in women having more control and power over a variety of resources, including human resources, intellectual resources (information, knowledge, and ideas), financial resources (money), and decision-making authority at the local, state, and federal levels </w:t>
      </w:r>
      <w:sdt>
        <w:sdtPr>
          <w:rPr>
            <w:rFonts w:ascii="Cambria" w:hAnsi="Cambria"/>
            <w:sz w:val="20"/>
            <w:szCs w:val="20"/>
          </w:rPr>
          <w:id w:val="1818069922"/>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Jam16 \l 1033 </w:instrText>
          </w:r>
          <w:r w:rsidR="00902FB4" w:rsidRPr="009460DA">
            <w:rPr>
              <w:rFonts w:ascii="Cambria" w:hAnsi="Cambria"/>
              <w:sz w:val="20"/>
              <w:szCs w:val="20"/>
            </w:rPr>
            <w:fldChar w:fldCharType="separate"/>
          </w:r>
          <w:r w:rsidRPr="009460DA">
            <w:rPr>
              <w:rFonts w:ascii="Cambria" w:hAnsi="Cambria"/>
              <w:noProof/>
              <w:sz w:val="20"/>
              <w:szCs w:val="20"/>
            </w:rPr>
            <w:t>(Jamal, Raihana, &amp; Sultana, 2016)</w:t>
          </w:r>
          <w:r w:rsidR="00902FB4" w:rsidRPr="009460DA">
            <w:rPr>
              <w:rFonts w:ascii="Cambria" w:hAnsi="Cambria"/>
              <w:sz w:val="20"/>
              <w:szCs w:val="20"/>
            </w:rPr>
            <w:fldChar w:fldCharType="end"/>
          </w:r>
        </w:sdtContent>
      </w:sdt>
      <w:r w:rsidRPr="009460DA">
        <w:rPr>
          <w:rFonts w:ascii="Cambria" w:hAnsi="Cambria"/>
          <w:sz w:val="20"/>
          <w:szCs w:val="20"/>
        </w:rPr>
        <w:t xml:space="preserve">. Female empowerment can be defined as an increase in women's capacity to decide for themselves about their own lives in situations where this was previously largely predetermined for them. They can actively contribute to their well-being since it improves their ability for decision-making </w:t>
      </w:r>
      <w:sdt>
        <w:sdtPr>
          <w:rPr>
            <w:rFonts w:ascii="Cambria" w:hAnsi="Cambria"/>
            <w:sz w:val="20"/>
            <w:szCs w:val="20"/>
          </w:rPr>
          <w:id w:val="111861733"/>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Bhu23 \l 1033 </w:instrText>
          </w:r>
          <w:r w:rsidR="00902FB4" w:rsidRPr="009460DA">
            <w:rPr>
              <w:rFonts w:ascii="Cambria" w:hAnsi="Cambria"/>
              <w:sz w:val="20"/>
              <w:szCs w:val="20"/>
            </w:rPr>
            <w:fldChar w:fldCharType="separate"/>
          </w:r>
          <w:r w:rsidRPr="009460DA">
            <w:rPr>
              <w:rFonts w:ascii="Cambria" w:hAnsi="Cambria"/>
              <w:noProof/>
              <w:sz w:val="20"/>
              <w:szCs w:val="20"/>
            </w:rPr>
            <w:t>(Bhumeeka, Kumari, Pallavi , Ahmed, &amp; Pandey , 2023)</w:t>
          </w:r>
          <w:r w:rsidR="00902FB4" w:rsidRPr="009460DA">
            <w:rPr>
              <w:rFonts w:ascii="Cambria" w:hAnsi="Cambria"/>
              <w:sz w:val="20"/>
              <w:szCs w:val="20"/>
            </w:rPr>
            <w:fldChar w:fldCharType="end"/>
          </w:r>
        </w:sdtContent>
      </w:sdt>
      <w:r w:rsidRPr="009460DA">
        <w:rPr>
          <w:rFonts w:ascii="Cambria" w:hAnsi="Cambria"/>
          <w:sz w:val="20"/>
          <w:szCs w:val="20"/>
        </w:rPr>
        <w:t xml:space="preserve">. Giving women the resources, they require to be in charge of and have control over their own life is a key component of empowering them. Women who are empowered enjoy freedom, equal opportunity, and the power to make decisions in all aspects of their lives. It is a process by which women experience independence but are unable to take on any jobs because of their fears, shyness, the social norm of male supremacy, and social ills like the </w:t>
      </w:r>
      <w:r w:rsidRPr="009460DA">
        <w:rPr>
          <w:rFonts w:ascii="Cambria" w:hAnsi="Cambria"/>
          <w:sz w:val="20"/>
          <w:szCs w:val="20"/>
        </w:rPr>
        <w:lastRenderedPageBreak/>
        <w:t xml:space="preserve">purdah system. But the contemporary period has arrived, and powerful modern women now have the same chances as males. </w:t>
      </w:r>
      <w:r w:rsidRPr="009460DA">
        <w:rPr>
          <w:rFonts w:ascii="Cambria" w:hAnsi="Cambria" w:cs="Times New Roman"/>
          <w:sz w:val="20"/>
          <w:szCs w:val="20"/>
        </w:rPr>
        <w:t>Women in Malaysia have taken on a pivotal role in driving the economic growth of the nation, with a significant number of women emerging as business founders.</w:t>
      </w:r>
    </w:p>
    <w:p w:rsidR="004C738B" w:rsidRPr="009460DA" w:rsidRDefault="004C738B" w:rsidP="009460DA">
      <w:pPr>
        <w:pStyle w:val="BodyText"/>
        <w:spacing w:after="0" w:line="240" w:lineRule="auto"/>
        <w:jc w:val="both"/>
        <w:rPr>
          <w:rFonts w:ascii="Cambria" w:hAnsi="Cambria" w:cs="Times New Roman"/>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cs="Times New Roman"/>
          <w:sz w:val="20"/>
          <w:szCs w:val="20"/>
        </w:rPr>
        <w:t>Nonetheless, on a global scale, women still lack representation, particularly in business and management positions. In addressing this, efforts are being made by government and social organizations at the federal, state, and local levels to enhance the status of women in various domains. Furthermore, policies focusing on empowering women, such as promoting their political participation, addressing issues of domestic violence and gender-based violence, and creating economic opportunities, have been implemented and will continue to be developed (Selvi, 2018).</w:t>
      </w:r>
      <w:r w:rsidRPr="009460DA">
        <w:rPr>
          <w:rFonts w:ascii="Cambria" w:hAnsi="Cambria"/>
          <w:sz w:val="20"/>
          <w:szCs w:val="20"/>
        </w:rPr>
        <w:t xml:space="preserve"> The economic component of empowering women has several advantages. For instance, economies expand when more women work. For instance, the US gross domestic product would increase by about 9%, the EURO zones by 13%, and Japan's by 16% if women's paid employment rates were elevated to the same level as men. By 2020 and 2030, per capita income in 15 significant developing economies would increase by 14% and 2%, respectively. Additionally, data from a number of nations demonstrates that shifting household expenditure in favor of children occurs when women control a larger percentage of household income, whether through their work or monetary transfers </w:t>
      </w:r>
      <w:sdt>
        <w:sdtPr>
          <w:rPr>
            <w:rFonts w:ascii="Cambria" w:hAnsi="Cambria"/>
            <w:sz w:val="20"/>
            <w:szCs w:val="20"/>
          </w:rPr>
          <w:id w:val="-1917545698"/>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Aco13 \l 1033 </w:instrText>
          </w:r>
          <w:r w:rsidR="00902FB4" w:rsidRPr="009460DA">
            <w:rPr>
              <w:rFonts w:ascii="Cambria" w:hAnsi="Cambria"/>
              <w:sz w:val="20"/>
              <w:szCs w:val="20"/>
            </w:rPr>
            <w:fldChar w:fldCharType="separate"/>
          </w:r>
          <w:r w:rsidRPr="009460DA">
            <w:rPr>
              <w:rFonts w:ascii="Cambria" w:hAnsi="Cambria"/>
              <w:noProof/>
              <w:sz w:val="20"/>
              <w:szCs w:val="20"/>
            </w:rPr>
            <w:t>(Acosta, 2013)</w:t>
          </w:r>
          <w:r w:rsidR="00902FB4" w:rsidRPr="009460DA">
            <w:rPr>
              <w:rFonts w:ascii="Cambria" w:hAnsi="Cambria"/>
              <w:sz w:val="20"/>
              <w:szCs w:val="20"/>
            </w:rPr>
            <w:fldChar w:fldCharType="end"/>
          </w:r>
        </w:sdtContent>
      </w:sdt>
      <w:r w:rsidRPr="009460DA">
        <w:rPr>
          <w:rFonts w:ascii="Cambria" w:hAnsi="Cambria"/>
          <w:sz w:val="20"/>
          <w:szCs w:val="20"/>
        </w:rPr>
        <w:t xml:space="preserve">. In addition, women's wages are typically between 70 and 90 percent of men’s; with significantly lower ratios in various Asian and Latin American nations </w:t>
      </w:r>
      <w:sdt>
        <w:sdtPr>
          <w:rPr>
            <w:rFonts w:ascii="Cambria" w:hAnsi="Cambria"/>
            <w:sz w:val="20"/>
            <w:szCs w:val="20"/>
          </w:rPr>
          <w:id w:val="-893124950"/>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Aco13 \l 1033 </w:instrText>
          </w:r>
          <w:r w:rsidR="00902FB4" w:rsidRPr="009460DA">
            <w:rPr>
              <w:rFonts w:ascii="Cambria" w:hAnsi="Cambria"/>
              <w:sz w:val="20"/>
              <w:szCs w:val="20"/>
            </w:rPr>
            <w:fldChar w:fldCharType="separate"/>
          </w:r>
          <w:r w:rsidRPr="009460DA">
            <w:rPr>
              <w:rFonts w:ascii="Cambria" w:hAnsi="Cambria"/>
              <w:noProof/>
              <w:sz w:val="20"/>
              <w:szCs w:val="20"/>
            </w:rPr>
            <w:t>(Acosta, 2013)</w:t>
          </w:r>
          <w:r w:rsidR="00902FB4" w:rsidRPr="009460DA">
            <w:rPr>
              <w:rFonts w:ascii="Cambria" w:hAnsi="Cambria"/>
              <w:sz w:val="20"/>
              <w:szCs w:val="20"/>
            </w:rPr>
            <w:fldChar w:fldCharType="end"/>
          </w:r>
        </w:sdtContent>
      </w:sdt>
      <w:r w:rsidRPr="009460DA">
        <w:rPr>
          <w:rFonts w:ascii="Cambria" w:hAnsi="Cambria"/>
          <w:sz w:val="20"/>
          <w:szCs w:val="20"/>
        </w:rPr>
        <w: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Involvement in Microfinance Program:</w:t>
      </w:r>
      <w:r w:rsidRPr="009460DA">
        <w:rPr>
          <w:rFonts w:ascii="Cambria" w:hAnsi="Cambria"/>
          <w:b/>
          <w:spacing w:val="1"/>
          <w:sz w:val="20"/>
          <w:szCs w:val="20"/>
        </w:rPr>
        <w:t xml:space="preserve"> </w:t>
      </w:r>
      <w:r w:rsidRPr="009460DA">
        <w:rPr>
          <w:rFonts w:ascii="Cambria" w:hAnsi="Cambria"/>
          <w:sz w:val="20"/>
          <w:szCs w:val="20"/>
        </w:rPr>
        <w:t>Microfinance is thought of as a way of giving the underprivileged and those without assets for collateral, financial records, or credit histories access to tiny sums of credit. Microfinance can be used to reduce poverty and promote the creation of livelihoods. As a result, people's health improves, and children have access to education, gain skills and assets, and engage in social activities. Women make up 95% of MFI borrowers, thus it's crucial to understand how credit is empowering these underprivileged women. It is claimed that MFIs and participants viewed the microfinance program as a handout and viewed their rights and what the government ought to give to the impoverished as the program's intended beneficiaries</w:t>
      </w:r>
      <w:sdt>
        <w:sdtPr>
          <w:rPr>
            <w:rFonts w:ascii="Cambria" w:hAnsi="Cambria"/>
            <w:sz w:val="20"/>
            <w:szCs w:val="20"/>
          </w:rPr>
          <w:id w:val="1917518067"/>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Kov04 \l 1033 </w:instrText>
          </w:r>
          <w:r w:rsidR="00902FB4" w:rsidRPr="009460DA">
            <w:rPr>
              <w:rFonts w:ascii="Cambria" w:hAnsi="Cambria"/>
              <w:sz w:val="20"/>
              <w:szCs w:val="20"/>
            </w:rPr>
            <w:fldChar w:fldCharType="separate"/>
          </w:r>
          <w:r w:rsidRPr="009460DA">
            <w:rPr>
              <w:rFonts w:ascii="Cambria" w:hAnsi="Cambria"/>
              <w:noProof/>
              <w:sz w:val="20"/>
              <w:szCs w:val="20"/>
            </w:rPr>
            <w:t xml:space="preserve"> (Koveos, 2004)</w:t>
          </w:r>
          <w:r w:rsidR="00902FB4" w:rsidRPr="009460DA">
            <w:rPr>
              <w:rFonts w:ascii="Cambria" w:hAnsi="Cambria"/>
              <w:sz w:val="20"/>
              <w:szCs w:val="20"/>
            </w:rPr>
            <w:fldChar w:fldCharType="end"/>
          </w:r>
        </w:sdtContent>
      </w:sdt>
      <w:r w:rsidRPr="009460DA">
        <w:rPr>
          <w:rFonts w:ascii="Cambria" w:hAnsi="Cambria"/>
          <w:sz w:val="20"/>
          <w:szCs w:val="20"/>
        </w:rPr>
        <w:t xml:space="preserve">. Such a notion has a detrimental influence on the microenterprise performance of the participant and the efficiency of the MFI's operations. As a result, MFIs have been passive and non-aggressive in their monitoring and have no desire to find out how participants are using microfinancing. Hence, it is concluded that the selection processes, participant screening, and funds that did not reach the target group were to blame for the failure of the government microfinance programs </w:t>
      </w:r>
      <w:sdt>
        <w:sdtPr>
          <w:rPr>
            <w:rFonts w:ascii="Cambria" w:hAnsi="Cambria"/>
            <w:sz w:val="20"/>
            <w:szCs w:val="20"/>
          </w:rPr>
          <w:id w:val="1403340300"/>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Kov04 \l 1033 </w:instrText>
          </w:r>
          <w:r w:rsidR="00902FB4" w:rsidRPr="009460DA">
            <w:rPr>
              <w:rFonts w:ascii="Cambria" w:hAnsi="Cambria"/>
              <w:sz w:val="20"/>
              <w:szCs w:val="20"/>
            </w:rPr>
            <w:fldChar w:fldCharType="separate"/>
          </w:r>
          <w:r w:rsidRPr="009460DA">
            <w:rPr>
              <w:rFonts w:ascii="Cambria" w:hAnsi="Cambria"/>
              <w:noProof/>
              <w:sz w:val="20"/>
              <w:szCs w:val="20"/>
            </w:rPr>
            <w:t>(Koveos, 2004)</w:t>
          </w:r>
          <w:r w:rsidR="00902FB4" w:rsidRPr="009460DA">
            <w:rPr>
              <w:rFonts w:ascii="Cambria" w:hAnsi="Cambria"/>
              <w:sz w:val="20"/>
              <w:szCs w:val="20"/>
            </w:rPr>
            <w:fldChar w:fldCharType="end"/>
          </w:r>
        </w:sdtContent>
      </w:sdt>
      <w:r w:rsidRPr="009460DA">
        <w:rPr>
          <w:rFonts w:ascii="Cambria" w:hAnsi="Cambria"/>
          <w:sz w:val="20"/>
          <w:szCs w:val="20"/>
        </w:rPr>
        <w:t xml:space="preserve">. In this instance, the money was directed toward a group of struggling small businesses with ties to the borrowers' political party. In addition, </w:t>
      </w:r>
      <w:sdt>
        <w:sdtPr>
          <w:rPr>
            <w:rFonts w:ascii="Cambria" w:hAnsi="Cambria"/>
            <w:sz w:val="20"/>
            <w:szCs w:val="20"/>
          </w:rPr>
          <w:id w:val="-1450934040"/>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Cho07 \l 1033 </w:instrText>
          </w:r>
          <w:r w:rsidR="00902FB4" w:rsidRPr="009460DA">
            <w:rPr>
              <w:rFonts w:ascii="Cambria" w:hAnsi="Cambria"/>
              <w:sz w:val="20"/>
              <w:szCs w:val="20"/>
            </w:rPr>
            <w:fldChar w:fldCharType="separate"/>
          </w:r>
          <w:r w:rsidRPr="009460DA">
            <w:rPr>
              <w:rFonts w:ascii="Cambria" w:hAnsi="Cambria"/>
              <w:noProof/>
              <w:sz w:val="20"/>
              <w:szCs w:val="20"/>
            </w:rPr>
            <w:t>(Chowdhury, 2007)</w:t>
          </w:r>
          <w:r w:rsidR="00902FB4" w:rsidRPr="009460DA">
            <w:rPr>
              <w:rFonts w:ascii="Cambria" w:hAnsi="Cambria"/>
              <w:sz w:val="20"/>
              <w:szCs w:val="20"/>
            </w:rPr>
            <w:fldChar w:fldCharType="end"/>
          </w:r>
        </w:sdtContent>
      </w:sdt>
      <w:r w:rsidRPr="009460DA">
        <w:rPr>
          <w:rFonts w:ascii="Cambria" w:hAnsi="Cambria"/>
          <w:sz w:val="20"/>
          <w:szCs w:val="20"/>
        </w:rPr>
        <w:t xml:space="preserve"> noted that bureaucracy, opaque administration, uneven enforcement, a lack of accountability, experiences, and bribery were to blame for the program's weaknesses in administration and policy, which rendered the microfinance program unproductive.</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 xml:space="preserve">In light of this claim, the study suggests that AIM is successful in raising participants’ income and lifting them beyond the poverty line. Over the past three decades, microfinance initiatives have been seen as a crucial technique for solving development concerns in various countries. In the field of promoting economic development, microfinance has grown significantly in popularity across the globe. The goal of microfinance systems is to help the majority of the world's poor people escape poverty and become active participants in the social and economic development of their nations </w:t>
      </w:r>
      <w:sdt>
        <w:sdtPr>
          <w:rPr>
            <w:rFonts w:ascii="Cambria" w:hAnsi="Cambria"/>
            <w:sz w:val="20"/>
            <w:szCs w:val="20"/>
          </w:rPr>
          <w:id w:val="156876184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Rhy06 \l 1033 </w:instrText>
          </w:r>
          <w:r w:rsidR="00902FB4" w:rsidRPr="009460DA">
            <w:rPr>
              <w:rFonts w:ascii="Cambria" w:hAnsi="Cambria"/>
              <w:sz w:val="20"/>
              <w:szCs w:val="20"/>
            </w:rPr>
            <w:fldChar w:fldCharType="separate"/>
          </w:r>
          <w:r w:rsidRPr="009460DA">
            <w:rPr>
              <w:rFonts w:ascii="Cambria" w:hAnsi="Cambria"/>
              <w:noProof/>
              <w:sz w:val="20"/>
              <w:szCs w:val="20"/>
            </w:rPr>
            <w:t>(Rhyne &amp; Otero, 2006)</w:t>
          </w:r>
          <w:r w:rsidR="00902FB4" w:rsidRPr="009460DA">
            <w:rPr>
              <w:rFonts w:ascii="Cambria" w:hAnsi="Cambria"/>
              <w:sz w:val="20"/>
              <w:szCs w:val="20"/>
            </w:rPr>
            <w:fldChar w:fldCharType="end"/>
          </w:r>
        </w:sdtContent>
      </w:sdt>
      <w:r w:rsidRPr="009460DA">
        <w:rPr>
          <w:rFonts w:ascii="Cambria" w:hAnsi="Cambria"/>
          <w:sz w:val="20"/>
          <w:szCs w:val="20"/>
        </w:rPr>
        <w:t xml:space="preserve">. Microcredit, an effective socioeconomic financial tool, helps a variety of organizations, both governmental and non-governmental, achieve their goals, including the Millennium Development Goals </w:t>
      </w:r>
      <w:sdt>
        <w:sdtPr>
          <w:rPr>
            <w:rFonts w:ascii="Cambria" w:hAnsi="Cambria"/>
            <w:sz w:val="20"/>
            <w:szCs w:val="20"/>
          </w:rPr>
          <w:id w:val="1629814530"/>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Hos08 \l 1033 </w:instrText>
          </w:r>
          <w:r w:rsidR="00902FB4" w:rsidRPr="009460DA">
            <w:rPr>
              <w:rFonts w:ascii="Cambria" w:hAnsi="Cambria"/>
              <w:sz w:val="20"/>
              <w:szCs w:val="20"/>
            </w:rPr>
            <w:fldChar w:fldCharType="separate"/>
          </w:r>
          <w:r w:rsidRPr="009460DA">
            <w:rPr>
              <w:rFonts w:ascii="Cambria" w:hAnsi="Cambria"/>
              <w:noProof/>
              <w:sz w:val="20"/>
              <w:szCs w:val="20"/>
            </w:rPr>
            <w:t>(Hossain &amp; Knight, 2008)</w:t>
          </w:r>
          <w:r w:rsidR="00902FB4" w:rsidRPr="009460DA">
            <w:rPr>
              <w:rFonts w:ascii="Cambria" w:hAnsi="Cambria"/>
              <w:sz w:val="20"/>
              <w:szCs w:val="20"/>
            </w:rPr>
            <w:fldChar w:fldCharType="end"/>
          </w:r>
        </w:sdtContent>
      </w:sdt>
      <w:r w:rsidRPr="009460DA">
        <w:rPr>
          <w:rFonts w:ascii="Cambria" w:hAnsi="Cambria"/>
          <w:sz w:val="20"/>
          <w:szCs w:val="20"/>
        </w:rPr>
        <w:t>. To help low-income households and their microbusinesses escape poverty, microfinance is the provision of a wide range of financial services such as deposits, loans, payments, money transfers, and insurance</w:t>
      </w:r>
      <w:sdt>
        <w:sdtPr>
          <w:rPr>
            <w:rFonts w:ascii="Cambria" w:hAnsi="Cambria"/>
            <w:sz w:val="20"/>
            <w:szCs w:val="20"/>
          </w:rPr>
          <w:id w:val="-126777091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CITATION Laz08 \l 1033 </w:instrText>
          </w:r>
          <w:r w:rsidR="00902FB4" w:rsidRPr="009460DA">
            <w:rPr>
              <w:rFonts w:ascii="Cambria" w:hAnsi="Cambria"/>
              <w:sz w:val="20"/>
              <w:szCs w:val="20"/>
            </w:rPr>
            <w:fldChar w:fldCharType="separate"/>
          </w:r>
          <w:r w:rsidRPr="009460DA">
            <w:rPr>
              <w:rFonts w:ascii="Cambria" w:hAnsi="Cambria"/>
              <w:noProof/>
              <w:sz w:val="20"/>
              <w:szCs w:val="20"/>
            </w:rPr>
            <w:t xml:space="preserve"> (Lazer, 2008)</w:t>
          </w:r>
          <w:r w:rsidR="00902FB4" w:rsidRPr="009460DA">
            <w:rPr>
              <w:rFonts w:ascii="Cambria" w:hAnsi="Cambria"/>
              <w:sz w:val="20"/>
              <w:szCs w:val="20"/>
            </w:rPr>
            <w:fldChar w:fldCharType="end"/>
          </w:r>
        </w:sdtContent>
      </w:sdt>
      <w:r w:rsidRPr="009460DA">
        <w:rPr>
          <w:rFonts w:ascii="Cambria" w:hAnsi="Cambria"/>
          <w:sz w:val="20"/>
          <w:szCs w:val="20"/>
        </w:rPr>
        <w:t xml:space="preserve">. Microfinance has grown to be a crucial tool for economic growth in Malaysia </w:t>
      </w:r>
      <w:sdt>
        <w:sdtPr>
          <w:rPr>
            <w:rFonts w:ascii="Cambria" w:hAnsi="Cambria"/>
            <w:sz w:val="20"/>
            <w:szCs w:val="20"/>
          </w:rPr>
          <w:id w:val="-1404603473"/>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Tiw07 \l 1033 </w:instrText>
          </w:r>
          <w:r w:rsidR="00902FB4" w:rsidRPr="009460DA">
            <w:rPr>
              <w:rFonts w:ascii="Cambria" w:hAnsi="Cambria"/>
              <w:sz w:val="20"/>
              <w:szCs w:val="20"/>
            </w:rPr>
            <w:fldChar w:fldCharType="separate"/>
          </w:r>
          <w:r w:rsidRPr="009460DA">
            <w:rPr>
              <w:rFonts w:ascii="Cambria" w:hAnsi="Cambria"/>
              <w:noProof/>
              <w:sz w:val="20"/>
              <w:szCs w:val="20"/>
            </w:rPr>
            <w:t>(Tiwari &amp; Thakkur, 2007)</w:t>
          </w:r>
          <w:r w:rsidR="00902FB4" w:rsidRPr="009460DA">
            <w:rPr>
              <w:rFonts w:ascii="Cambria" w:hAnsi="Cambria"/>
              <w:sz w:val="20"/>
              <w:szCs w:val="20"/>
            </w:rPr>
            <w:fldChar w:fldCharType="end"/>
          </w:r>
        </w:sdtContent>
      </w:sdt>
      <w:r w:rsidRPr="009460DA">
        <w:rPr>
          <w:rFonts w:ascii="Cambria" w:hAnsi="Cambria"/>
          <w:sz w:val="20"/>
          <w:szCs w:val="20"/>
        </w:rPr>
        <w:t>. Empowering women has become a crucial requirement for any community's socioeconomic growth. Fostering women's involvement in nation-building has been a top priority for many governments worldwide. Therefore, it is hypothesized that:</w:t>
      </w:r>
      <w:bookmarkStart w:id="0" w:name="_Hlk125731179"/>
      <w:r w:rsidRPr="009460DA">
        <w:rPr>
          <w:rFonts w:ascii="Cambria" w:hAnsi="Cambria"/>
          <w:sz w:val="20"/>
          <w:szCs w:val="20"/>
        </w:rPr>
        <w:t xml:space="preserve"> </w:t>
      </w: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H1:</w:t>
      </w:r>
      <w:r w:rsidRPr="009460DA">
        <w:rPr>
          <w:rFonts w:ascii="Cambria" w:hAnsi="Cambria"/>
          <w:b/>
          <w:spacing w:val="-6"/>
          <w:sz w:val="20"/>
          <w:szCs w:val="20"/>
        </w:rPr>
        <w:t xml:space="preserve"> </w:t>
      </w:r>
      <w:r w:rsidRPr="009460DA">
        <w:rPr>
          <w:rFonts w:ascii="Cambria" w:hAnsi="Cambria"/>
          <w:sz w:val="20"/>
          <w:szCs w:val="20"/>
        </w:rPr>
        <w:t>There is a significant relationship between involvement in microfinance and women’s empowerment.</w:t>
      </w:r>
      <w:bookmarkEnd w:id="0"/>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cs="Times New Roman"/>
          <w:sz w:val="20"/>
          <w:szCs w:val="20"/>
        </w:rPr>
      </w:pPr>
      <w:r w:rsidRPr="009460DA">
        <w:rPr>
          <w:rFonts w:ascii="Cambria" w:hAnsi="Cambria"/>
          <w:b/>
          <w:sz w:val="20"/>
          <w:szCs w:val="20"/>
        </w:rPr>
        <w:t>Social Capital:</w:t>
      </w:r>
      <w:r w:rsidRPr="009460DA">
        <w:rPr>
          <w:rFonts w:ascii="Cambria" w:hAnsi="Cambria"/>
          <w:sz w:val="20"/>
          <w:szCs w:val="20"/>
        </w:rPr>
        <w:t xml:space="preserve"> </w:t>
      </w:r>
      <w:r w:rsidRPr="009460DA">
        <w:rPr>
          <w:rFonts w:ascii="Cambria" w:hAnsi="Cambria" w:cs="Times New Roman"/>
          <w:sz w:val="20"/>
          <w:szCs w:val="20"/>
        </w:rPr>
        <w:t xml:space="preserve">AIM has employed the analysis of social capital as a determining factor to assess the impact of the microfinance program on its participants (AIM, 2008). According to Kumar et al. (2018), social capital refers to a mechanism that enhances the effectiveness of microfinance programs by leveraging trust and </w:t>
      </w:r>
      <w:r w:rsidRPr="009460DA">
        <w:rPr>
          <w:rFonts w:ascii="Cambria" w:hAnsi="Cambria" w:cs="Times New Roman"/>
          <w:sz w:val="20"/>
          <w:szCs w:val="20"/>
        </w:rPr>
        <w:lastRenderedPageBreak/>
        <w:t>reciprocity norms, thereby bolstering women's empowerment through social group activities. This definition aligns with Nicholas (2021), who emphasizes the significance of trust and reciprocity as norms within regular social groups engaging in socioeconomic activities. Mayoux (2001) also examined social capital as a variable to understand its relationship with women's empowerment, and the findings indicated a positive impact. The primary objective of the microfinancing program is to assist individuals living below the poverty line in overcoming their circumstances.</w:t>
      </w:r>
      <w:r w:rsidRPr="009460DA">
        <w:rPr>
          <w:rFonts w:ascii="Cambria" w:hAnsi="Cambria"/>
          <w:sz w:val="20"/>
          <w:szCs w:val="20"/>
        </w:rPr>
        <w:t xml:space="preserve"> </w:t>
      </w:r>
      <w:r w:rsidRPr="009460DA">
        <w:rPr>
          <w:rFonts w:ascii="Cambria" w:hAnsi="Cambria" w:cs="Times New Roman"/>
          <w:sz w:val="20"/>
          <w:szCs w:val="20"/>
        </w:rPr>
        <w:t>Therefore, AIM's role extends beyond merely providing financial assistance to borrowers.</w:t>
      </w:r>
    </w:p>
    <w:p w:rsidR="004C738B" w:rsidRPr="009460DA" w:rsidRDefault="004C738B" w:rsidP="009460DA">
      <w:pPr>
        <w:pStyle w:val="BodyText"/>
        <w:spacing w:after="0" w:line="240" w:lineRule="auto"/>
        <w:jc w:val="both"/>
        <w:rPr>
          <w:rFonts w:ascii="Cambria" w:hAnsi="Cambria" w:cs="Times New Roman"/>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cs="Times New Roman"/>
          <w:sz w:val="20"/>
          <w:szCs w:val="20"/>
        </w:rPr>
        <w:t>They also offer crucial support such as training, motivation, and the establishment of social groups among participants to enhance the effectiveness of the program (Noor, Che Mat, &amp; Abdul Hakim, 2013). This approach aligns with the positive findings on the correlation between social capital and business performance, as highlighted by Ado and Mata (2020). In the realm of Islamic microfinance, social capital is recognized as a significant element, encompassing trust, networking, and interpersonal relationships (Kamaluddin, Hadi, Alam, &amp; Adil, 2015). Consequently, it provides individuals with a platform for learning and benefiting from the knowledge and experiences of others (Nugroho, 2010). Social capital encompasses various aspects, including networking, shared standards, trust, and reciprocity among individuals, and can extend to interactions between groups, communities, organizations, and business entities (Yusuff, Bakar, &amp; Ahmad, 2018). Their study analyzed the impact of social capital based on four factors: norms and groups, trust and networking, economic equality, and volunteerism.</w:t>
      </w:r>
      <w:r w:rsidRPr="009460DA">
        <w:rPr>
          <w:rFonts w:ascii="Cambria" w:hAnsi="Cambria"/>
          <w:sz w:val="20"/>
          <w:szCs w:val="20"/>
        </w:rPr>
        <w:t xml:space="preserve"> Subsequ</w:t>
      </w:r>
      <w:bookmarkStart w:id="1" w:name="_Hlk125731452"/>
      <w:r w:rsidRPr="009460DA">
        <w:rPr>
          <w:rFonts w:ascii="Cambria" w:hAnsi="Cambria"/>
          <w:sz w:val="20"/>
          <w:szCs w:val="20"/>
        </w:rPr>
        <w:t xml:space="preserve">ently, it is hypothesized that: </w:t>
      </w: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H2:</w:t>
      </w:r>
      <w:r w:rsidRPr="009460DA">
        <w:rPr>
          <w:rFonts w:ascii="Cambria" w:hAnsi="Cambria"/>
          <w:sz w:val="20"/>
          <w:szCs w:val="20"/>
        </w:rPr>
        <w:t xml:space="preserve"> There is a significant relationship between social capital and women’s empowerment.</w:t>
      </w:r>
    </w:p>
    <w:bookmarkEnd w:id="1"/>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Training:</w:t>
      </w:r>
      <w:r w:rsidRPr="009460DA">
        <w:rPr>
          <w:rFonts w:ascii="Cambria" w:hAnsi="Cambria"/>
          <w:sz w:val="20"/>
          <w:szCs w:val="20"/>
        </w:rPr>
        <w:t xml:space="preserve"> </w:t>
      </w:r>
      <w:r w:rsidRPr="009460DA">
        <w:rPr>
          <w:rFonts w:ascii="Cambria" w:hAnsi="Cambria" w:cs="Times New Roman"/>
          <w:sz w:val="20"/>
          <w:szCs w:val="20"/>
        </w:rPr>
        <w:t>The microfinance institution (MFI) offers training to its borrowers, which has been found to have a positive impact on their business performance (Samer et al., 2015). These borrowers have received various types of training, such as financial literacy and business training, leading to more competitive income and successful business operations (Hansen, Huis, &amp; Lensink, 2020). Research has supported these findings by showing that the MFI's business training program results in increased sales, income, assets, and rates of employment for borrowers (Haider et al., 2017). Additionally, other studies emphasize the significance of training in business in helping borrowers succeed in their businesses, particularly for women entrepreneurs (Misnan, Abdul, &amp; Othman, 2015). AIM, as a component of the microfinance approval prerequisites, consistently provides a sequence of training initiatives to its participants. AIM's study in Kajian Impak 7 found that participants who joined the program organized by AIM tended to achieve greater production increases for their products (AIM, 2015).</w:t>
      </w:r>
      <w:r w:rsidRPr="009460DA">
        <w:rPr>
          <w:rFonts w:ascii="Cambria" w:hAnsi="Cambria"/>
          <w:sz w:val="20"/>
          <w:szCs w:val="20"/>
        </w:rPr>
        <w:t xml:space="preserve"> Type of training programs provided by AIM inclusive of entrepreneur character development; entrepreneurship basic knowledge; basic business skills; technical business skills and skills for business enhancement </w:t>
      </w:r>
      <w:sdt>
        <w:sdtPr>
          <w:rPr>
            <w:rFonts w:ascii="Cambria" w:hAnsi="Cambria"/>
            <w:sz w:val="20"/>
            <w:szCs w:val="20"/>
          </w:rPr>
          <w:id w:val="-1801068216"/>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Mis15 \l 1033 </w:instrText>
          </w:r>
          <w:r w:rsidR="00902FB4" w:rsidRPr="009460DA">
            <w:rPr>
              <w:rFonts w:ascii="Cambria" w:hAnsi="Cambria"/>
              <w:sz w:val="20"/>
              <w:szCs w:val="20"/>
            </w:rPr>
            <w:fldChar w:fldCharType="separate"/>
          </w:r>
          <w:r w:rsidRPr="009460DA">
            <w:rPr>
              <w:rFonts w:ascii="Cambria" w:hAnsi="Cambria"/>
              <w:noProof/>
              <w:sz w:val="20"/>
              <w:szCs w:val="20"/>
            </w:rPr>
            <w:t>(Misnan, Abdul, &amp; Othman, 2015)</w:t>
          </w:r>
          <w:r w:rsidR="00902FB4" w:rsidRPr="009460DA">
            <w:rPr>
              <w:rFonts w:ascii="Cambria" w:hAnsi="Cambria"/>
              <w:sz w:val="20"/>
              <w:szCs w:val="20"/>
            </w:rPr>
            <w:fldChar w:fldCharType="end"/>
          </w:r>
        </w:sdtContent>
      </w:sdt>
      <w:r w:rsidRPr="009460DA">
        <w:rPr>
          <w:rFonts w:ascii="Cambria" w:hAnsi="Cambria"/>
          <w:sz w:val="20"/>
          <w:szCs w:val="20"/>
        </w:rPr>
        <w:t>. Thus</w:t>
      </w:r>
      <w:bookmarkStart w:id="2" w:name="_Hlk135648351"/>
      <w:r w:rsidRPr="009460DA">
        <w:rPr>
          <w:rFonts w:ascii="Cambria" w:hAnsi="Cambria"/>
          <w:sz w:val="20"/>
          <w:szCs w:val="20"/>
        </w:rPr>
        <w:t>, it is hypothesized that</w:t>
      </w:r>
      <w:bookmarkEnd w:id="2"/>
      <w:r w:rsidRPr="009460DA">
        <w:rPr>
          <w:rFonts w:ascii="Cambria" w:hAnsi="Cambria"/>
          <w:sz w:val="20"/>
          <w:szCs w:val="20"/>
        </w:rPr>
        <w:t xml:space="preserve">: </w:t>
      </w: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 xml:space="preserve">H3: </w:t>
      </w:r>
      <w:r w:rsidRPr="009460DA">
        <w:rPr>
          <w:rFonts w:ascii="Cambria" w:hAnsi="Cambria"/>
          <w:sz w:val="20"/>
          <w:szCs w:val="20"/>
        </w:rPr>
        <w:t>There is a significant relationship between training and women’s empowerment.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cs="Times New Roman"/>
          <w:sz w:val="20"/>
          <w:szCs w:val="20"/>
        </w:rPr>
      </w:pPr>
      <w:r w:rsidRPr="009460DA">
        <w:rPr>
          <w:rFonts w:ascii="Cambria" w:hAnsi="Cambria"/>
          <w:b/>
          <w:sz w:val="20"/>
          <w:szCs w:val="20"/>
        </w:rPr>
        <w:t>Location:</w:t>
      </w:r>
      <w:r w:rsidRPr="009460DA">
        <w:rPr>
          <w:rFonts w:ascii="Cambria" w:hAnsi="Cambria"/>
          <w:sz w:val="20"/>
          <w:szCs w:val="20"/>
        </w:rPr>
        <w:t xml:space="preserve"> </w:t>
      </w:r>
      <w:r w:rsidRPr="009460DA">
        <w:rPr>
          <w:rFonts w:ascii="Cambria" w:hAnsi="Cambria" w:cs="Times New Roman"/>
          <w:sz w:val="20"/>
          <w:szCs w:val="20"/>
        </w:rPr>
        <w:t xml:space="preserve">The influence of the location of residential areas on women's empowerment through microfinance has been acknowledged (Norma &amp; Jarita, 2010). However, existing studies do not clearly ascertain the relationship between the location of residential areas and the impact of microfinance on women's empowerment. Other studies primarily focus on assessing rural areas rather than urban areas (Al-Shami et al., 2015). Regarding women's accessibility to microfinance, the geographical location of microfinance institutions has been discovered to play a pivotal role. More specifically, longer distances to the institution cause more challenges for households in seeking microfinance, thus impeding the process of improving their livelihoods (Alimukhamedova, Filer &amp; Hanousek, 2017). Furthermore, location also has an impact on the entrepreneurial activities carried out by business owners. Proximity to urban areas increases the chances of improving the quality of life by creating increased job prospects and improved household earnings, compared to locations that are farther away (Akingunola, Olowofela, &amp; Yunusa, 2018). Based on these observations, the following hypotheses are proposed: </w:t>
      </w:r>
    </w:p>
    <w:p w:rsidR="004C738B" w:rsidRPr="009460DA" w:rsidRDefault="004C738B" w:rsidP="009460DA">
      <w:pPr>
        <w:pStyle w:val="BodyText"/>
        <w:spacing w:after="0" w:line="240" w:lineRule="auto"/>
        <w:jc w:val="both"/>
        <w:rPr>
          <w:rFonts w:ascii="Cambria" w:hAnsi="Cambria" w:cs="Times New Roman"/>
          <w:sz w:val="20"/>
          <w:szCs w:val="20"/>
        </w:rPr>
      </w:pPr>
      <w:r w:rsidRPr="009460DA">
        <w:rPr>
          <w:rFonts w:ascii="Cambria" w:hAnsi="Cambria" w:cs="Times New Roman"/>
          <w:b/>
          <w:sz w:val="20"/>
          <w:szCs w:val="20"/>
        </w:rPr>
        <w:t>H4a:</w:t>
      </w:r>
      <w:r w:rsidRPr="009460DA">
        <w:rPr>
          <w:rFonts w:ascii="Cambria" w:hAnsi="Cambria" w:cs="Times New Roman"/>
          <w:sz w:val="20"/>
          <w:szCs w:val="20"/>
        </w:rPr>
        <w:t xml:space="preserve"> Location moderates the relationship between microfinance involvement and women's empowerment. </w:t>
      </w:r>
      <w:r w:rsidRPr="009460DA">
        <w:rPr>
          <w:rFonts w:ascii="Cambria" w:hAnsi="Cambria" w:cs="Times New Roman"/>
          <w:b/>
          <w:sz w:val="20"/>
          <w:szCs w:val="20"/>
        </w:rPr>
        <w:t>H4b:</w:t>
      </w:r>
      <w:r w:rsidRPr="009460DA">
        <w:rPr>
          <w:rFonts w:ascii="Cambria" w:hAnsi="Cambria" w:cs="Times New Roman"/>
          <w:sz w:val="20"/>
          <w:szCs w:val="20"/>
        </w:rPr>
        <w:t xml:space="preserve"> Location moderates the relationship between social capital and women's empowerment. </w:t>
      </w: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cs="Times New Roman"/>
          <w:b/>
          <w:sz w:val="20"/>
          <w:szCs w:val="20"/>
        </w:rPr>
        <w:t>H4c:</w:t>
      </w:r>
      <w:r w:rsidRPr="009460DA">
        <w:rPr>
          <w:rFonts w:ascii="Cambria" w:hAnsi="Cambria" w:cs="Times New Roman"/>
          <w:sz w:val="20"/>
          <w:szCs w:val="20"/>
        </w:rPr>
        <w:t xml:space="preserve"> Location moderates the relationship between training and women's empowerment.</w:t>
      </w:r>
    </w:p>
    <w:p w:rsidR="004C738B" w:rsidRDefault="004C738B" w:rsidP="009460DA">
      <w:pPr>
        <w:pStyle w:val="BodyText"/>
        <w:spacing w:after="0" w:line="240" w:lineRule="auto"/>
        <w:jc w:val="both"/>
        <w:rPr>
          <w:rFonts w:ascii="Cambria" w:hAnsi="Cambria"/>
          <w:sz w:val="20"/>
          <w:szCs w:val="20"/>
          <w:lang w:val="en-US"/>
        </w:rPr>
      </w:pPr>
    </w:p>
    <w:p w:rsidR="008471BD" w:rsidRDefault="008471BD" w:rsidP="009460DA">
      <w:pPr>
        <w:pStyle w:val="BodyText"/>
        <w:spacing w:after="0" w:line="240" w:lineRule="auto"/>
        <w:jc w:val="both"/>
        <w:rPr>
          <w:rFonts w:ascii="Cambria" w:hAnsi="Cambria"/>
          <w:sz w:val="20"/>
          <w:szCs w:val="20"/>
          <w:lang w:val="en-US"/>
        </w:rPr>
      </w:pPr>
    </w:p>
    <w:p w:rsidR="008471BD" w:rsidRPr="008471BD" w:rsidRDefault="008471BD" w:rsidP="009460DA">
      <w:pPr>
        <w:pStyle w:val="BodyText"/>
        <w:spacing w:after="0" w:line="240" w:lineRule="auto"/>
        <w:jc w:val="both"/>
        <w:rPr>
          <w:rFonts w:ascii="Cambria" w:hAnsi="Cambria"/>
          <w:sz w:val="20"/>
          <w:szCs w:val="20"/>
          <w:lang w:val="en-US"/>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lastRenderedPageBreak/>
        <w:t>3. Research</w:t>
      </w:r>
      <w:r w:rsidRPr="009460DA">
        <w:rPr>
          <w:rFonts w:ascii="Cambria" w:hAnsi="Cambria"/>
          <w:b/>
          <w:spacing w:val="-3"/>
          <w:sz w:val="20"/>
          <w:szCs w:val="20"/>
        </w:rPr>
        <w:t xml:space="preserve"> </w:t>
      </w:r>
      <w:r w:rsidRPr="009460DA">
        <w:rPr>
          <w:rFonts w:ascii="Cambria" w:hAnsi="Cambria"/>
          <w:b/>
          <w:sz w:val="20"/>
          <w:szCs w:val="20"/>
        </w:rPr>
        <w:t>Methodology</w:t>
      </w:r>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 xml:space="preserve">The current study focused on Amanah Ikhtiar Malaysia (AIM)'s female clients. A standardized questionnaire that was given to participants in the study was used to gather data. The questionnaire is divided into three sections, the first of which inquiries about the effectiveness of the microfinance program (including participation in microfinance, social capital, and training). The second section of the questionnaire includes questions about the empowerment of women. The third segment contains items that delve into the respondent profiles. The Likert scale has five possible responses for the first and second sections of the questionnaire. Great disagreement is indicated by a score of 1, whereas great agreement is indicated by a score of 5. 15 items were used to quantify the exogenous variables, which stand for participation in microfinance, education, and social capital. The endogenous variable, women's empowerment, was assessed using 5 items, on the other hand. 375 AIM consumers who identified as women received the questionnaire. The sample for this study was chosen based on purposeful sampling. The choice of appropriate responders to represent the companies is still up to the researcher </w:t>
      </w:r>
      <w:sdt>
        <w:sdtPr>
          <w:rPr>
            <w:rFonts w:ascii="Cambria" w:hAnsi="Cambria"/>
            <w:sz w:val="20"/>
            <w:szCs w:val="20"/>
          </w:rPr>
          <w:id w:val="-225302419"/>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Awa15 \l 1033 </w:instrText>
          </w:r>
          <w:r w:rsidR="00902FB4" w:rsidRPr="009460DA">
            <w:rPr>
              <w:rFonts w:ascii="Cambria" w:hAnsi="Cambria"/>
              <w:sz w:val="20"/>
              <w:szCs w:val="20"/>
            </w:rPr>
            <w:fldChar w:fldCharType="separate"/>
          </w:r>
          <w:r w:rsidRPr="009460DA">
            <w:rPr>
              <w:rFonts w:ascii="Cambria" w:hAnsi="Cambria"/>
              <w:noProof/>
              <w:sz w:val="20"/>
              <w:szCs w:val="20"/>
            </w:rPr>
            <w:t>(Awang, Afthanorhan, &amp; Asri, 2015)</w:t>
          </w:r>
          <w:r w:rsidR="00902FB4" w:rsidRPr="009460DA">
            <w:rPr>
              <w:rFonts w:ascii="Cambria" w:hAnsi="Cambria"/>
              <w:sz w:val="20"/>
              <w:szCs w:val="20"/>
            </w:rPr>
            <w:fldChar w:fldCharType="end"/>
          </w:r>
        </w:sdtContent>
      </w:sdt>
      <w:r w:rsidRPr="009460DA">
        <w:rPr>
          <w:rFonts w:ascii="Cambria" w:hAnsi="Cambria"/>
          <w:sz w:val="20"/>
          <w:szCs w:val="20"/>
        </w:rPr>
        <w:t>. June through August 2022 served as the study's data collection period. Female AIM users made up the target demographic for this study. The G-power software was used to establish the necessary minimum sample size.</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The required power was set at 0.80, and the effect size was assessed to be modest (0.15). The performance of MFIs was predicted by up to seven different factors in the study model. Previous researcher asserts that social science needs to reach a minimum acceptable score of 80%</w:t>
      </w:r>
      <w:sdt>
        <w:sdtPr>
          <w:rPr>
            <w:rFonts w:ascii="Cambria" w:hAnsi="Cambria"/>
            <w:sz w:val="20"/>
            <w:szCs w:val="20"/>
          </w:rPr>
          <w:id w:val="56044249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Gef11 \l 1033 </w:instrText>
          </w:r>
          <w:r w:rsidR="00902FB4" w:rsidRPr="009460DA">
            <w:rPr>
              <w:rFonts w:ascii="Cambria" w:hAnsi="Cambria"/>
              <w:sz w:val="20"/>
              <w:szCs w:val="20"/>
            </w:rPr>
            <w:fldChar w:fldCharType="separate"/>
          </w:r>
          <w:r w:rsidRPr="009460DA">
            <w:rPr>
              <w:rFonts w:ascii="Cambria" w:hAnsi="Cambria"/>
              <w:noProof/>
              <w:sz w:val="20"/>
              <w:szCs w:val="20"/>
            </w:rPr>
            <w:t xml:space="preserve"> (Gefen, Rigdon, &amp; Straub, 2011)</w:t>
          </w:r>
          <w:r w:rsidR="00902FB4" w:rsidRPr="009460DA">
            <w:rPr>
              <w:rFonts w:ascii="Cambria" w:hAnsi="Cambria"/>
              <w:sz w:val="20"/>
              <w:szCs w:val="20"/>
            </w:rPr>
            <w:fldChar w:fldCharType="end"/>
          </w:r>
        </w:sdtContent>
      </w:sdt>
      <w:r w:rsidRPr="009460DA">
        <w:rPr>
          <w:rFonts w:ascii="Cambria" w:hAnsi="Cambria"/>
          <w:sz w:val="20"/>
          <w:szCs w:val="20"/>
        </w:rPr>
        <w:t xml:space="preserve">. The acquired results were slightly greater than what was required because the sample size that was needed was 103. Only 236 of the 375 eligible respondents replied to the survey. This sample size represents a 62.9% response rate, which is considered satisfactory </w:t>
      </w:r>
      <w:sdt>
        <w:sdtPr>
          <w:rPr>
            <w:rFonts w:ascii="Cambria" w:hAnsi="Cambria"/>
            <w:sz w:val="20"/>
            <w:szCs w:val="20"/>
          </w:rPr>
          <w:id w:val="226888370"/>
          <w:citation/>
        </w:sdtPr>
        <w:sdtContent>
          <w:r w:rsidR="00902FB4" w:rsidRPr="009460DA">
            <w:rPr>
              <w:rFonts w:ascii="Cambria" w:hAnsi="Cambria"/>
              <w:sz w:val="20"/>
              <w:szCs w:val="20"/>
            </w:rPr>
            <w:fldChar w:fldCharType="begin"/>
          </w:r>
          <w:r w:rsidRPr="009460DA">
            <w:rPr>
              <w:rFonts w:ascii="Cambria" w:hAnsi="Cambria"/>
              <w:sz w:val="20"/>
              <w:szCs w:val="20"/>
              <w:lang w:val="en-US"/>
            </w:rPr>
            <w:instrText xml:space="preserve"> CITATION Placeholder28 \l 1033  </w:instrText>
          </w:r>
          <w:r w:rsidR="00902FB4" w:rsidRPr="009460DA">
            <w:rPr>
              <w:rFonts w:ascii="Cambria" w:hAnsi="Cambria"/>
              <w:sz w:val="20"/>
              <w:szCs w:val="20"/>
            </w:rPr>
            <w:fldChar w:fldCharType="separate"/>
          </w:r>
          <w:r w:rsidRPr="009460DA">
            <w:rPr>
              <w:rFonts w:ascii="Cambria" w:hAnsi="Cambria"/>
              <w:noProof/>
              <w:sz w:val="20"/>
              <w:szCs w:val="20"/>
              <w:lang w:val="en-US"/>
            </w:rPr>
            <w:t>(Sekaran &amp; Bougie, 2016)</w:t>
          </w:r>
          <w:r w:rsidR="00902FB4" w:rsidRPr="009460DA">
            <w:rPr>
              <w:rFonts w:ascii="Cambria" w:hAnsi="Cambria"/>
              <w:sz w:val="20"/>
              <w:szCs w:val="20"/>
            </w:rPr>
            <w:fldChar w:fldCharType="end"/>
          </w:r>
        </w:sdtContent>
      </w:sdt>
      <w:r w:rsidRPr="009460DA">
        <w:rPr>
          <w:rFonts w:ascii="Cambria" w:hAnsi="Cambria"/>
          <w:sz w:val="20"/>
          <w:szCs w:val="20"/>
        </w:rPr>
        <w:t xml:space="preserve">. The model in Figure 1 was computed using Smart PLS 4, which focuses on modeling and bootstrapping </w:t>
      </w:r>
      <w:sdt>
        <w:sdtPr>
          <w:rPr>
            <w:rFonts w:ascii="Cambria" w:hAnsi="Cambria"/>
            <w:sz w:val="20"/>
            <w:szCs w:val="20"/>
          </w:rPr>
          <w:id w:val="-1462646427"/>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Sar22 \l 1033 </w:instrText>
          </w:r>
          <w:r w:rsidR="00902FB4" w:rsidRPr="009460DA">
            <w:rPr>
              <w:rFonts w:ascii="Cambria" w:hAnsi="Cambria"/>
              <w:sz w:val="20"/>
              <w:szCs w:val="20"/>
            </w:rPr>
            <w:fldChar w:fldCharType="separate"/>
          </w:r>
          <w:r w:rsidRPr="009460DA">
            <w:rPr>
              <w:rFonts w:ascii="Cambria" w:hAnsi="Cambria"/>
              <w:noProof/>
              <w:sz w:val="20"/>
              <w:szCs w:val="20"/>
            </w:rPr>
            <w:t>(Sarstedt, et al., 2022)</w:t>
          </w:r>
          <w:r w:rsidR="00902FB4" w:rsidRPr="009460DA">
            <w:rPr>
              <w:rFonts w:ascii="Cambria" w:hAnsi="Cambria"/>
              <w:sz w:val="20"/>
              <w:szCs w:val="20"/>
            </w:rPr>
            <w:fldChar w:fldCharType="end"/>
          </w:r>
        </w:sdtContent>
      </w:sdt>
      <w:r w:rsidRPr="009460DA">
        <w:rPr>
          <w:rFonts w:ascii="Cambria" w:hAnsi="Cambria"/>
          <w:sz w:val="20"/>
          <w:szCs w:val="20"/>
        </w:rPr>
        <w:t>. The structural model and the measurement model are the two phases of the partial lease square (PLS) analysis. The validity and reliability of the measurement model must be evaluated. The measurement model's validity is evaluated using convergent and discriminant validity, while the model's reliability is evaluated using the Composite Reliability Index (CR). After the measuring model was created, 500 resamples were used in a structural model test to investigate the relationship between the success of the microfinance program and women's empowerment.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4. Results</w:t>
      </w:r>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cs="Times New Roman"/>
          <w:sz w:val="20"/>
          <w:szCs w:val="20"/>
        </w:rPr>
        <w:t>Data for the present study was exclusively gathered from participants affiliated with AIM in the southern region of Malaysia, specifically from the states of Johor, Melaka, and Negeri Sembilan. The data collection process, outlined in Table 1, involved the creation of 15 WhatsApp groups, each representing a branch of AIM in the aforementioned states. Additionally, each group comprised 25 participants who were carefully selected in collaboration with AIM officers. Before data collection, a meeting was conducted with those officers to provide them with an overview of the study's background, purpose, methodology, and expectations. The officers showed great cooperation, facilitating the data collection process. To comply with the required procedures, the university issued a supporting letter to request approval from the company to collect the data. Subsequently, the participants were provided with a link to an online questionnaire, which they completed within a specified timeframe.</w:t>
      </w: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Table 1: Data Collection According to States</w:t>
      </w:r>
    </w:p>
    <w:tbl>
      <w:tblPr>
        <w:tblW w:w="5000" w:type="pct"/>
        <w:tblBorders>
          <w:top w:val="single" w:sz="4" w:space="0" w:color="auto"/>
          <w:bottom w:val="single" w:sz="4" w:space="0" w:color="auto"/>
        </w:tblBorders>
        <w:tblCellMar>
          <w:left w:w="0" w:type="dxa"/>
          <w:right w:w="0" w:type="dxa"/>
        </w:tblCellMar>
        <w:tblLook w:val="01E0"/>
      </w:tblPr>
      <w:tblGrid>
        <w:gridCol w:w="1701"/>
        <w:gridCol w:w="2127"/>
        <w:gridCol w:w="285"/>
        <w:gridCol w:w="2411"/>
        <w:gridCol w:w="1127"/>
        <w:gridCol w:w="1709"/>
      </w:tblGrid>
      <w:tr w:rsidR="004C738B" w:rsidRPr="009460DA" w:rsidTr="008B2F5A">
        <w:trPr>
          <w:trHeight w:val="228"/>
        </w:trPr>
        <w:tc>
          <w:tcPr>
            <w:tcW w:w="909" w:type="pct"/>
            <w:tcBorders>
              <w:top w:val="single" w:sz="4" w:space="0" w:color="auto"/>
              <w:bottom w:val="nil"/>
            </w:tcBorders>
          </w:tcPr>
          <w:p w:rsidR="004C738B" w:rsidRPr="009460DA" w:rsidRDefault="004C738B" w:rsidP="009460DA">
            <w:pPr>
              <w:spacing w:after="0" w:line="240" w:lineRule="auto"/>
              <w:jc w:val="both"/>
              <w:rPr>
                <w:rFonts w:ascii="Cambria" w:hAnsi="Cambria"/>
                <w:b/>
                <w:sz w:val="20"/>
                <w:szCs w:val="20"/>
              </w:rPr>
            </w:pPr>
            <w:r w:rsidRPr="009460DA">
              <w:rPr>
                <w:rFonts w:ascii="Cambria" w:hAnsi="Cambria"/>
                <w:b/>
                <w:sz w:val="20"/>
                <w:szCs w:val="20"/>
              </w:rPr>
              <w:t>State</w:t>
            </w:r>
          </w:p>
        </w:tc>
        <w:tc>
          <w:tcPr>
            <w:tcW w:w="1136" w:type="pct"/>
            <w:tcBorders>
              <w:top w:val="single" w:sz="4" w:space="0" w:color="auto"/>
              <w:bottom w:val="nil"/>
            </w:tcBorders>
          </w:tcPr>
          <w:p w:rsidR="004C738B" w:rsidRPr="009460DA" w:rsidRDefault="004C738B" w:rsidP="009460DA">
            <w:pPr>
              <w:spacing w:after="0" w:line="240" w:lineRule="auto"/>
              <w:jc w:val="both"/>
              <w:rPr>
                <w:rFonts w:ascii="Cambria" w:hAnsi="Cambria"/>
                <w:b/>
                <w:sz w:val="20"/>
                <w:szCs w:val="20"/>
              </w:rPr>
            </w:pPr>
            <w:r w:rsidRPr="009460DA">
              <w:rPr>
                <w:rFonts w:ascii="Cambria" w:hAnsi="Cambria"/>
                <w:b/>
                <w:sz w:val="20"/>
                <w:szCs w:val="20"/>
              </w:rPr>
              <w:t>Branch</w:t>
            </w:r>
          </w:p>
        </w:tc>
        <w:tc>
          <w:tcPr>
            <w:tcW w:w="2955" w:type="pct"/>
            <w:gridSpan w:val="4"/>
            <w:tcBorders>
              <w:top w:val="single" w:sz="4" w:space="0" w:color="auto"/>
              <w:bottom w:val="nil"/>
            </w:tcBorders>
          </w:tcPr>
          <w:p w:rsidR="004C738B" w:rsidRPr="009460DA" w:rsidRDefault="004C738B" w:rsidP="009460DA">
            <w:pPr>
              <w:spacing w:after="0" w:line="240" w:lineRule="auto"/>
              <w:jc w:val="both"/>
              <w:rPr>
                <w:rFonts w:ascii="Cambria" w:hAnsi="Cambria"/>
                <w:b/>
                <w:sz w:val="20"/>
                <w:szCs w:val="20"/>
              </w:rPr>
            </w:pPr>
            <w:r w:rsidRPr="009460DA">
              <w:rPr>
                <w:rFonts w:ascii="Cambria" w:hAnsi="Cambria"/>
                <w:b/>
                <w:sz w:val="20"/>
                <w:szCs w:val="20"/>
              </w:rPr>
              <w:t>Number of Questionnaire</w:t>
            </w:r>
          </w:p>
        </w:tc>
      </w:tr>
      <w:tr w:rsidR="004C738B" w:rsidRPr="009460DA" w:rsidTr="008B2F5A">
        <w:trPr>
          <w:trHeight w:val="227"/>
        </w:trPr>
        <w:tc>
          <w:tcPr>
            <w:tcW w:w="909" w:type="pct"/>
            <w:tcBorders>
              <w:top w:val="nil"/>
              <w:bottom w:val="single" w:sz="4" w:space="0" w:color="auto"/>
            </w:tcBorders>
          </w:tcPr>
          <w:p w:rsidR="004C738B" w:rsidRPr="009460DA" w:rsidRDefault="004C738B" w:rsidP="009460DA">
            <w:pPr>
              <w:spacing w:after="0" w:line="240" w:lineRule="auto"/>
              <w:jc w:val="both"/>
              <w:rPr>
                <w:rFonts w:ascii="Cambria" w:hAnsi="Cambria"/>
                <w:b/>
                <w:sz w:val="20"/>
                <w:szCs w:val="20"/>
              </w:rPr>
            </w:pPr>
          </w:p>
        </w:tc>
        <w:tc>
          <w:tcPr>
            <w:tcW w:w="1136" w:type="pct"/>
            <w:tcBorders>
              <w:top w:val="nil"/>
              <w:bottom w:val="single" w:sz="4" w:space="0" w:color="auto"/>
            </w:tcBorders>
          </w:tcPr>
          <w:p w:rsidR="004C738B" w:rsidRPr="009460DA" w:rsidRDefault="004C738B" w:rsidP="009460DA">
            <w:pPr>
              <w:spacing w:after="0" w:line="240" w:lineRule="auto"/>
              <w:jc w:val="both"/>
              <w:rPr>
                <w:rFonts w:ascii="Cambria" w:hAnsi="Cambria"/>
                <w:sz w:val="20"/>
                <w:szCs w:val="20"/>
              </w:rPr>
            </w:pPr>
          </w:p>
        </w:tc>
        <w:tc>
          <w:tcPr>
            <w:tcW w:w="2042" w:type="pct"/>
            <w:gridSpan w:val="3"/>
            <w:tcBorders>
              <w:top w:val="nil"/>
              <w:bottom w:val="single" w:sz="4" w:space="0" w:color="auto"/>
            </w:tcBorders>
          </w:tcPr>
          <w:p w:rsidR="004C738B" w:rsidRPr="009460DA" w:rsidRDefault="004C738B" w:rsidP="009460DA">
            <w:pPr>
              <w:spacing w:after="0" w:line="240" w:lineRule="auto"/>
              <w:jc w:val="both"/>
              <w:rPr>
                <w:rFonts w:ascii="Cambria" w:hAnsi="Cambria"/>
                <w:b/>
                <w:sz w:val="20"/>
                <w:szCs w:val="20"/>
              </w:rPr>
            </w:pPr>
            <w:r w:rsidRPr="009460DA">
              <w:rPr>
                <w:rFonts w:ascii="Cambria" w:hAnsi="Cambria"/>
                <w:b/>
                <w:sz w:val="20"/>
                <w:szCs w:val="20"/>
              </w:rPr>
              <w:t>Distributed</w:t>
            </w:r>
          </w:p>
        </w:tc>
        <w:tc>
          <w:tcPr>
            <w:tcW w:w="913" w:type="pct"/>
            <w:tcBorders>
              <w:top w:val="nil"/>
              <w:bottom w:val="single" w:sz="4" w:space="0" w:color="auto"/>
            </w:tcBorders>
          </w:tcPr>
          <w:p w:rsidR="004C738B" w:rsidRPr="009460DA" w:rsidRDefault="004C738B" w:rsidP="009460DA">
            <w:pPr>
              <w:spacing w:after="0" w:line="240" w:lineRule="auto"/>
              <w:jc w:val="both"/>
              <w:rPr>
                <w:rFonts w:ascii="Cambria" w:hAnsi="Cambria"/>
                <w:b/>
                <w:sz w:val="20"/>
                <w:szCs w:val="20"/>
              </w:rPr>
            </w:pPr>
            <w:r w:rsidRPr="009460DA">
              <w:rPr>
                <w:rFonts w:ascii="Cambria" w:hAnsi="Cambria"/>
                <w:b/>
                <w:sz w:val="20"/>
                <w:szCs w:val="20"/>
              </w:rPr>
              <w:t>Returned</w:t>
            </w:r>
          </w:p>
        </w:tc>
      </w:tr>
      <w:tr w:rsidR="004C738B" w:rsidRPr="009460DA" w:rsidTr="008B2F5A">
        <w:trPr>
          <w:trHeight w:val="228"/>
        </w:trPr>
        <w:tc>
          <w:tcPr>
            <w:tcW w:w="909" w:type="pct"/>
            <w:tcBorders>
              <w:top w:val="single" w:sz="4" w:space="0" w:color="auto"/>
            </w:tcBorders>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JOHOR</w:t>
            </w:r>
          </w:p>
        </w:tc>
        <w:tc>
          <w:tcPr>
            <w:tcW w:w="1288" w:type="pct"/>
            <w:gridSpan w:val="2"/>
            <w:tcBorders>
              <w:top w:val="single" w:sz="4" w:space="0" w:color="auto"/>
            </w:tcBorders>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Johor Bahru</w:t>
            </w:r>
          </w:p>
        </w:tc>
        <w:tc>
          <w:tcPr>
            <w:tcW w:w="1288" w:type="pct"/>
            <w:tcBorders>
              <w:top w:val="single" w:sz="4" w:space="0" w:color="auto"/>
            </w:tcBorders>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Borders>
              <w:top w:val="single" w:sz="4" w:space="0" w:color="auto"/>
            </w:tcBorders>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19</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Kulai Jaya</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9</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 xml:space="preserve">Kota Tinggi </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17</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Batu Pahat</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15</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Pontian</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17</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Kluang</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18</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Muar</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16</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Segamat</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24</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lastRenderedPageBreak/>
              <w:t>Melaka</w:t>
            </w: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Melaka Tengah</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15</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Jasin</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15</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Alor Gajah</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22</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Negeri Sembilan</w:t>
            </w: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Senawang</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17</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Seremban</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8</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Kuala Pilah</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12</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p>
        </w:tc>
        <w:tc>
          <w:tcPr>
            <w:tcW w:w="1288"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Rembau</w:t>
            </w: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12</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TOTAL</w:t>
            </w:r>
          </w:p>
        </w:tc>
        <w:tc>
          <w:tcPr>
            <w:tcW w:w="1288" w:type="pct"/>
            <w:gridSpan w:val="2"/>
          </w:tcPr>
          <w:p w:rsidR="004C738B" w:rsidRPr="009460DA" w:rsidRDefault="004C738B" w:rsidP="009460DA">
            <w:pPr>
              <w:spacing w:after="0" w:line="240" w:lineRule="auto"/>
              <w:jc w:val="both"/>
              <w:rPr>
                <w:rFonts w:ascii="Cambria" w:hAnsi="Cambria"/>
                <w:sz w:val="20"/>
                <w:szCs w:val="20"/>
              </w:rPr>
            </w:pP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375</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236</w:t>
            </w:r>
          </w:p>
        </w:tc>
      </w:tr>
      <w:tr w:rsidR="004C738B" w:rsidRPr="009460DA" w:rsidTr="008B2F5A">
        <w:trPr>
          <w:trHeight w:val="228"/>
        </w:trPr>
        <w:tc>
          <w:tcPr>
            <w:tcW w:w="909"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PERCENTAGE</w:t>
            </w:r>
          </w:p>
        </w:tc>
        <w:tc>
          <w:tcPr>
            <w:tcW w:w="1288" w:type="pct"/>
            <w:gridSpan w:val="2"/>
          </w:tcPr>
          <w:p w:rsidR="004C738B" w:rsidRPr="009460DA" w:rsidRDefault="004C738B" w:rsidP="009460DA">
            <w:pPr>
              <w:spacing w:after="0" w:line="240" w:lineRule="auto"/>
              <w:jc w:val="both"/>
              <w:rPr>
                <w:rFonts w:ascii="Cambria" w:hAnsi="Cambria"/>
                <w:sz w:val="20"/>
                <w:szCs w:val="20"/>
              </w:rPr>
            </w:pPr>
          </w:p>
        </w:tc>
        <w:tc>
          <w:tcPr>
            <w:tcW w:w="1288" w:type="pct"/>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110%</w:t>
            </w:r>
          </w:p>
        </w:tc>
        <w:tc>
          <w:tcPr>
            <w:tcW w:w="1515" w:type="pct"/>
            <w:gridSpan w:val="2"/>
          </w:tcPr>
          <w:p w:rsidR="004C738B" w:rsidRPr="009460DA" w:rsidRDefault="004C738B" w:rsidP="009460DA">
            <w:pPr>
              <w:spacing w:after="0" w:line="240" w:lineRule="auto"/>
              <w:jc w:val="both"/>
              <w:rPr>
                <w:rFonts w:ascii="Cambria" w:hAnsi="Cambria"/>
                <w:sz w:val="20"/>
                <w:szCs w:val="20"/>
              </w:rPr>
            </w:pPr>
            <w:r w:rsidRPr="009460DA">
              <w:rPr>
                <w:rFonts w:ascii="Cambria" w:hAnsi="Cambria"/>
                <w:sz w:val="20"/>
                <w:szCs w:val="20"/>
              </w:rPr>
              <w:t>62.9%</w:t>
            </w:r>
          </w:p>
        </w:tc>
      </w:tr>
    </w:tbl>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Profile</w:t>
      </w:r>
      <w:r w:rsidRPr="009460DA">
        <w:rPr>
          <w:rFonts w:ascii="Cambria" w:hAnsi="Cambria"/>
          <w:b/>
          <w:spacing w:val="9"/>
          <w:sz w:val="20"/>
          <w:szCs w:val="20"/>
        </w:rPr>
        <w:t xml:space="preserve"> </w:t>
      </w:r>
      <w:r w:rsidRPr="009460DA">
        <w:rPr>
          <w:rFonts w:ascii="Cambria" w:hAnsi="Cambria"/>
          <w:b/>
          <w:sz w:val="20"/>
          <w:szCs w:val="20"/>
        </w:rPr>
        <w:t>of</w:t>
      </w:r>
      <w:r w:rsidRPr="009460DA">
        <w:rPr>
          <w:rFonts w:ascii="Cambria" w:hAnsi="Cambria"/>
          <w:b/>
          <w:spacing w:val="10"/>
          <w:sz w:val="20"/>
          <w:szCs w:val="20"/>
        </w:rPr>
        <w:t xml:space="preserve"> </w:t>
      </w:r>
      <w:r w:rsidRPr="009460DA">
        <w:rPr>
          <w:rFonts w:ascii="Cambria" w:hAnsi="Cambria"/>
          <w:b/>
          <w:sz w:val="20"/>
          <w:szCs w:val="20"/>
        </w:rPr>
        <w:t>Respondents:</w:t>
      </w:r>
      <w:r w:rsidRPr="009460DA">
        <w:rPr>
          <w:rFonts w:ascii="Cambria" w:hAnsi="Cambria"/>
          <w:b/>
          <w:spacing w:val="10"/>
          <w:sz w:val="20"/>
          <w:szCs w:val="20"/>
        </w:rPr>
        <w:t xml:space="preserve"> </w:t>
      </w:r>
      <w:r w:rsidRPr="009460DA">
        <w:rPr>
          <w:rFonts w:ascii="Cambria" w:hAnsi="Cambria" w:cs="Times New Roman"/>
          <w:sz w:val="20"/>
          <w:szCs w:val="20"/>
        </w:rPr>
        <w:t>A summary of the characteristics of all the clients who took part in the present study is depicted in Table 2. A total of 375 participants, primarily focusing on women clients, were targeted to complete the distributed questionnaires. Out of the 375 participants, only 236 questionnaires were answered, representing a response rate of 62.9%. Regarding the three regions examined in this study, the majority of participants were from Johor (135; 57.2%), covering eight areas. This was followed by participants from Melaka (52; 22%), covering three areas, and Negeri Sembilan (49; 20.8%), covering four areas. The specific areas can be found in Table 4.2. In terms of age distribution, the respondents were categorized as 25-30 years old (2.1%), 31-40 years old (32.2%), 41-50 years old (46.6%), 51-60 years old (17.4%), and 60 years old and above (1.7%). Among the total of 235 respondents, the majority were Malays with 234 respondents (99.2%), while one participant each was Chinese and Indian, accounting for 0.4% each. In terms of highest educational qualifications, most participants held an SPM certificate (164; 69.5%), followed by STPM/Diploma holders (37; 15.7%), secondary school graduates (19; 8.1%), degree holders (10; 4.2%), certificate holders from skills programs and polytechnic institutes (4; 1.7%), and primary school graduates (2; 0.8%). In terms of marital status, the respondents were mainly married (209; 88.6%), with 25 respondents being divorced (10.6%) and 2 respondents being single (0.8%). Regarding the residential area of the participants, the majority resided in rural areas (130; 55.1%), while 44.9% lived in urban areas.</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Table</w:t>
      </w:r>
      <w:r w:rsidRPr="009460DA">
        <w:rPr>
          <w:rFonts w:ascii="Cambria" w:hAnsi="Cambria"/>
          <w:b/>
          <w:spacing w:val="-4"/>
          <w:sz w:val="20"/>
          <w:szCs w:val="20"/>
        </w:rPr>
        <w:t xml:space="preserve"> </w:t>
      </w:r>
      <w:r w:rsidRPr="009460DA">
        <w:rPr>
          <w:rFonts w:ascii="Cambria" w:hAnsi="Cambria"/>
          <w:b/>
          <w:sz w:val="20"/>
          <w:szCs w:val="20"/>
        </w:rPr>
        <w:t>2:</w:t>
      </w:r>
      <w:r w:rsidRPr="009460DA">
        <w:rPr>
          <w:rFonts w:ascii="Cambria" w:hAnsi="Cambria"/>
          <w:b/>
          <w:spacing w:val="-4"/>
          <w:sz w:val="20"/>
          <w:szCs w:val="20"/>
        </w:rPr>
        <w:t xml:space="preserve"> </w:t>
      </w:r>
      <w:r w:rsidRPr="009460DA">
        <w:rPr>
          <w:rFonts w:ascii="Cambria" w:hAnsi="Cambria"/>
          <w:b/>
          <w:sz w:val="20"/>
          <w:szCs w:val="20"/>
        </w:rPr>
        <w:t>Demographic</w:t>
      </w:r>
      <w:r w:rsidRPr="009460DA">
        <w:rPr>
          <w:rFonts w:ascii="Cambria" w:hAnsi="Cambria"/>
          <w:b/>
          <w:spacing w:val="-4"/>
          <w:sz w:val="20"/>
          <w:szCs w:val="20"/>
        </w:rPr>
        <w:t xml:space="preserve"> </w:t>
      </w:r>
      <w:r w:rsidRPr="009460DA">
        <w:rPr>
          <w:rFonts w:ascii="Cambria" w:hAnsi="Cambria"/>
          <w:b/>
          <w:sz w:val="20"/>
          <w:szCs w:val="20"/>
        </w:rPr>
        <w:t>Profile</w:t>
      </w:r>
    </w:p>
    <w:tbl>
      <w:tblPr>
        <w:tblW w:w="5000" w:type="pct"/>
        <w:tblCellMar>
          <w:left w:w="0" w:type="dxa"/>
          <w:right w:w="0" w:type="dxa"/>
        </w:tblCellMar>
        <w:tblLook w:val="01E0"/>
      </w:tblPr>
      <w:tblGrid>
        <w:gridCol w:w="2789"/>
        <w:gridCol w:w="2404"/>
        <w:gridCol w:w="4167"/>
      </w:tblGrid>
      <w:tr w:rsidR="004C738B" w:rsidRPr="009460DA" w:rsidTr="008B2F5A">
        <w:trPr>
          <w:trHeight w:val="235"/>
        </w:trPr>
        <w:tc>
          <w:tcPr>
            <w:tcW w:w="1490" w:type="pct"/>
            <w:tcBorders>
              <w:top w:val="single" w:sz="4" w:space="0" w:color="000000"/>
              <w:bottom w:val="single" w:sz="4" w:space="0" w:color="000000"/>
            </w:tcBorders>
          </w:tcPr>
          <w:p w:rsidR="004C738B" w:rsidRPr="009460DA" w:rsidRDefault="004C738B" w:rsidP="009460DA">
            <w:pPr>
              <w:pStyle w:val="TableParagraph"/>
              <w:jc w:val="both"/>
              <w:rPr>
                <w:rFonts w:ascii="Cambria" w:hAnsi="Cambria"/>
                <w:b/>
                <w:sz w:val="20"/>
                <w:szCs w:val="20"/>
              </w:rPr>
            </w:pPr>
            <w:bookmarkStart w:id="3" w:name="_Hlk125745921"/>
            <w:r w:rsidRPr="009460DA">
              <w:rPr>
                <w:rFonts w:ascii="Cambria" w:hAnsi="Cambria"/>
                <w:b/>
                <w:sz w:val="20"/>
                <w:szCs w:val="20"/>
              </w:rPr>
              <w:t>Variable</w:t>
            </w:r>
          </w:p>
        </w:tc>
        <w:tc>
          <w:tcPr>
            <w:tcW w:w="1284" w:type="pct"/>
            <w:tcBorders>
              <w:top w:val="single" w:sz="4" w:space="0" w:color="000000"/>
              <w:bottom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Frequency</w:t>
            </w:r>
          </w:p>
        </w:tc>
        <w:tc>
          <w:tcPr>
            <w:tcW w:w="2226" w:type="pct"/>
            <w:tcBorders>
              <w:top w:val="single" w:sz="4" w:space="0" w:color="000000"/>
              <w:bottom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Percentage</w:t>
            </w:r>
          </w:p>
        </w:tc>
      </w:tr>
      <w:tr w:rsidR="004C738B" w:rsidRPr="009460DA" w:rsidTr="008B2F5A">
        <w:trPr>
          <w:trHeight w:val="234"/>
        </w:trPr>
        <w:tc>
          <w:tcPr>
            <w:tcW w:w="1490"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REGION</w:t>
            </w:r>
          </w:p>
        </w:tc>
        <w:tc>
          <w:tcPr>
            <w:tcW w:w="1284"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c>
          <w:tcPr>
            <w:tcW w:w="2226"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Johor</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135</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57.2</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Melaka</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52</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22.0</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Negeri Sembilan</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49</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20.8</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Total</w:t>
            </w:r>
          </w:p>
        </w:tc>
        <w:tc>
          <w:tcPr>
            <w:tcW w:w="1284"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236</w:t>
            </w:r>
          </w:p>
        </w:tc>
        <w:tc>
          <w:tcPr>
            <w:tcW w:w="222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100%</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AGE</w:t>
            </w:r>
          </w:p>
        </w:tc>
        <w:tc>
          <w:tcPr>
            <w:tcW w:w="1284" w:type="pct"/>
          </w:tcPr>
          <w:p w:rsidR="004C738B" w:rsidRPr="009460DA" w:rsidRDefault="004C738B" w:rsidP="009460DA">
            <w:pPr>
              <w:pStyle w:val="TableParagraph"/>
              <w:jc w:val="both"/>
              <w:rPr>
                <w:rFonts w:ascii="Cambria" w:hAnsi="Cambria"/>
                <w:sz w:val="20"/>
                <w:szCs w:val="20"/>
              </w:rPr>
            </w:pPr>
          </w:p>
        </w:tc>
        <w:tc>
          <w:tcPr>
            <w:tcW w:w="2226"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35"/>
        </w:trPr>
        <w:tc>
          <w:tcPr>
            <w:tcW w:w="1490"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25 - 30 years old</w:t>
            </w:r>
          </w:p>
        </w:tc>
        <w:tc>
          <w:tcPr>
            <w:tcW w:w="1284"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5</w:t>
            </w:r>
          </w:p>
        </w:tc>
        <w:tc>
          <w:tcPr>
            <w:tcW w:w="2226"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2.1</w:t>
            </w:r>
          </w:p>
        </w:tc>
      </w:tr>
      <w:tr w:rsidR="004C738B" w:rsidRPr="009460DA" w:rsidTr="008B2F5A">
        <w:trPr>
          <w:trHeight w:val="235"/>
        </w:trPr>
        <w:tc>
          <w:tcPr>
            <w:tcW w:w="1490"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31 – 40 years old</w:t>
            </w:r>
          </w:p>
        </w:tc>
        <w:tc>
          <w:tcPr>
            <w:tcW w:w="1284"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76</w:t>
            </w:r>
          </w:p>
        </w:tc>
        <w:tc>
          <w:tcPr>
            <w:tcW w:w="2226"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32.2</w:t>
            </w:r>
          </w:p>
        </w:tc>
      </w:tr>
      <w:tr w:rsidR="004C738B" w:rsidRPr="009460DA" w:rsidTr="008B2F5A">
        <w:trPr>
          <w:trHeight w:val="235"/>
        </w:trPr>
        <w:tc>
          <w:tcPr>
            <w:tcW w:w="1490"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41- 50 years old</w:t>
            </w:r>
          </w:p>
        </w:tc>
        <w:tc>
          <w:tcPr>
            <w:tcW w:w="1284"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110</w:t>
            </w:r>
          </w:p>
        </w:tc>
        <w:tc>
          <w:tcPr>
            <w:tcW w:w="2226"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46.6</w:t>
            </w:r>
          </w:p>
        </w:tc>
      </w:tr>
      <w:tr w:rsidR="004C738B" w:rsidRPr="009460DA" w:rsidTr="008B2F5A">
        <w:trPr>
          <w:trHeight w:val="233"/>
        </w:trPr>
        <w:tc>
          <w:tcPr>
            <w:tcW w:w="1490"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51 - 60 years old</w:t>
            </w:r>
          </w:p>
        </w:tc>
        <w:tc>
          <w:tcPr>
            <w:tcW w:w="1284"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41</w:t>
            </w:r>
          </w:p>
        </w:tc>
        <w:tc>
          <w:tcPr>
            <w:tcW w:w="2226"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17.4</w:t>
            </w:r>
          </w:p>
        </w:tc>
      </w:tr>
      <w:tr w:rsidR="004C738B" w:rsidRPr="009460DA" w:rsidTr="008B2F5A">
        <w:trPr>
          <w:trHeight w:val="234"/>
        </w:trPr>
        <w:tc>
          <w:tcPr>
            <w:tcW w:w="1490"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Above 60 years old/</w:t>
            </w:r>
          </w:p>
        </w:tc>
        <w:tc>
          <w:tcPr>
            <w:tcW w:w="1284"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4</w:t>
            </w:r>
          </w:p>
        </w:tc>
        <w:tc>
          <w:tcPr>
            <w:tcW w:w="2226" w:type="pct"/>
            <w:vAlign w:val="center"/>
          </w:tcPr>
          <w:p w:rsidR="004C738B" w:rsidRPr="009460DA" w:rsidRDefault="004C738B" w:rsidP="009460DA">
            <w:pPr>
              <w:pStyle w:val="TableParagraph"/>
              <w:jc w:val="both"/>
              <w:rPr>
                <w:rFonts w:ascii="Cambria" w:hAnsi="Cambria"/>
                <w:sz w:val="20"/>
                <w:szCs w:val="20"/>
              </w:rPr>
            </w:pPr>
            <w:r w:rsidRPr="009460DA">
              <w:rPr>
                <w:rFonts w:ascii="Cambria" w:hAnsi="Cambria"/>
                <w:color w:val="000000" w:themeColor="text1"/>
                <w:sz w:val="20"/>
                <w:szCs w:val="20"/>
              </w:rPr>
              <w:t>1.7</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Total</w:t>
            </w:r>
          </w:p>
        </w:tc>
        <w:tc>
          <w:tcPr>
            <w:tcW w:w="1284"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236</w:t>
            </w:r>
          </w:p>
        </w:tc>
        <w:tc>
          <w:tcPr>
            <w:tcW w:w="222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100%</w:t>
            </w: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EDUCATION</w:t>
            </w:r>
          </w:p>
        </w:tc>
        <w:tc>
          <w:tcPr>
            <w:tcW w:w="1284" w:type="pct"/>
          </w:tcPr>
          <w:p w:rsidR="004C738B" w:rsidRPr="009460DA" w:rsidRDefault="004C738B" w:rsidP="009460DA">
            <w:pPr>
              <w:pStyle w:val="TableParagraph"/>
              <w:jc w:val="both"/>
              <w:rPr>
                <w:rFonts w:ascii="Cambria" w:hAnsi="Cambria"/>
                <w:sz w:val="20"/>
                <w:szCs w:val="20"/>
              </w:rPr>
            </w:pPr>
          </w:p>
        </w:tc>
        <w:tc>
          <w:tcPr>
            <w:tcW w:w="2226"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Primary</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Secondary</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19</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8.1</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SPM</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164</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69.5</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Certificate</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4</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1.7</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STPM/Diploma</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37</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15.7</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Degree</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10</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4.2</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Total</w:t>
            </w:r>
          </w:p>
        </w:tc>
        <w:tc>
          <w:tcPr>
            <w:tcW w:w="1284"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236</w:t>
            </w:r>
          </w:p>
        </w:tc>
        <w:tc>
          <w:tcPr>
            <w:tcW w:w="222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100%</w:t>
            </w: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RACE</w:t>
            </w:r>
          </w:p>
        </w:tc>
        <w:tc>
          <w:tcPr>
            <w:tcW w:w="1284" w:type="pct"/>
          </w:tcPr>
          <w:p w:rsidR="004C738B" w:rsidRPr="009460DA" w:rsidRDefault="004C738B" w:rsidP="009460DA">
            <w:pPr>
              <w:pStyle w:val="TableParagraph"/>
              <w:jc w:val="both"/>
              <w:rPr>
                <w:rFonts w:ascii="Cambria" w:hAnsi="Cambria"/>
                <w:sz w:val="20"/>
                <w:szCs w:val="20"/>
              </w:rPr>
            </w:pPr>
          </w:p>
        </w:tc>
        <w:tc>
          <w:tcPr>
            <w:tcW w:w="2226"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Malay</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234</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99.2</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Chinese</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Indian</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w:t>
            </w: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Others</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Total</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236</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100%</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lastRenderedPageBreak/>
              <w:t>MARITAL STATUS</w:t>
            </w:r>
          </w:p>
        </w:tc>
        <w:tc>
          <w:tcPr>
            <w:tcW w:w="1284" w:type="pct"/>
          </w:tcPr>
          <w:p w:rsidR="004C738B" w:rsidRPr="009460DA" w:rsidRDefault="004C738B" w:rsidP="009460DA">
            <w:pPr>
              <w:pStyle w:val="TableParagraph"/>
              <w:jc w:val="both"/>
              <w:rPr>
                <w:rFonts w:ascii="Cambria" w:hAnsi="Cambria"/>
                <w:b/>
                <w:sz w:val="20"/>
                <w:szCs w:val="20"/>
              </w:rPr>
            </w:pPr>
          </w:p>
        </w:tc>
        <w:tc>
          <w:tcPr>
            <w:tcW w:w="2226" w:type="pct"/>
          </w:tcPr>
          <w:p w:rsidR="004C738B" w:rsidRPr="009460DA" w:rsidRDefault="004C738B" w:rsidP="009460DA">
            <w:pPr>
              <w:pStyle w:val="TableParagraph"/>
              <w:jc w:val="both"/>
              <w:rPr>
                <w:rFonts w:ascii="Cambria" w:hAnsi="Cambria"/>
                <w:b/>
                <w:sz w:val="20"/>
                <w:szCs w:val="20"/>
              </w:rPr>
            </w:pP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Married</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209</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88.6</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Divorce</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25</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10.6</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Single</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w:t>
            </w: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Total</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236</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b/>
                <w:sz w:val="20"/>
                <w:szCs w:val="20"/>
              </w:rPr>
              <w:t>100%</w:t>
            </w:r>
          </w:p>
        </w:tc>
      </w:tr>
      <w:tr w:rsidR="004C738B" w:rsidRPr="009460DA" w:rsidTr="008B2F5A">
        <w:trPr>
          <w:trHeight w:val="234"/>
        </w:trPr>
        <w:tc>
          <w:tcPr>
            <w:tcW w:w="1490"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GEOGRAPHICAL LOCATION</w:t>
            </w:r>
          </w:p>
        </w:tc>
        <w:tc>
          <w:tcPr>
            <w:tcW w:w="1284" w:type="pct"/>
          </w:tcPr>
          <w:p w:rsidR="004C738B" w:rsidRPr="009460DA" w:rsidRDefault="004C738B" w:rsidP="009460DA">
            <w:pPr>
              <w:pStyle w:val="TableParagraph"/>
              <w:jc w:val="both"/>
              <w:rPr>
                <w:rFonts w:ascii="Cambria" w:hAnsi="Cambria"/>
                <w:b/>
                <w:sz w:val="20"/>
                <w:szCs w:val="20"/>
              </w:rPr>
            </w:pPr>
          </w:p>
        </w:tc>
        <w:tc>
          <w:tcPr>
            <w:tcW w:w="2226" w:type="pct"/>
          </w:tcPr>
          <w:p w:rsidR="004C738B" w:rsidRPr="009460DA" w:rsidRDefault="004C738B" w:rsidP="009460DA">
            <w:pPr>
              <w:pStyle w:val="TableParagraph"/>
              <w:jc w:val="both"/>
              <w:rPr>
                <w:rFonts w:ascii="Cambria" w:hAnsi="Cambria"/>
                <w:b/>
                <w:sz w:val="20"/>
                <w:szCs w:val="20"/>
              </w:rPr>
            </w:pPr>
          </w:p>
        </w:tc>
      </w:tr>
      <w:tr w:rsidR="004C738B" w:rsidRPr="009460DA" w:rsidTr="008B2F5A">
        <w:trPr>
          <w:trHeight w:val="235"/>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Rural</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130</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55.1</w:t>
            </w:r>
          </w:p>
        </w:tc>
      </w:tr>
      <w:tr w:rsidR="004C738B" w:rsidRPr="009460DA" w:rsidTr="008B2F5A">
        <w:trPr>
          <w:trHeight w:val="233"/>
        </w:trPr>
        <w:tc>
          <w:tcPr>
            <w:tcW w:w="149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Urban</w:t>
            </w:r>
          </w:p>
        </w:tc>
        <w:tc>
          <w:tcPr>
            <w:tcW w:w="128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106</w:t>
            </w:r>
          </w:p>
        </w:tc>
        <w:tc>
          <w:tcPr>
            <w:tcW w:w="222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44.9</w:t>
            </w:r>
          </w:p>
        </w:tc>
      </w:tr>
      <w:tr w:rsidR="004C738B" w:rsidRPr="009460DA" w:rsidTr="008B2F5A">
        <w:trPr>
          <w:trHeight w:val="233"/>
        </w:trPr>
        <w:tc>
          <w:tcPr>
            <w:tcW w:w="1490" w:type="pct"/>
            <w:tcBorders>
              <w:bottom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Total</w:t>
            </w:r>
          </w:p>
        </w:tc>
        <w:tc>
          <w:tcPr>
            <w:tcW w:w="1284" w:type="pct"/>
            <w:tcBorders>
              <w:bottom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w w:val="99"/>
                <w:sz w:val="20"/>
                <w:szCs w:val="20"/>
              </w:rPr>
              <w:t>236</w:t>
            </w:r>
          </w:p>
        </w:tc>
        <w:tc>
          <w:tcPr>
            <w:tcW w:w="2226" w:type="pct"/>
            <w:tcBorders>
              <w:bottom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100%</w:t>
            </w:r>
          </w:p>
        </w:tc>
      </w:tr>
      <w:bookmarkEnd w:id="3"/>
    </w:tbl>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 xml:space="preserve">Partial Least Square – Structural Equation Modeling (Measurement Model): </w:t>
      </w:r>
      <w:r w:rsidRPr="009460DA">
        <w:rPr>
          <w:rFonts w:ascii="Cambria" w:hAnsi="Cambria"/>
          <w:sz w:val="20"/>
          <w:szCs w:val="20"/>
        </w:rPr>
        <w:t xml:space="preserve">Confirmatory factor analysis (CFA) was used to establish reliability, discriminant validity, and convergent validity measures. Factor loadings should be taken into consideration while evaluating convergent validity </w:t>
      </w:r>
      <w:sdt>
        <w:sdtPr>
          <w:rPr>
            <w:rFonts w:ascii="Cambria" w:hAnsi="Cambria"/>
            <w:sz w:val="20"/>
            <w:szCs w:val="20"/>
          </w:rPr>
          <w:id w:val="63003031"/>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Hai14 \l 1033 </w:instrText>
          </w:r>
          <w:r w:rsidR="00902FB4" w:rsidRPr="009460DA">
            <w:rPr>
              <w:rFonts w:ascii="Cambria" w:hAnsi="Cambria"/>
              <w:sz w:val="20"/>
              <w:szCs w:val="20"/>
            </w:rPr>
            <w:fldChar w:fldCharType="separate"/>
          </w:r>
          <w:r w:rsidRPr="009460DA">
            <w:rPr>
              <w:rFonts w:ascii="Cambria" w:hAnsi="Cambria"/>
              <w:noProof/>
              <w:sz w:val="20"/>
              <w:szCs w:val="20"/>
            </w:rPr>
            <w:t>(Hair, Sarstedt, Hopkins, &amp; Kuppelwieser, 2014)</w:t>
          </w:r>
          <w:r w:rsidR="00902FB4" w:rsidRPr="009460DA">
            <w:rPr>
              <w:rFonts w:ascii="Cambria" w:hAnsi="Cambria"/>
              <w:sz w:val="20"/>
              <w:szCs w:val="20"/>
            </w:rPr>
            <w:fldChar w:fldCharType="end"/>
          </w:r>
        </w:sdtContent>
      </w:sdt>
      <w:r w:rsidRPr="009460DA">
        <w:rPr>
          <w:rFonts w:ascii="Cambria" w:hAnsi="Cambria"/>
          <w:sz w:val="20"/>
          <w:szCs w:val="20"/>
        </w:rPr>
        <w:t xml:space="preserve">. However, composite reliability (CR) and average variance extracted (AVE) could be applied to measure convergent validity. The majority of item loadings are greater than 0.5 (significant at p&lt;0.01), and all average extracted variances (AVE) are greater than 0.5, as shown in Table 3. Additionally, the composite reliability (CR) for all variables is greater than 0.7 </w:t>
      </w:r>
      <w:sdt>
        <w:sdtPr>
          <w:rPr>
            <w:rFonts w:ascii="Cambria" w:hAnsi="Cambria"/>
            <w:sz w:val="20"/>
            <w:szCs w:val="20"/>
          </w:rPr>
          <w:id w:val="-1905755428"/>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Ram18 \l 1033 </w:instrText>
          </w:r>
          <w:r w:rsidR="00902FB4" w:rsidRPr="009460DA">
            <w:rPr>
              <w:rFonts w:ascii="Cambria" w:hAnsi="Cambria"/>
              <w:sz w:val="20"/>
              <w:szCs w:val="20"/>
            </w:rPr>
            <w:fldChar w:fldCharType="separate"/>
          </w:r>
          <w:r w:rsidRPr="009460DA">
            <w:rPr>
              <w:rFonts w:ascii="Cambria" w:hAnsi="Cambria"/>
              <w:noProof/>
              <w:sz w:val="20"/>
              <w:szCs w:val="20"/>
            </w:rPr>
            <w:t>(Ramayah, Cheah, Chuah, Ting, &amp; Memon, 2018)</w:t>
          </w:r>
          <w:r w:rsidR="00902FB4" w:rsidRPr="009460DA">
            <w:rPr>
              <w:rFonts w:ascii="Cambria" w:hAnsi="Cambria"/>
              <w:sz w:val="20"/>
              <w:szCs w:val="20"/>
            </w:rPr>
            <w:fldChar w:fldCharType="end"/>
          </w:r>
        </w:sdtContent>
      </w:sdt>
      <w:r w:rsidRPr="009460DA">
        <w:rPr>
          <w:rFonts w:ascii="Cambria" w:hAnsi="Cambria"/>
          <w:sz w:val="20"/>
          <w:szCs w:val="20"/>
        </w:rPr>
        <w:t>.</w:t>
      </w: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8471BD" w:rsidRDefault="004C738B" w:rsidP="009460DA">
      <w:pPr>
        <w:pStyle w:val="Heading1"/>
        <w:spacing w:before="0" w:line="240" w:lineRule="auto"/>
        <w:jc w:val="both"/>
        <w:rPr>
          <w:rFonts w:ascii="Cambria" w:hAnsi="Cambria"/>
          <w:color w:val="auto"/>
          <w:sz w:val="20"/>
          <w:szCs w:val="20"/>
        </w:rPr>
      </w:pPr>
      <w:r w:rsidRPr="008471BD">
        <w:rPr>
          <w:rFonts w:ascii="Cambria" w:hAnsi="Cambria"/>
          <w:color w:val="auto"/>
          <w:sz w:val="20"/>
          <w:szCs w:val="20"/>
        </w:rPr>
        <w:t>Table</w:t>
      </w:r>
      <w:r w:rsidRPr="008471BD">
        <w:rPr>
          <w:rFonts w:ascii="Cambria" w:hAnsi="Cambria"/>
          <w:color w:val="auto"/>
          <w:spacing w:val="-4"/>
          <w:sz w:val="20"/>
          <w:szCs w:val="20"/>
        </w:rPr>
        <w:t xml:space="preserve"> </w:t>
      </w:r>
      <w:r w:rsidRPr="008471BD">
        <w:rPr>
          <w:rFonts w:ascii="Cambria" w:hAnsi="Cambria"/>
          <w:color w:val="auto"/>
          <w:sz w:val="20"/>
          <w:szCs w:val="20"/>
        </w:rPr>
        <w:t>3:</w:t>
      </w:r>
      <w:r w:rsidRPr="008471BD">
        <w:rPr>
          <w:rFonts w:ascii="Cambria" w:hAnsi="Cambria"/>
          <w:color w:val="auto"/>
          <w:spacing w:val="-5"/>
          <w:sz w:val="20"/>
          <w:szCs w:val="20"/>
        </w:rPr>
        <w:t xml:space="preserve"> </w:t>
      </w:r>
      <w:r w:rsidRPr="008471BD">
        <w:rPr>
          <w:rFonts w:ascii="Cambria" w:hAnsi="Cambria"/>
          <w:color w:val="auto"/>
          <w:sz w:val="20"/>
          <w:szCs w:val="20"/>
        </w:rPr>
        <w:t>Discriminant Validity</w:t>
      </w:r>
    </w:p>
    <w:tbl>
      <w:tblPr>
        <w:tblW w:w="5000" w:type="pct"/>
        <w:tblCellMar>
          <w:left w:w="0" w:type="dxa"/>
          <w:right w:w="0" w:type="dxa"/>
        </w:tblCellMar>
        <w:tblLook w:val="01E0"/>
      </w:tblPr>
      <w:tblGrid>
        <w:gridCol w:w="2947"/>
        <w:gridCol w:w="1674"/>
        <w:gridCol w:w="1836"/>
        <w:gridCol w:w="1370"/>
        <w:gridCol w:w="1533"/>
      </w:tblGrid>
      <w:tr w:rsidR="004C738B" w:rsidRPr="009460DA" w:rsidTr="008B2F5A">
        <w:trPr>
          <w:trHeight w:val="273"/>
        </w:trPr>
        <w:tc>
          <w:tcPr>
            <w:tcW w:w="1574" w:type="pct"/>
            <w:tcBorders>
              <w:top w:val="single" w:sz="4" w:space="0" w:color="000000"/>
            </w:tcBorders>
          </w:tcPr>
          <w:p w:rsidR="004C738B" w:rsidRPr="009460DA" w:rsidRDefault="004C738B" w:rsidP="009460DA">
            <w:pPr>
              <w:pStyle w:val="TableParagraph"/>
              <w:jc w:val="both"/>
              <w:rPr>
                <w:rFonts w:ascii="Cambria" w:hAnsi="Cambria"/>
                <w:b/>
                <w:sz w:val="20"/>
                <w:szCs w:val="20"/>
              </w:rPr>
            </w:pPr>
            <w:bookmarkStart w:id="4" w:name="_Hlk125833794"/>
            <w:r w:rsidRPr="009460DA">
              <w:rPr>
                <w:rFonts w:ascii="Cambria" w:hAnsi="Cambria"/>
                <w:b/>
                <w:sz w:val="20"/>
                <w:szCs w:val="20"/>
              </w:rPr>
              <w:t>Construct</w:t>
            </w:r>
          </w:p>
        </w:tc>
        <w:tc>
          <w:tcPr>
            <w:tcW w:w="894"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Items</w:t>
            </w:r>
          </w:p>
        </w:tc>
        <w:tc>
          <w:tcPr>
            <w:tcW w:w="981"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Loading</w:t>
            </w:r>
          </w:p>
        </w:tc>
        <w:tc>
          <w:tcPr>
            <w:tcW w:w="732"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CR</w:t>
            </w:r>
          </w:p>
        </w:tc>
        <w:tc>
          <w:tcPr>
            <w:tcW w:w="819"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AVE</w:t>
            </w:r>
          </w:p>
        </w:tc>
      </w:tr>
      <w:tr w:rsidR="004C738B" w:rsidRPr="009460DA" w:rsidTr="008B2F5A">
        <w:trPr>
          <w:trHeight w:val="273"/>
        </w:trPr>
        <w:tc>
          <w:tcPr>
            <w:tcW w:w="1574"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Involvement in Microfinance</w:t>
            </w:r>
          </w:p>
        </w:tc>
        <w:tc>
          <w:tcPr>
            <w:tcW w:w="894"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INV1</w:t>
            </w:r>
          </w:p>
        </w:tc>
        <w:tc>
          <w:tcPr>
            <w:tcW w:w="981"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0.786</w:t>
            </w:r>
          </w:p>
        </w:tc>
        <w:tc>
          <w:tcPr>
            <w:tcW w:w="732"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0.866</w:t>
            </w:r>
          </w:p>
        </w:tc>
        <w:tc>
          <w:tcPr>
            <w:tcW w:w="819"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0.565</w:t>
            </w:r>
          </w:p>
        </w:tc>
      </w:tr>
      <w:tr w:rsidR="004C738B" w:rsidRPr="009460DA" w:rsidTr="008B2F5A">
        <w:trPr>
          <w:trHeight w:val="273"/>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INV2</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0.784</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3"/>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INV3</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0.724</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4"/>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INV4</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0.743</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4"/>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INV5</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0.718</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4"/>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Social Capital</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SC3</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0.883</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0.894</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0.737</w:t>
            </w:r>
          </w:p>
        </w:tc>
      </w:tr>
      <w:tr w:rsidR="004C738B" w:rsidRPr="009460DA" w:rsidTr="008B2F5A">
        <w:trPr>
          <w:trHeight w:val="274"/>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SC4</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0.806</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SC5</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0.884</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Training</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TR1</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0.904</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0.955</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0.810</w:t>
            </w: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TR2</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0.897</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TR3</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0.944</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TR4</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0.868</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TR5</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0.884</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Women Empowerment</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WE1</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0.768</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0.909</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0.666</w:t>
            </w: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WE2</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0.838</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WE3</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0.829</w:t>
            </w:r>
          </w:p>
        </w:tc>
        <w:tc>
          <w:tcPr>
            <w:tcW w:w="732" w:type="pct"/>
          </w:tcPr>
          <w:p w:rsidR="004C738B" w:rsidRPr="009460DA" w:rsidRDefault="004C738B" w:rsidP="009460DA">
            <w:pPr>
              <w:pStyle w:val="TableParagraph"/>
              <w:jc w:val="both"/>
              <w:rPr>
                <w:rFonts w:ascii="Cambria" w:hAnsi="Cambria"/>
                <w:sz w:val="20"/>
                <w:szCs w:val="20"/>
              </w:rPr>
            </w:pPr>
          </w:p>
        </w:tc>
        <w:tc>
          <w:tcPr>
            <w:tcW w:w="81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2"/>
        </w:trPr>
        <w:tc>
          <w:tcPr>
            <w:tcW w:w="15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9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WE4</w:t>
            </w:r>
          </w:p>
        </w:tc>
        <w:tc>
          <w:tcPr>
            <w:tcW w:w="981"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0.856</w:t>
            </w:r>
          </w:p>
        </w:tc>
        <w:tc>
          <w:tcPr>
            <w:tcW w:w="732"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c>
          <w:tcPr>
            <w:tcW w:w="819"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w:t>
            </w:r>
          </w:p>
        </w:tc>
      </w:tr>
      <w:tr w:rsidR="004C738B" w:rsidRPr="009460DA" w:rsidTr="008B2F5A">
        <w:trPr>
          <w:trHeight w:val="272"/>
        </w:trPr>
        <w:tc>
          <w:tcPr>
            <w:tcW w:w="1574" w:type="pct"/>
            <w:tcBorders>
              <w:bottom w:val="single" w:sz="4" w:space="0" w:color="000000"/>
            </w:tcBorders>
          </w:tcPr>
          <w:p w:rsidR="004C738B" w:rsidRPr="009460DA" w:rsidRDefault="004C738B" w:rsidP="009460DA">
            <w:pPr>
              <w:pStyle w:val="TableParagraph"/>
              <w:jc w:val="both"/>
              <w:rPr>
                <w:rFonts w:ascii="Cambria" w:hAnsi="Cambria"/>
                <w:sz w:val="20"/>
                <w:szCs w:val="20"/>
              </w:rPr>
            </w:pPr>
          </w:p>
        </w:tc>
        <w:tc>
          <w:tcPr>
            <w:tcW w:w="894" w:type="pct"/>
            <w:tcBorders>
              <w:bottom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WE5</w:t>
            </w:r>
          </w:p>
        </w:tc>
        <w:tc>
          <w:tcPr>
            <w:tcW w:w="981" w:type="pct"/>
            <w:tcBorders>
              <w:bottom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0.785</w:t>
            </w:r>
          </w:p>
        </w:tc>
        <w:tc>
          <w:tcPr>
            <w:tcW w:w="732" w:type="pct"/>
            <w:tcBorders>
              <w:bottom w:val="single" w:sz="4" w:space="0" w:color="000000"/>
            </w:tcBorders>
          </w:tcPr>
          <w:p w:rsidR="004C738B" w:rsidRPr="009460DA" w:rsidRDefault="004C738B" w:rsidP="009460DA">
            <w:pPr>
              <w:pStyle w:val="TableParagraph"/>
              <w:jc w:val="both"/>
              <w:rPr>
                <w:rFonts w:ascii="Cambria" w:hAnsi="Cambria"/>
                <w:sz w:val="20"/>
                <w:szCs w:val="20"/>
              </w:rPr>
            </w:pPr>
          </w:p>
        </w:tc>
        <w:tc>
          <w:tcPr>
            <w:tcW w:w="819" w:type="pct"/>
            <w:tcBorders>
              <w:bottom w:val="single" w:sz="4" w:space="0" w:color="000000"/>
            </w:tcBorders>
          </w:tcPr>
          <w:p w:rsidR="004C738B" w:rsidRPr="009460DA" w:rsidRDefault="004C738B" w:rsidP="009460DA">
            <w:pPr>
              <w:pStyle w:val="TableParagraph"/>
              <w:jc w:val="both"/>
              <w:rPr>
                <w:rFonts w:ascii="Cambria" w:hAnsi="Cambria"/>
                <w:sz w:val="20"/>
                <w:szCs w:val="20"/>
              </w:rPr>
            </w:pPr>
          </w:p>
        </w:tc>
      </w:tr>
    </w:tbl>
    <w:bookmarkEnd w:id="4"/>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Note:</w:t>
      </w:r>
      <w:r w:rsidRPr="009460DA">
        <w:rPr>
          <w:rFonts w:ascii="Cambria" w:hAnsi="Cambria"/>
          <w:sz w:val="20"/>
          <w:szCs w:val="20"/>
        </w:rPr>
        <w:t xml:space="preserve"> SC1 and SC2 were deleted due to low loading.</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color w:val="FF0000"/>
          <w:sz w:val="20"/>
          <w:szCs w:val="20"/>
        </w:rPr>
      </w:pPr>
      <w:r w:rsidRPr="009460DA">
        <w:rPr>
          <w:rFonts w:ascii="Cambria" w:hAnsi="Cambria"/>
          <w:sz w:val="20"/>
          <w:szCs w:val="20"/>
        </w:rPr>
        <w:t xml:space="preserve">Additionally, the Heterotrait Monotrait (HTMT) was employed in the current investigation as the discriminant criterion for establishing discriminant validity </w:t>
      </w:r>
      <w:sdt>
        <w:sdtPr>
          <w:rPr>
            <w:rFonts w:ascii="Cambria" w:hAnsi="Cambria"/>
            <w:sz w:val="20"/>
            <w:szCs w:val="20"/>
          </w:rPr>
          <w:id w:val="1471320096"/>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Hen15 \l 1033 </w:instrText>
          </w:r>
          <w:r w:rsidR="00902FB4" w:rsidRPr="009460DA">
            <w:rPr>
              <w:rFonts w:ascii="Cambria" w:hAnsi="Cambria"/>
              <w:sz w:val="20"/>
              <w:szCs w:val="20"/>
            </w:rPr>
            <w:fldChar w:fldCharType="separate"/>
          </w:r>
          <w:r w:rsidRPr="009460DA">
            <w:rPr>
              <w:rFonts w:ascii="Cambria" w:hAnsi="Cambria"/>
              <w:noProof/>
              <w:sz w:val="20"/>
              <w:szCs w:val="20"/>
            </w:rPr>
            <w:t>(Henseler, Ringle, &amp; Sarstedt, 2015)</w:t>
          </w:r>
          <w:r w:rsidR="00902FB4" w:rsidRPr="009460DA">
            <w:rPr>
              <w:rFonts w:ascii="Cambria" w:hAnsi="Cambria"/>
              <w:sz w:val="20"/>
              <w:szCs w:val="20"/>
            </w:rPr>
            <w:fldChar w:fldCharType="end"/>
          </w:r>
        </w:sdtContent>
      </w:sdt>
      <w:r w:rsidRPr="009460DA">
        <w:rPr>
          <w:rFonts w:ascii="Cambria" w:hAnsi="Cambria"/>
          <w:sz w:val="20"/>
          <w:szCs w:val="20"/>
        </w:rPr>
        <w:t xml:space="preserve">. They claim that discriminant validity is achieved when there is a correlation value between constructs of less than one. However, a more conservative criterion of 0.85 implies a significantly sharper contrast between the ideas </w:t>
      </w:r>
      <w:sdt>
        <w:sdtPr>
          <w:rPr>
            <w:rFonts w:ascii="Cambria" w:hAnsi="Cambria"/>
            <w:sz w:val="20"/>
            <w:szCs w:val="20"/>
          </w:rPr>
          <w:id w:val="-250585118"/>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Kli16 \l 1033 </w:instrText>
          </w:r>
          <w:r w:rsidR="00902FB4" w:rsidRPr="009460DA">
            <w:rPr>
              <w:rFonts w:ascii="Cambria" w:hAnsi="Cambria"/>
              <w:sz w:val="20"/>
              <w:szCs w:val="20"/>
            </w:rPr>
            <w:fldChar w:fldCharType="separate"/>
          </w:r>
          <w:r w:rsidRPr="009460DA">
            <w:rPr>
              <w:rFonts w:ascii="Cambria" w:hAnsi="Cambria"/>
              <w:noProof/>
              <w:sz w:val="20"/>
              <w:szCs w:val="20"/>
            </w:rPr>
            <w:t>(Kline, 2016)</w:t>
          </w:r>
          <w:r w:rsidR="00902FB4" w:rsidRPr="009460DA">
            <w:rPr>
              <w:rFonts w:ascii="Cambria" w:hAnsi="Cambria"/>
              <w:sz w:val="20"/>
              <w:szCs w:val="20"/>
            </w:rPr>
            <w:fldChar w:fldCharType="end"/>
          </w:r>
        </w:sdtContent>
      </w:sdt>
      <w:r w:rsidRPr="009460DA">
        <w:rPr>
          <w:rFonts w:ascii="Cambria" w:hAnsi="Cambria"/>
          <w:sz w:val="20"/>
          <w:szCs w:val="20"/>
        </w:rPr>
        <w:t>. Table 4 displays correlation estimates for HTMT evaluations. Less than 0.85 was the correlation coefficient between the tested constructs. As a result, this finding demonstrates that the requisite degree of discriminant validity was attained through the evaluation of HTMT.</w:t>
      </w: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9460DA" w:rsidRDefault="004C738B" w:rsidP="009460DA">
      <w:pPr>
        <w:pStyle w:val="BodyText"/>
        <w:spacing w:after="0" w:line="240" w:lineRule="auto"/>
        <w:jc w:val="both"/>
        <w:rPr>
          <w:rFonts w:ascii="Cambria" w:hAnsi="Cambria"/>
          <w:color w:val="FF0000"/>
          <w:sz w:val="20"/>
          <w:szCs w:val="20"/>
        </w:rPr>
      </w:pPr>
    </w:p>
    <w:p w:rsidR="004C738B" w:rsidRPr="008471BD" w:rsidRDefault="004C738B" w:rsidP="009460DA">
      <w:pPr>
        <w:pStyle w:val="Heading1"/>
        <w:spacing w:before="0" w:line="240" w:lineRule="auto"/>
        <w:jc w:val="both"/>
        <w:rPr>
          <w:rFonts w:ascii="Cambria" w:hAnsi="Cambria"/>
          <w:color w:val="auto"/>
          <w:sz w:val="20"/>
          <w:szCs w:val="20"/>
        </w:rPr>
      </w:pPr>
      <w:r w:rsidRPr="008471BD">
        <w:rPr>
          <w:rFonts w:ascii="Cambria" w:hAnsi="Cambria"/>
          <w:color w:val="auto"/>
          <w:sz w:val="20"/>
          <w:szCs w:val="20"/>
        </w:rPr>
        <w:lastRenderedPageBreak/>
        <w:t>Table</w:t>
      </w:r>
      <w:r w:rsidRPr="008471BD">
        <w:rPr>
          <w:rFonts w:ascii="Cambria" w:hAnsi="Cambria"/>
          <w:color w:val="auto"/>
          <w:spacing w:val="-3"/>
          <w:sz w:val="20"/>
          <w:szCs w:val="20"/>
        </w:rPr>
        <w:t xml:space="preserve"> </w:t>
      </w:r>
      <w:r w:rsidRPr="008471BD">
        <w:rPr>
          <w:rFonts w:ascii="Cambria" w:hAnsi="Cambria"/>
          <w:color w:val="auto"/>
          <w:sz w:val="20"/>
          <w:szCs w:val="20"/>
        </w:rPr>
        <w:t>4:</w:t>
      </w:r>
      <w:r w:rsidRPr="008471BD">
        <w:rPr>
          <w:rFonts w:ascii="Cambria" w:hAnsi="Cambria"/>
          <w:color w:val="auto"/>
          <w:spacing w:val="-3"/>
          <w:sz w:val="20"/>
          <w:szCs w:val="20"/>
        </w:rPr>
        <w:t xml:space="preserve"> Heterotrait Monotrait (</w:t>
      </w:r>
      <w:r w:rsidRPr="008471BD">
        <w:rPr>
          <w:rFonts w:ascii="Cambria" w:hAnsi="Cambria"/>
          <w:color w:val="auto"/>
          <w:sz w:val="20"/>
          <w:szCs w:val="20"/>
        </w:rPr>
        <w:t>HTMT)</w:t>
      </w:r>
    </w:p>
    <w:tbl>
      <w:tblPr>
        <w:tblW w:w="5000" w:type="pct"/>
        <w:tblCellMar>
          <w:left w:w="0" w:type="dxa"/>
          <w:right w:w="0" w:type="dxa"/>
        </w:tblCellMar>
        <w:tblLook w:val="01E0"/>
      </w:tblPr>
      <w:tblGrid>
        <w:gridCol w:w="3132"/>
        <w:gridCol w:w="1133"/>
        <w:gridCol w:w="1273"/>
        <w:gridCol w:w="1415"/>
        <w:gridCol w:w="1417"/>
        <w:gridCol w:w="990"/>
      </w:tblGrid>
      <w:tr w:rsidR="004C738B" w:rsidRPr="009460DA" w:rsidTr="008B2F5A">
        <w:trPr>
          <w:trHeight w:val="273"/>
        </w:trPr>
        <w:tc>
          <w:tcPr>
            <w:tcW w:w="1673"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CONSTRUCT</w:t>
            </w:r>
          </w:p>
        </w:tc>
        <w:tc>
          <w:tcPr>
            <w:tcW w:w="605"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INV</w:t>
            </w:r>
          </w:p>
        </w:tc>
        <w:tc>
          <w:tcPr>
            <w:tcW w:w="680"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LOC</w:t>
            </w:r>
          </w:p>
        </w:tc>
        <w:tc>
          <w:tcPr>
            <w:tcW w:w="756"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SC</w:t>
            </w:r>
          </w:p>
        </w:tc>
        <w:tc>
          <w:tcPr>
            <w:tcW w:w="757"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TR</w:t>
            </w:r>
          </w:p>
        </w:tc>
        <w:tc>
          <w:tcPr>
            <w:tcW w:w="529" w:type="pct"/>
            <w:tcBorders>
              <w:top w:val="single" w:sz="4" w:space="0" w:color="000000"/>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WE</w:t>
            </w:r>
          </w:p>
        </w:tc>
      </w:tr>
      <w:tr w:rsidR="004C738B" w:rsidRPr="009460DA" w:rsidTr="008B2F5A">
        <w:trPr>
          <w:trHeight w:val="273"/>
        </w:trPr>
        <w:tc>
          <w:tcPr>
            <w:tcW w:w="1673" w:type="pct"/>
            <w:tcBorders>
              <w:top w:val="single" w:sz="4" w:space="0" w:color="000000"/>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INVOLVEMENT (INV)</w:t>
            </w:r>
          </w:p>
        </w:tc>
        <w:tc>
          <w:tcPr>
            <w:tcW w:w="605"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c>
          <w:tcPr>
            <w:tcW w:w="680"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c>
          <w:tcPr>
            <w:tcW w:w="756"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c>
          <w:tcPr>
            <w:tcW w:w="757"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c>
          <w:tcPr>
            <w:tcW w:w="529" w:type="pct"/>
            <w:tcBorders>
              <w:top w:val="single" w:sz="4" w:space="0" w:color="000000"/>
            </w:tcBorders>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3"/>
        </w:trPr>
        <w:tc>
          <w:tcPr>
            <w:tcW w:w="1673"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LOCATION (LOC)</w:t>
            </w:r>
          </w:p>
        </w:tc>
        <w:tc>
          <w:tcPr>
            <w:tcW w:w="60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 xml:space="preserve">           0.127</w:t>
            </w:r>
          </w:p>
        </w:tc>
        <w:tc>
          <w:tcPr>
            <w:tcW w:w="680" w:type="pct"/>
          </w:tcPr>
          <w:p w:rsidR="004C738B" w:rsidRPr="009460DA" w:rsidRDefault="004C738B" w:rsidP="009460DA">
            <w:pPr>
              <w:pStyle w:val="TableParagraph"/>
              <w:jc w:val="both"/>
              <w:rPr>
                <w:rFonts w:ascii="Cambria" w:hAnsi="Cambria"/>
                <w:sz w:val="20"/>
                <w:szCs w:val="20"/>
              </w:rPr>
            </w:pPr>
          </w:p>
        </w:tc>
        <w:tc>
          <w:tcPr>
            <w:tcW w:w="756" w:type="pct"/>
          </w:tcPr>
          <w:p w:rsidR="004C738B" w:rsidRPr="009460DA" w:rsidRDefault="004C738B" w:rsidP="009460DA">
            <w:pPr>
              <w:pStyle w:val="TableParagraph"/>
              <w:jc w:val="both"/>
              <w:rPr>
                <w:rFonts w:ascii="Cambria" w:hAnsi="Cambria"/>
                <w:sz w:val="20"/>
                <w:szCs w:val="20"/>
              </w:rPr>
            </w:pPr>
          </w:p>
        </w:tc>
        <w:tc>
          <w:tcPr>
            <w:tcW w:w="757" w:type="pct"/>
          </w:tcPr>
          <w:p w:rsidR="004C738B" w:rsidRPr="009460DA" w:rsidRDefault="004C738B" w:rsidP="009460DA">
            <w:pPr>
              <w:pStyle w:val="TableParagraph"/>
              <w:jc w:val="both"/>
              <w:rPr>
                <w:rFonts w:ascii="Cambria" w:hAnsi="Cambria"/>
                <w:sz w:val="20"/>
                <w:szCs w:val="20"/>
              </w:rPr>
            </w:pPr>
          </w:p>
        </w:tc>
        <w:tc>
          <w:tcPr>
            <w:tcW w:w="52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3"/>
        </w:trPr>
        <w:tc>
          <w:tcPr>
            <w:tcW w:w="1673"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SOCIAL CAPITAL (SC)</w:t>
            </w:r>
          </w:p>
        </w:tc>
        <w:tc>
          <w:tcPr>
            <w:tcW w:w="60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0.636</w:t>
            </w:r>
          </w:p>
        </w:tc>
        <w:tc>
          <w:tcPr>
            <w:tcW w:w="68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0.056</w:t>
            </w:r>
          </w:p>
        </w:tc>
        <w:tc>
          <w:tcPr>
            <w:tcW w:w="756" w:type="pct"/>
          </w:tcPr>
          <w:p w:rsidR="004C738B" w:rsidRPr="009460DA" w:rsidRDefault="004C738B" w:rsidP="009460DA">
            <w:pPr>
              <w:pStyle w:val="TableParagraph"/>
              <w:jc w:val="both"/>
              <w:rPr>
                <w:rFonts w:ascii="Cambria" w:hAnsi="Cambria"/>
                <w:sz w:val="20"/>
                <w:szCs w:val="20"/>
              </w:rPr>
            </w:pPr>
          </w:p>
        </w:tc>
        <w:tc>
          <w:tcPr>
            <w:tcW w:w="757" w:type="pct"/>
          </w:tcPr>
          <w:p w:rsidR="004C738B" w:rsidRPr="009460DA" w:rsidRDefault="004C738B" w:rsidP="009460DA">
            <w:pPr>
              <w:pStyle w:val="TableParagraph"/>
              <w:jc w:val="both"/>
              <w:rPr>
                <w:rFonts w:ascii="Cambria" w:hAnsi="Cambria"/>
                <w:sz w:val="20"/>
                <w:szCs w:val="20"/>
              </w:rPr>
            </w:pPr>
          </w:p>
        </w:tc>
        <w:tc>
          <w:tcPr>
            <w:tcW w:w="52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4"/>
        </w:trPr>
        <w:tc>
          <w:tcPr>
            <w:tcW w:w="1673"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TRAINING (TR)</w:t>
            </w:r>
          </w:p>
        </w:tc>
        <w:tc>
          <w:tcPr>
            <w:tcW w:w="60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0.730</w:t>
            </w:r>
          </w:p>
        </w:tc>
        <w:tc>
          <w:tcPr>
            <w:tcW w:w="680"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0.038</w:t>
            </w:r>
          </w:p>
        </w:tc>
        <w:tc>
          <w:tcPr>
            <w:tcW w:w="756"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0.784</w:t>
            </w:r>
          </w:p>
        </w:tc>
        <w:tc>
          <w:tcPr>
            <w:tcW w:w="757" w:type="pct"/>
          </w:tcPr>
          <w:p w:rsidR="004C738B" w:rsidRPr="009460DA" w:rsidRDefault="004C738B" w:rsidP="009460DA">
            <w:pPr>
              <w:pStyle w:val="TableParagraph"/>
              <w:jc w:val="both"/>
              <w:rPr>
                <w:rFonts w:ascii="Cambria" w:hAnsi="Cambria"/>
                <w:sz w:val="20"/>
                <w:szCs w:val="20"/>
              </w:rPr>
            </w:pPr>
          </w:p>
        </w:tc>
        <w:tc>
          <w:tcPr>
            <w:tcW w:w="529" w:type="pct"/>
          </w:tcPr>
          <w:p w:rsidR="004C738B" w:rsidRPr="009460DA" w:rsidRDefault="004C738B" w:rsidP="009460DA">
            <w:pPr>
              <w:pStyle w:val="TableParagraph"/>
              <w:jc w:val="both"/>
              <w:rPr>
                <w:rFonts w:ascii="Cambria" w:hAnsi="Cambria"/>
                <w:sz w:val="20"/>
                <w:szCs w:val="20"/>
              </w:rPr>
            </w:pPr>
          </w:p>
        </w:tc>
      </w:tr>
      <w:tr w:rsidR="004C738B" w:rsidRPr="009460DA" w:rsidTr="008B2F5A">
        <w:trPr>
          <w:trHeight w:val="274"/>
        </w:trPr>
        <w:tc>
          <w:tcPr>
            <w:tcW w:w="1673"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WOMEN’S EMPOWERMENT (WE)</w:t>
            </w:r>
          </w:p>
        </w:tc>
        <w:tc>
          <w:tcPr>
            <w:tcW w:w="605"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0.627</w:t>
            </w:r>
          </w:p>
        </w:tc>
        <w:tc>
          <w:tcPr>
            <w:tcW w:w="680"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0.114</w:t>
            </w:r>
          </w:p>
        </w:tc>
        <w:tc>
          <w:tcPr>
            <w:tcW w:w="756"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0.791</w:t>
            </w:r>
          </w:p>
        </w:tc>
        <w:tc>
          <w:tcPr>
            <w:tcW w:w="757"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0.643</w:t>
            </w:r>
          </w:p>
        </w:tc>
        <w:tc>
          <w:tcPr>
            <w:tcW w:w="529" w:type="pct"/>
            <w:tcBorders>
              <w:bottom w:val="single" w:sz="4" w:space="0" w:color="auto"/>
            </w:tcBorders>
          </w:tcPr>
          <w:p w:rsidR="004C738B" w:rsidRPr="009460DA" w:rsidRDefault="004C738B" w:rsidP="009460DA">
            <w:pPr>
              <w:pStyle w:val="TableParagraph"/>
              <w:jc w:val="both"/>
              <w:rPr>
                <w:rFonts w:ascii="Cambria" w:hAnsi="Cambria"/>
                <w:sz w:val="20"/>
                <w:szCs w:val="20"/>
              </w:rPr>
            </w:pPr>
          </w:p>
        </w:tc>
      </w:tr>
    </w:tbl>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 xml:space="preserve">Partial Least Square – Structural Equation Modeling (Structural Model): </w:t>
      </w:r>
      <w:r w:rsidRPr="009460DA">
        <w:rPr>
          <w:rFonts w:ascii="Cambria" w:hAnsi="Cambria"/>
          <w:sz w:val="20"/>
          <w:szCs w:val="20"/>
        </w:rPr>
        <w:t>The endogenous variable's R</w:t>
      </w:r>
      <w:r w:rsidRPr="009460DA">
        <w:rPr>
          <w:rFonts w:ascii="Cambria" w:hAnsi="Cambria"/>
          <w:sz w:val="20"/>
          <w:szCs w:val="20"/>
          <w:vertAlign w:val="superscript"/>
        </w:rPr>
        <w:t>2</w:t>
      </w:r>
      <w:r w:rsidRPr="009460DA">
        <w:rPr>
          <w:rFonts w:ascii="Cambria" w:hAnsi="Cambria"/>
          <w:sz w:val="20"/>
          <w:szCs w:val="20"/>
        </w:rPr>
        <w:t xml:space="preserve"> score is utilized to compute the explained variance. An R</w:t>
      </w:r>
      <w:r w:rsidRPr="009460DA">
        <w:rPr>
          <w:rFonts w:ascii="Cambria" w:hAnsi="Cambria"/>
          <w:sz w:val="20"/>
          <w:szCs w:val="20"/>
          <w:vertAlign w:val="superscript"/>
        </w:rPr>
        <w:t>2</w:t>
      </w:r>
      <w:r w:rsidRPr="009460DA">
        <w:rPr>
          <w:rFonts w:ascii="Cambria" w:hAnsi="Cambria"/>
          <w:sz w:val="20"/>
          <w:szCs w:val="20"/>
        </w:rPr>
        <w:t xml:space="preserve"> value greater than 0.60 suggests a high value, 0.30 to 0.60 shows a moderate value, and less than 0.30 indicates a low value </w:t>
      </w:r>
      <w:sdt>
        <w:sdtPr>
          <w:rPr>
            <w:rFonts w:ascii="Cambria" w:hAnsi="Cambria"/>
            <w:sz w:val="20"/>
            <w:szCs w:val="20"/>
          </w:rPr>
          <w:id w:val="315776335"/>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San15 \l 1033 </w:instrText>
          </w:r>
          <w:r w:rsidR="00902FB4" w:rsidRPr="009460DA">
            <w:rPr>
              <w:rFonts w:ascii="Cambria" w:hAnsi="Cambria"/>
              <w:sz w:val="20"/>
              <w:szCs w:val="20"/>
            </w:rPr>
            <w:fldChar w:fldCharType="separate"/>
          </w:r>
          <w:r w:rsidRPr="009460DA">
            <w:rPr>
              <w:rFonts w:ascii="Cambria" w:hAnsi="Cambria"/>
              <w:noProof/>
              <w:sz w:val="20"/>
              <w:szCs w:val="20"/>
            </w:rPr>
            <w:t>(Sandin, Sanchez-Arribas, Chorot, &amp; Valiente, 2015)</w:t>
          </w:r>
          <w:r w:rsidR="00902FB4" w:rsidRPr="009460DA">
            <w:rPr>
              <w:rFonts w:ascii="Cambria" w:hAnsi="Cambria"/>
              <w:sz w:val="20"/>
              <w:szCs w:val="20"/>
            </w:rPr>
            <w:fldChar w:fldCharType="end"/>
          </w:r>
        </w:sdtContent>
      </w:sdt>
      <w:r w:rsidRPr="009460DA">
        <w:rPr>
          <w:rFonts w:ascii="Cambria" w:hAnsi="Cambria"/>
          <w:sz w:val="20"/>
          <w:szCs w:val="20"/>
        </w:rPr>
        <w:t>. According to Figure 1, the R</w:t>
      </w:r>
      <w:r w:rsidRPr="009460DA">
        <w:rPr>
          <w:rFonts w:ascii="Cambria" w:hAnsi="Cambria"/>
          <w:sz w:val="20"/>
          <w:szCs w:val="20"/>
          <w:vertAlign w:val="superscript"/>
        </w:rPr>
        <w:t>2</w:t>
      </w:r>
      <w:r w:rsidRPr="009460DA">
        <w:rPr>
          <w:rFonts w:ascii="Cambria" w:hAnsi="Cambria"/>
          <w:sz w:val="20"/>
          <w:szCs w:val="20"/>
        </w:rPr>
        <w:t xml:space="preserve"> value for all exogenous factors (INV, SC, TR, and LOC) might be responsible for 53.4% of women's empowerment.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Figure 1: Measurement Model</w:t>
      </w:r>
    </w:p>
    <w:p w:rsidR="004C738B" w:rsidRPr="009460DA" w:rsidRDefault="004C738B" w:rsidP="009460DA">
      <w:pPr>
        <w:pStyle w:val="BodyText"/>
        <w:tabs>
          <w:tab w:val="left" w:pos="284"/>
        </w:tabs>
        <w:spacing w:after="0" w:line="240" w:lineRule="auto"/>
        <w:jc w:val="both"/>
        <w:rPr>
          <w:rFonts w:ascii="Cambria" w:hAnsi="Cambria"/>
          <w:sz w:val="20"/>
          <w:szCs w:val="20"/>
        </w:rPr>
      </w:pPr>
      <w:r w:rsidRPr="009460DA">
        <w:rPr>
          <w:rFonts w:ascii="Cambria" w:hAnsi="Cambria"/>
          <w:noProof/>
          <w:sz w:val="20"/>
          <w:szCs w:val="20"/>
          <w:lang w:val="en-GB" w:eastAsia="en-GB"/>
        </w:rPr>
        <w:drawing>
          <wp:inline distT="0" distB="0" distL="0" distR="0">
            <wp:extent cx="5922392" cy="382585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6439" cy="3854305"/>
                    </a:xfrm>
                    <a:prstGeom prst="rect">
                      <a:avLst/>
                    </a:prstGeom>
                    <a:noFill/>
                  </pic:spPr>
                </pic:pic>
              </a:graphicData>
            </a:graphic>
          </wp:inline>
        </w:drawing>
      </w:r>
    </w:p>
    <w:p w:rsidR="004C738B" w:rsidRPr="009460DA" w:rsidRDefault="004C738B" w:rsidP="009460DA">
      <w:pPr>
        <w:pStyle w:val="BodyText"/>
        <w:spacing w:after="0" w:line="240" w:lineRule="auto"/>
        <w:jc w:val="both"/>
        <w:rPr>
          <w:rFonts w:ascii="Cambria" w:hAnsi="Cambria"/>
          <w:sz w:val="20"/>
          <w:szCs w:val="20"/>
        </w:rPr>
      </w:pPr>
      <w:bookmarkStart w:id="5" w:name="_Hlk125837389"/>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A hypothesis is represented by each connection between two constructs in the structural model. The researcher was able to test or refute each hypothesis and gauge the strength of the association between the independent and dependent variables through the structural model analysis. By contrasting the beta (β) values within the route model, the path coefficients of all the variables were evaluated. Based on the conclusion that high values indicated the strongest relationship between the exogenous constructs and the endogenous construct. The relationship between the independent and dependent variables was examined using the output of the Smart PLS to determine the strength of the relationships. To evaluate the significance level in partial least square structural equation modeling (PLS-SEM), however, t-statistics for each path were produced using the PLS-SEM bootstrapping method. Based on the t-statistics result, the significance level of each association has been established. Table 5 lists all of the predicted pathways' path coefficients, observed t-statistics, and significance levels.</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lastRenderedPageBreak/>
        <w:t xml:space="preserve">According to recommendations made by </w:t>
      </w:r>
      <w:sdt>
        <w:sdtPr>
          <w:rPr>
            <w:rFonts w:ascii="Cambria" w:hAnsi="Cambria"/>
            <w:sz w:val="20"/>
            <w:szCs w:val="20"/>
          </w:rPr>
          <w:id w:val="1628659726"/>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Hai14 \l 1033 </w:instrText>
          </w:r>
          <w:r w:rsidR="00902FB4" w:rsidRPr="009460DA">
            <w:rPr>
              <w:rFonts w:ascii="Cambria" w:hAnsi="Cambria"/>
              <w:sz w:val="20"/>
              <w:szCs w:val="20"/>
            </w:rPr>
            <w:fldChar w:fldCharType="separate"/>
          </w:r>
          <w:r w:rsidRPr="009460DA">
            <w:rPr>
              <w:rFonts w:ascii="Cambria" w:hAnsi="Cambria"/>
              <w:noProof/>
              <w:sz w:val="20"/>
              <w:szCs w:val="20"/>
            </w:rPr>
            <w:t>(Hair, Sarstedt, Hopkins, &amp; Kuppelwieser, 2014)</w:t>
          </w:r>
          <w:r w:rsidR="00902FB4" w:rsidRPr="009460DA">
            <w:rPr>
              <w:rFonts w:ascii="Cambria" w:hAnsi="Cambria"/>
              <w:sz w:val="20"/>
              <w:szCs w:val="20"/>
            </w:rPr>
            <w:fldChar w:fldCharType="end"/>
          </w:r>
        </w:sdtContent>
      </w:sdt>
      <w:r w:rsidRPr="009460DA">
        <w:rPr>
          <w:rFonts w:ascii="Cambria" w:hAnsi="Cambria"/>
          <w:sz w:val="20"/>
          <w:szCs w:val="20"/>
        </w:rPr>
        <w:t xml:space="preserve">, the acceptable t-values for calculating the significance level for the one-tailed test were 1.28 (10% significance level at p&lt;0.10), 1.645 (5% significance level at p&lt;0.05), and 2.33 (1% significance level at p&lt;0.01). Two of the paths did not support the hypotheses, according to the study of the path coefficients in Table 5, which indicates mixed results. The majority of the t-values were higher than the 0.05 or 5% cut-off for significance, which is the minimum value required </w:t>
      </w:r>
      <w:sdt>
        <w:sdtPr>
          <w:rPr>
            <w:rFonts w:ascii="Cambria" w:hAnsi="Cambria"/>
            <w:sz w:val="20"/>
            <w:szCs w:val="20"/>
          </w:rPr>
          <w:id w:val="-1528940160"/>
          <w:citation/>
        </w:sdtPr>
        <w:sdtContent>
          <w:r w:rsidR="00902FB4" w:rsidRPr="009460DA">
            <w:rPr>
              <w:rFonts w:ascii="Cambria" w:hAnsi="Cambria"/>
              <w:sz w:val="20"/>
              <w:szCs w:val="20"/>
            </w:rPr>
            <w:fldChar w:fldCharType="begin"/>
          </w:r>
          <w:r w:rsidRPr="009460DA">
            <w:rPr>
              <w:rFonts w:ascii="Cambria" w:hAnsi="Cambria"/>
              <w:sz w:val="20"/>
              <w:szCs w:val="20"/>
            </w:rPr>
            <w:instrText xml:space="preserve"> CITATION Hai14 \l 1033 </w:instrText>
          </w:r>
          <w:r w:rsidR="00902FB4" w:rsidRPr="009460DA">
            <w:rPr>
              <w:rFonts w:ascii="Cambria" w:hAnsi="Cambria"/>
              <w:sz w:val="20"/>
              <w:szCs w:val="20"/>
            </w:rPr>
            <w:fldChar w:fldCharType="separate"/>
          </w:r>
          <w:r w:rsidRPr="009460DA">
            <w:rPr>
              <w:rFonts w:ascii="Cambria" w:hAnsi="Cambria"/>
              <w:noProof/>
              <w:sz w:val="20"/>
              <w:szCs w:val="20"/>
            </w:rPr>
            <w:t>(Hair, Sarstedt, Hopkins, &amp; Kuppelwieser, 2014)</w:t>
          </w:r>
          <w:r w:rsidR="00902FB4" w:rsidRPr="009460DA">
            <w:rPr>
              <w:rFonts w:ascii="Cambria" w:hAnsi="Cambria"/>
              <w:sz w:val="20"/>
              <w:szCs w:val="20"/>
            </w:rPr>
            <w:fldChar w:fldCharType="end"/>
          </w:r>
        </w:sdtContent>
      </w:sdt>
      <w:r w:rsidRPr="009460DA">
        <w:rPr>
          <w:rFonts w:ascii="Cambria" w:hAnsi="Cambria"/>
          <w:sz w:val="20"/>
          <w:szCs w:val="20"/>
        </w:rPr>
        <w:t>. In terms of the endogenous construct of women's empowerment, INV (=0.331, t=3.705, p&lt;0.01) and SC (=0.496, t=5.224, p&lt;0.01) exhibit favorable and significant associations with it. In light of this, both hypotheses (H1: INV has a positive significant effect on women's empowerment and H2: SC has a positive significant influence on women's empowerment) are validated. However, neither LOC (=-0.111, t=1.107, not significant) nor TR (=-0.018, t=0.190, not significant) significantly affect the empowerment of women. H3 (TR and women's empowerment have a significant relationship) and H4 (LOC and women's empowerment have a significant relationship) are therefore not supported.</w:t>
      </w:r>
      <w:bookmarkEnd w:id="5"/>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Table</w:t>
      </w:r>
      <w:r w:rsidRPr="009460DA">
        <w:rPr>
          <w:rFonts w:ascii="Cambria" w:hAnsi="Cambria"/>
          <w:b/>
          <w:spacing w:val="-3"/>
          <w:sz w:val="20"/>
          <w:szCs w:val="20"/>
        </w:rPr>
        <w:t xml:space="preserve"> </w:t>
      </w:r>
      <w:r w:rsidRPr="009460DA">
        <w:rPr>
          <w:rFonts w:ascii="Cambria" w:hAnsi="Cambria"/>
          <w:b/>
          <w:sz w:val="20"/>
          <w:szCs w:val="20"/>
        </w:rPr>
        <w:t>5:</w:t>
      </w:r>
      <w:r w:rsidRPr="009460DA">
        <w:rPr>
          <w:rFonts w:ascii="Cambria" w:hAnsi="Cambria"/>
          <w:b/>
          <w:spacing w:val="-2"/>
          <w:sz w:val="20"/>
          <w:szCs w:val="20"/>
        </w:rPr>
        <w:t xml:space="preserve"> Result of Hypotheses Tests Based on the Path Coefficients, T-Statistics, P Values, and Confidence Interval </w:t>
      </w:r>
    </w:p>
    <w:tbl>
      <w:tblPr>
        <w:tblW w:w="5000" w:type="pct"/>
        <w:tblCellMar>
          <w:left w:w="0" w:type="dxa"/>
          <w:right w:w="0" w:type="dxa"/>
        </w:tblCellMar>
        <w:tblLook w:val="01E0"/>
      </w:tblPr>
      <w:tblGrid>
        <w:gridCol w:w="1134"/>
        <w:gridCol w:w="1844"/>
        <w:gridCol w:w="951"/>
        <w:gridCol w:w="949"/>
        <w:gridCol w:w="1157"/>
        <w:gridCol w:w="1264"/>
        <w:gridCol w:w="887"/>
        <w:gridCol w:w="1174"/>
      </w:tblGrid>
      <w:tr w:rsidR="004C738B" w:rsidRPr="009460DA" w:rsidTr="008B2F5A">
        <w:trPr>
          <w:trHeight w:val="493"/>
        </w:trPr>
        <w:tc>
          <w:tcPr>
            <w:tcW w:w="606"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Hypotheses</w:t>
            </w:r>
          </w:p>
        </w:tc>
        <w:tc>
          <w:tcPr>
            <w:tcW w:w="985"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w w:val="99"/>
                <w:sz w:val="20"/>
                <w:szCs w:val="20"/>
              </w:rPr>
              <w:t>Relationship</w:t>
            </w:r>
          </w:p>
        </w:tc>
        <w:tc>
          <w:tcPr>
            <w:tcW w:w="508"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Std Beta</w:t>
            </w:r>
          </w:p>
        </w:tc>
        <w:tc>
          <w:tcPr>
            <w:tcW w:w="507"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w w:val="99"/>
                <w:sz w:val="20"/>
                <w:szCs w:val="20"/>
              </w:rPr>
              <w:t>Std Error</w:t>
            </w:r>
          </w:p>
        </w:tc>
        <w:tc>
          <w:tcPr>
            <w:tcW w:w="618"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T-Values</w:t>
            </w:r>
          </w:p>
        </w:tc>
        <w:tc>
          <w:tcPr>
            <w:tcW w:w="675"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P-Values</w:t>
            </w:r>
          </w:p>
        </w:tc>
        <w:tc>
          <w:tcPr>
            <w:tcW w:w="474"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LL</w:t>
            </w:r>
          </w:p>
        </w:tc>
        <w:tc>
          <w:tcPr>
            <w:tcW w:w="627" w:type="pct"/>
            <w:tcBorders>
              <w:top w:val="single" w:sz="4" w:space="0" w:color="auto"/>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UL</w:t>
            </w:r>
          </w:p>
        </w:tc>
      </w:tr>
      <w:tr w:rsidR="004C738B" w:rsidRPr="009460DA" w:rsidTr="008B2F5A">
        <w:trPr>
          <w:trHeight w:val="263"/>
        </w:trPr>
        <w:tc>
          <w:tcPr>
            <w:tcW w:w="606" w:type="pct"/>
            <w:tcBorders>
              <w:top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H1</w:t>
            </w:r>
          </w:p>
        </w:tc>
        <w:tc>
          <w:tcPr>
            <w:tcW w:w="985"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INV -&gt; WE</w:t>
            </w:r>
          </w:p>
        </w:tc>
        <w:tc>
          <w:tcPr>
            <w:tcW w:w="508"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0.331</w:t>
            </w:r>
          </w:p>
        </w:tc>
        <w:tc>
          <w:tcPr>
            <w:tcW w:w="507"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0.089</w:t>
            </w:r>
          </w:p>
        </w:tc>
        <w:tc>
          <w:tcPr>
            <w:tcW w:w="618"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3.705</w:t>
            </w:r>
          </w:p>
        </w:tc>
        <w:tc>
          <w:tcPr>
            <w:tcW w:w="675"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0.000**</w:t>
            </w:r>
          </w:p>
        </w:tc>
        <w:tc>
          <w:tcPr>
            <w:tcW w:w="474"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0.185</w:t>
            </w:r>
          </w:p>
        </w:tc>
        <w:tc>
          <w:tcPr>
            <w:tcW w:w="627" w:type="pct"/>
            <w:tcBorders>
              <w:top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0.470</w:t>
            </w:r>
          </w:p>
        </w:tc>
      </w:tr>
      <w:tr w:rsidR="004C738B" w:rsidRPr="009460DA" w:rsidTr="008B2F5A">
        <w:trPr>
          <w:trHeight w:val="263"/>
        </w:trPr>
        <w:tc>
          <w:tcPr>
            <w:tcW w:w="60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H2</w:t>
            </w:r>
          </w:p>
        </w:tc>
        <w:tc>
          <w:tcPr>
            <w:tcW w:w="98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SC -&gt; WE</w:t>
            </w:r>
          </w:p>
        </w:tc>
        <w:tc>
          <w:tcPr>
            <w:tcW w:w="50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0.496</w:t>
            </w:r>
          </w:p>
        </w:tc>
        <w:tc>
          <w:tcPr>
            <w:tcW w:w="50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0.095</w:t>
            </w:r>
          </w:p>
        </w:tc>
        <w:tc>
          <w:tcPr>
            <w:tcW w:w="61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5.224</w:t>
            </w:r>
          </w:p>
        </w:tc>
        <w:tc>
          <w:tcPr>
            <w:tcW w:w="67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0.000**</w:t>
            </w:r>
          </w:p>
        </w:tc>
        <w:tc>
          <w:tcPr>
            <w:tcW w:w="4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0.350</w:t>
            </w:r>
          </w:p>
        </w:tc>
        <w:tc>
          <w:tcPr>
            <w:tcW w:w="62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0.649</w:t>
            </w:r>
          </w:p>
        </w:tc>
      </w:tr>
      <w:tr w:rsidR="004C738B" w:rsidRPr="009460DA" w:rsidTr="008B2F5A">
        <w:trPr>
          <w:trHeight w:val="263"/>
        </w:trPr>
        <w:tc>
          <w:tcPr>
            <w:tcW w:w="60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H3</w:t>
            </w:r>
          </w:p>
        </w:tc>
        <w:tc>
          <w:tcPr>
            <w:tcW w:w="98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TR -&gt; WE</w:t>
            </w:r>
          </w:p>
        </w:tc>
        <w:tc>
          <w:tcPr>
            <w:tcW w:w="50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-0.018</w:t>
            </w:r>
          </w:p>
        </w:tc>
        <w:tc>
          <w:tcPr>
            <w:tcW w:w="50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0.096</w:t>
            </w:r>
          </w:p>
        </w:tc>
        <w:tc>
          <w:tcPr>
            <w:tcW w:w="61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0.190</w:t>
            </w:r>
          </w:p>
        </w:tc>
        <w:tc>
          <w:tcPr>
            <w:tcW w:w="67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0.425</w:t>
            </w:r>
          </w:p>
        </w:tc>
        <w:tc>
          <w:tcPr>
            <w:tcW w:w="4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-0.207</w:t>
            </w:r>
          </w:p>
        </w:tc>
        <w:tc>
          <w:tcPr>
            <w:tcW w:w="62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0.129</w:t>
            </w:r>
          </w:p>
        </w:tc>
      </w:tr>
      <w:tr w:rsidR="004C738B" w:rsidRPr="009460DA" w:rsidTr="008B2F5A">
        <w:trPr>
          <w:trHeight w:val="263"/>
        </w:trPr>
        <w:tc>
          <w:tcPr>
            <w:tcW w:w="60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H4</w:t>
            </w:r>
          </w:p>
        </w:tc>
        <w:tc>
          <w:tcPr>
            <w:tcW w:w="98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LOC -&gt; WE</w:t>
            </w:r>
          </w:p>
        </w:tc>
        <w:tc>
          <w:tcPr>
            <w:tcW w:w="50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-0.111</w:t>
            </w:r>
          </w:p>
        </w:tc>
        <w:tc>
          <w:tcPr>
            <w:tcW w:w="50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0.100</w:t>
            </w:r>
          </w:p>
        </w:tc>
        <w:tc>
          <w:tcPr>
            <w:tcW w:w="61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1.107</w:t>
            </w:r>
          </w:p>
        </w:tc>
        <w:tc>
          <w:tcPr>
            <w:tcW w:w="67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0.135</w:t>
            </w:r>
          </w:p>
        </w:tc>
        <w:tc>
          <w:tcPr>
            <w:tcW w:w="4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-0.267</w:t>
            </w:r>
          </w:p>
        </w:tc>
        <w:tc>
          <w:tcPr>
            <w:tcW w:w="62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0.074</w:t>
            </w:r>
          </w:p>
        </w:tc>
      </w:tr>
      <w:tr w:rsidR="004C738B" w:rsidRPr="009460DA" w:rsidTr="008B2F5A">
        <w:trPr>
          <w:trHeight w:val="263"/>
        </w:trPr>
        <w:tc>
          <w:tcPr>
            <w:tcW w:w="60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H4a</w:t>
            </w:r>
          </w:p>
        </w:tc>
        <w:tc>
          <w:tcPr>
            <w:tcW w:w="98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LOC x INV -&gt; WE</w:t>
            </w:r>
          </w:p>
        </w:tc>
        <w:tc>
          <w:tcPr>
            <w:tcW w:w="50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-0.266</w:t>
            </w:r>
          </w:p>
        </w:tc>
        <w:tc>
          <w:tcPr>
            <w:tcW w:w="50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0.138</w:t>
            </w:r>
          </w:p>
        </w:tc>
        <w:tc>
          <w:tcPr>
            <w:tcW w:w="61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1.921</w:t>
            </w:r>
          </w:p>
        </w:tc>
        <w:tc>
          <w:tcPr>
            <w:tcW w:w="67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0.028*</w:t>
            </w:r>
          </w:p>
        </w:tc>
        <w:tc>
          <w:tcPr>
            <w:tcW w:w="4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-0.476</w:t>
            </w:r>
          </w:p>
        </w:tc>
        <w:tc>
          <w:tcPr>
            <w:tcW w:w="62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-0.025</w:t>
            </w:r>
          </w:p>
        </w:tc>
      </w:tr>
      <w:tr w:rsidR="004C738B" w:rsidRPr="009460DA" w:rsidTr="008B2F5A">
        <w:trPr>
          <w:trHeight w:val="263"/>
        </w:trPr>
        <w:tc>
          <w:tcPr>
            <w:tcW w:w="606" w:type="pct"/>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H4b</w:t>
            </w:r>
          </w:p>
        </w:tc>
        <w:tc>
          <w:tcPr>
            <w:tcW w:w="98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LOC x SC -&gt; WE</w:t>
            </w:r>
          </w:p>
        </w:tc>
        <w:tc>
          <w:tcPr>
            <w:tcW w:w="50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-0.025</w:t>
            </w:r>
          </w:p>
        </w:tc>
        <w:tc>
          <w:tcPr>
            <w:tcW w:w="50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0.141</w:t>
            </w:r>
          </w:p>
        </w:tc>
        <w:tc>
          <w:tcPr>
            <w:tcW w:w="618"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0.176</w:t>
            </w:r>
          </w:p>
        </w:tc>
        <w:tc>
          <w:tcPr>
            <w:tcW w:w="675"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0.430</w:t>
            </w:r>
          </w:p>
        </w:tc>
        <w:tc>
          <w:tcPr>
            <w:tcW w:w="474"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-0.252</w:t>
            </w:r>
          </w:p>
        </w:tc>
        <w:tc>
          <w:tcPr>
            <w:tcW w:w="627" w:type="pct"/>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0.197</w:t>
            </w:r>
          </w:p>
        </w:tc>
      </w:tr>
      <w:tr w:rsidR="004C738B" w:rsidRPr="009460DA" w:rsidTr="008B2F5A">
        <w:trPr>
          <w:trHeight w:val="263"/>
        </w:trPr>
        <w:tc>
          <w:tcPr>
            <w:tcW w:w="606" w:type="pct"/>
            <w:tcBorders>
              <w:bottom w:val="single" w:sz="4" w:space="0" w:color="auto"/>
            </w:tcBorders>
          </w:tcPr>
          <w:p w:rsidR="004C738B" w:rsidRPr="009460DA" w:rsidRDefault="004C738B" w:rsidP="009460DA">
            <w:pPr>
              <w:pStyle w:val="TableParagraph"/>
              <w:jc w:val="both"/>
              <w:rPr>
                <w:rFonts w:ascii="Cambria" w:hAnsi="Cambria"/>
                <w:b/>
                <w:sz w:val="20"/>
                <w:szCs w:val="20"/>
              </w:rPr>
            </w:pPr>
            <w:r w:rsidRPr="009460DA">
              <w:rPr>
                <w:rFonts w:ascii="Cambria" w:hAnsi="Cambria"/>
                <w:b/>
                <w:sz w:val="20"/>
                <w:szCs w:val="20"/>
              </w:rPr>
              <w:t>H4c</w:t>
            </w:r>
          </w:p>
        </w:tc>
        <w:tc>
          <w:tcPr>
            <w:tcW w:w="985"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LOC x TR -&gt; WE</w:t>
            </w:r>
          </w:p>
        </w:tc>
        <w:tc>
          <w:tcPr>
            <w:tcW w:w="508"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0.328</w:t>
            </w:r>
          </w:p>
        </w:tc>
        <w:tc>
          <w:tcPr>
            <w:tcW w:w="507"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0.158</w:t>
            </w:r>
          </w:p>
        </w:tc>
        <w:tc>
          <w:tcPr>
            <w:tcW w:w="618"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2.079</w:t>
            </w:r>
          </w:p>
        </w:tc>
        <w:tc>
          <w:tcPr>
            <w:tcW w:w="675"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0.019*</w:t>
            </w:r>
          </w:p>
        </w:tc>
        <w:tc>
          <w:tcPr>
            <w:tcW w:w="474"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0.054</w:t>
            </w:r>
          </w:p>
        </w:tc>
        <w:tc>
          <w:tcPr>
            <w:tcW w:w="627" w:type="pct"/>
            <w:tcBorders>
              <w:bottom w:val="single" w:sz="4" w:space="0" w:color="auto"/>
            </w:tcBorders>
          </w:tcPr>
          <w:p w:rsidR="004C738B" w:rsidRPr="009460DA" w:rsidRDefault="004C738B" w:rsidP="009460DA">
            <w:pPr>
              <w:pStyle w:val="TableParagraph"/>
              <w:jc w:val="both"/>
              <w:rPr>
                <w:rFonts w:ascii="Cambria" w:hAnsi="Cambria"/>
                <w:sz w:val="20"/>
                <w:szCs w:val="20"/>
              </w:rPr>
            </w:pPr>
            <w:r w:rsidRPr="009460DA">
              <w:rPr>
                <w:rFonts w:ascii="Cambria" w:hAnsi="Cambria"/>
                <w:sz w:val="20"/>
                <w:szCs w:val="20"/>
              </w:rPr>
              <w:t>0.579</w:t>
            </w:r>
          </w:p>
        </w:tc>
      </w:tr>
    </w:tbl>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Note:</w:t>
      </w:r>
      <w:r w:rsidRPr="009460DA">
        <w:rPr>
          <w:rFonts w:ascii="Cambria" w:hAnsi="Cambria"/>
          <w:sz w:val="20"/>
          <w:szCs w:val="20"/>
        </w:rPr>
        <w:t xml:space="preserve"> one-tailed: *p &lt;0.05 (t ≥ 1.645), **p &lt;0.01 (t ≥ 2.33). INV=Involvement in Microfinance, SC=Social Capital, TR=Training, LOC= Location, WE=Women Empowerment.</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sz w:val="20"/>
          <w:szCs w:val="20"/>
        </w:rPr>
        <w:t>In addition, the analysis of moderating the effectiveness of microfinance also found that LOCa (β=-0.266, t=1.921, p&lt;0.05) and LOCc (β= 0.328, t=2.079, p&lt;0.05) have the ability to influence INV and TR respectively, thus supporting H4a (Location moderates the relationship between INV and WE) and H4c (Location moderates the relationship between TR and WE). However, H4b (Location moderates the relationship between SC and WE) is not supported.</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 xml:space="preserve">Findings: </w:t>
      </w:r>
      <w:r w:rsidRPr="009460DA">
        <w:rPr>
          <w:rFonts w:ascii="Cambria" w:hAnsi="Cambria" w:cs="Times New Roman"/>
          <w:sz w:val="20"/>
          <w:szCs w:val="20"/>
        </w:rPr>
        <w:t>The findings of the study align with H1, which states that there is a significant relationship between involvement in microfinance and women's empowerment. These findings are consistent with previous research that has demonstrated the positive impact of microfinance on women's empowerment, including indicators such as increased income, improved gender equality, expanded access to financial capital, and enhanced entrepreneurial success (Al-Shami et al., 2016; Faridi et al., 2022). Additionally, the data indicates a significant result (p&lt;0.05) of 0.000, in line with previous studies emphasizing the importance of social capital in enhancing women's empowerment (Hameed, 2019). Social capital, characterized by trust and reciprocity, acts as an element to strengthen women's empowerment through microfinance programs, particularly through social group activities (Kumar et al., 2018). Previous research has also confirmed the positive and significant influence of social capital on women's empowerment (Widiyanti et al., 2018). However, the data reveals a negative relationship (p&lt;0.05) of 0.429 between training and women's empowerment, which aligns with previous research suggesting that training programs have either a limited or insignificant impact on women's empowerment (Khan et al., 2017).</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Previous studies have presented varying conclusions based on the collected data regarding the relationship between training and women's empowerment (Ul-Hameed, Mohammad, &amp; Shahar, 2018). Some researchers have consistently found a positive association between training and women's empowerment, including studies by Samer et al. (2015) and Tammili, Mohamed, and Terano (2017). Besides, the outcomes of training programs have been shown to transform individuals' perception of opportunities and challenges, leading to increased motivation levels among entrepreneurs (Bembenutty, White, &amp; DiBenedetto, 2016; Haider, Asad, </w:t>
      </w:r>
      <w:r w:rsidRPr="009460DA">
        <w:rPr>
          <w:rFonts w:ascii="Cambria" w:hAnsi="Cambria" w:cs="Times New Roman"/>
          <w:sz w:val="20"/>
          <w:szCs w:val="20"/>
        </w:rPr>
        <w:lastRenderedPageBreak/>
        <w:t>Fatima, &amp; Zain, 2017). These programs also help women improve their ability to effectively utilize loans by educating themselves (Ul-Hameed, Mohammad, &amp; Shahar, 2018). However, the data collected in the present study does not indicate a significant relationship between the location of microfinance borrowers and women's empowerment. Specifically, the focus is on urban areas. The p-value of 0.430 contradicts previous research suggesting that long distances to access microfinance or locating business activities far from urban areas may hinder the process of women's empowerment (Alimukhamedova, Filer, &amp; Hanousek, 2017; Akingunola, Olowofela, &amp; Yunusa, 2018).</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spacing w:after="0" w:line="240" w:lineRule="auto"/>
        <w:jc w:val="both"/>
        <w:rPr>
          <w:rFonts w:ascii="Cambria" w:hAnsi="Cambria" w:cs="Times New Roman"/>
          <w:sz w:val="20"/>
          <w:szCs w:val="20"/>
        </w:rPr>
      </w:pPr>
      <w:r w:rsidRPr="009460DA">
        <w:rPr>
          <w:rFonts w:ascii="Cambria" w:hAnsi="Cambria" w:cs="Times New Roman"/>
          <w:sz w:val="20"/>
          <w:szCs w:val="20"/>
        </w:rPr>
        <w:t>According to a similar study conducted by Alimukhamedova, Filer, and Hanousek (2017), it is suggested that individuals residing in urban areas are not necessarily more empowered compared to those in rural areas. Urban residents face their own set of challenges, such as dealing with traffic congestion and the need to travel long distances to access microfinance services. On the other hand, accessing microfinance facilities in rural areas is more difficult due to the significant distances between locations, which hampers the optimal utilization of these services (Hussaini &amp; Chibuzo, 2018). The participation rate in microfinance programs was also found to be lower in rural areas due to the vast geographical distances (Joshi, 2019). Furthermore, a study indicates that urban residents, who are typically in closer proximity to one another, have stronger social connections and are more likely to leverage the available social capital (Postelnicu &amp; Hermes, 2018). Another argument put forth is that urban residents are generally more receptive to training programs due to their access to basic knowledge and education (Adhariani, 2022).</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b/>
          <w:sz w:val="20"/>
          <w:szCs w:val="20"/>
        </w:rPr>
        <w:t>5. Managerial</w:t>
      </w:r>
      <w:r w:rsidRPr="009460DA">
        <w:rPr>
          <w:rFonts w:ascii="Cambria" w:hAnsi="Cambria"/>
          <w:b/>
          <w:spacing w:val="-7"/>
          <w:sz w:val="20"/>
          <w:szCs w:val="20"/>
        </w:rPr>
        <w:t xml:space="preserve"> </w:t>
      </w:r>
      <w:r w:rsidRPr="009460DA">
        <w:rPr>
          <w:rFonts w:ascii="Cambria" w:hAnsi="Cambria"/>
          <w:b/>
          <w:sz w:val="20"/>
          <w:szCs w:val="20"/>
        </w:rPr>
        <w:t>Implications</w:t>
      </w:r>
      <w:r w:rsidRPr="009460DA">
        <w:rPr>
          <w:rFonts w:ascii="Cambria" w:hAnsi="Cambria"/>
          <w:b/>
          <w:spacing w:val="-6"/>
          <w:sz w:val="20"/>
          <w:szCs w:val="20"/>
        </w:rPr>
        <w:t xml:space="preserve"> </w:t>
      </w:r>
      <w:r w:rsidRPr="009460DA">
        <w:rPr>
          <w:rFonts w:ascii="Cambria" w:hAnsi="Cambria"/>
          <w:b/>
          <w:sz w:val="20"/>
          <w:szCs w:val="20"/>
        </w:rPr>
        <w:t>and</w:t>
      </w:r>
      <w:r w:rsidRPr="009460DA">
        <w:rPr>
          <w:rFonts w:ascii="Cambria" w:hAnsi="Cambria"/>
          <w:b/>
          <w:spacing w:val="-4"/>
          <w:sz w:val="20"/>
          <w:szCs w:val="20"/>
        </w:rPr>
        <w:t xml:space="preserve"> </w:t>
      </w:r>
      <w:r w:rsidRPr="009460DA">
        <w:rPr>
          <w:rFonts w:ascii="Cambria" w:hAnsi="Cambria"/>
          <w:b/>
          <w:sz w:val="20"/>
          <w:szCs w:val="20"/>
        </w:rPr>
        <w:t>Recommendations</w:t>
      </w:r>
    </w:p>
    <w:p w:rsidR="004C738B" w:rsidRPr="009460DA" w:rsidRDefault="004C738B" w:rsidP="009460DA">
      <w:pPr>
        <w:pStyle w:val="BodyText"/>
        <w:spacing w:after="0" w:line="240" w:lineRule="auto"/>
        <w:jc w:val="both"/>
        <w:rPr>
          <w:rFonts w:ascii="Cambria" w:hAnsi="Cambria"/>
          <w:b/>
          <w:sz w:val="20"/>
          <w:szCs w:val="20"/>
        </w:rPr>
      </w:pPr>
    </w:p>
    <w:p w:rsidR="004C738B" w:rsidRPr="009460DA" w:rsidRDefault="004C738B" w:rsidP="009460DA">
      <w:pPr>
        <w:pStyle w:val="BodyText"/>
        <w:spacing w:after="0" w:line="240" w:lineRule="auto"/>
        <w:jc w:val="both"/>
        <w:rPr>
          <w:rFonts w:ascii="Cambria" w:hAnsi="Cambria"/>
          <w:b/>
          <w:sz w:val="20"/>
          <w:szCs w:val="20"/>
        </w:rPr>
      </w:pPr>
      <w:r w:rsidRPr="009460DA">
        <w:rPr>
          <w:rFonts w:ascii="Cambria" w:hAnsi="Cambria" w:cs="Times New Roman"/>
          <w:sz w:val="20"/>
          <w:szCs w:val="20"/>
        </w:rPr>
        <w:t>It is recommended to conduct further studies to investigate the relationship between variables, with a focus on geographical location as the moderator, among participants of AIM in the remaining states. This will help determine the level of women's empowerment in Malaysia and ensure the effectiveness of microfinance programs across different areas of residence. Considering that women's empowerment currently stands at 71.4% with a modest improvement of 0.5% (DOSM, 2022), it is crucial to sustain microfinance initiatives and bridge the gender equality gap. Besides, the content of training programs should be thoroughly analyzed to ensure their quality and effectiveness, enabling trainees to derive maximum benefits. Making participation in AIM's training programs mandatory for borrowers can contribute to enhancing their entrepreneurship skills. Maintaining equal opportunities to access microfinance under AIM is essential, ensuring that it is easily accessible to empower impoverished women in both rural and urban areas. A proposed collaboration between AIM and the Zakat institution aims to address issues of poverty. Given the limited availability of Zakat funds, AIM can assist by identifying potential borrowers from Zakat's ASNAF database, supporting them in becoming entrepreneurs and improving their economic status.</w:t>
      </w:r>
    </w:p>
    <w:p w:rsidR="004C738B" w:rsidRPr="009460DA" w:rsidRDefault="004C738B" w:rsidP="009460DA">
      <w:pPr>
        <w:pStyle w:val="BodyText"/>
        <w:spacing w:after="0" w:line="240" w:lineRule="auto"/>
        <w:jc w:val="both"/>
        <w:rPr>
          <w:rFonts w:ascii="Cambria" w:hAnsi="Cambria"/>
          <w:sz w:val="20"/>
          <w:szCs w:val="20"/>
        </w:rPr>
      </w:pPr>
    </w:p>
    <w:p w:rsidR="004C738B" w:rsidRPr="008471BD" w:rsidRDefault="004C738B" w:rsidP="009460DA">
      <w:pPr>
        <w:pStyle w:val="Heading1"/>
        <w:spacing w:before="0" w:line="240" w:lineRule="auto"/>
        <w:jc w:val="both"/>
        <w:rPr>
          <w:rFonts w:ascii="Cambria" w:hAnsi="Cambria"/>
          <w:b w:val="0"/>
          <w:color w:val="auto"/>
          <w:sz w:val="20"/>
          <w:szCs w:val="20"/>
        </w:rPr>
      </w:pPr>
      <w:r w:rsidRPr="008471BD">
        <w:rPr>
          <w:rFonts w:ascii="Cambria" w:hAnsi="Cambria"/>
          <w:color w:val="auto"/>
          <w:sz w:val="20"/>
          <w:szCs w:val="20"/>
        </w:rPr>
        <w:t xml:space="preserve">Conclusion: </w:t>
      </w:r>
      <w:r w:rsidRPr="008471BD">
        <w:rPr>
          <w:rFonts w:ascii="Cambria" w:hAnsi="Cambria"/>
          <w:b w:val="0"/>
          <w:color w:val="auto"/>
          <w:sz w:val="20"/>
          <w:szCs w:val="20"/>
        </w:rPr>
        <w:t xml:space="preserve">In assessing the relationship between participation in microfinance, social capital, and training in women's empowerment, the study has succeeded in achieving its research goals. The statistics demonstrate that microfinance was consistent with earlier research to increase women's empowerment, hence reducing poverty </w:t>
      </w:r>
      <w:sdt>
        <w:sdtPr>
          <w:rPr>
            <w:rFonts w:ascii="Cambria" w:hAnsi="Cambria"/>
            <w:b w:val="0"/>
            <w:color w:val="auto"/>
            <w:sz w:val="20"/>
            <w:szCs w:val="20"/>
          </w:rPr>
          <w:id w:val="856932242"/>
          <w:citation/>
        </w:sdtPr>
        <w:sdtContent>
          <w:r w:rsidR="00902FB4" w:rsidRPr="008471BD">
            <w:rPr>
              <w:rFonts w:ascii="Cambria" w:hAnsi="Cambria"/>
              <w:b w:val="0"/>
              <w:color w:val="auto"/>
              <w:sz w:val="20"/>
              <w:szCs w:val="20"/>
            </w:rPr>
            <w:fldChar w:fldCharType="begin"/>
          </w:r>
          <w:r w:rsidRPr="008471BD">
            <w:rPr>
              <w:rFonts w:ascii="Cambria" w:hAnsi="Cambria"/>
              <w:b w:val="0"/>
              <w:color w:val="auto"/>
              <w:sz w:val="20"/>
              <w:szCs w:val="20"/>
            </w:rPr>
            <w:instrText xml:space="preserve"> CITATION Mau22 \l 1033 </w:instrText>
          </w:r>
          <w:r w:rsidR="00902FB4" w:rsidRPr="008471BD">
            <w:rPr>
              <w:rFonts w:ascii="Cambria" w:hAnsi="Cambria"/>
              <w:b w:val="0"/>
              <w:color w:val="auto"/>
              <w:sz w:val="20"/>
              <w:szCs w:val="20"/>
            </w:rPr>
            <w:fldChar w:fldCharType="separate"/>
          </w:r>
          <w:r w:rsidRPr="008471BD">
            <w:rPr>
              <w:rFonts w:ascii="Cambria" w:hAnsi="Cambria"/>
              <w:b w:val="0"/>
              <w:noProof/>
              <w:color w:val="auto"/>
              <w:sz w:val="20"/>
              <w:szCs w:val="20"/>
            </w:rPr>
            <w:t>(Maulidia &amp; Nur, 2022)</w:t>
          </w:r>
          <w:r w:rsidR="00902FB4" w:rsidRPr="008471BD">
            <w:rPr>
              <w:rFonts w:ascii="Cambria" w:hAnsi="Cambria"/>
              <w:b w:val="0"/>
              <w:color w:val="auto"/>
              <w:sz w:val="20"/>
              <w:szCs w:val="20"/>
            </w:rPr>
            <w:fldChar w:fldCharType="end"/>
          </w:r>
        </w:sdtContent>
      </w:sdt>
      <w:r w:rsidRPr="008471BD">
        <w:rPr>
          <w:rFonts w:ascii="Cambria" w:hAnsi="Cambria"/>
          <w:b w:val="0"/>
          <w:color w:val="auto"/>
          <w:sz w:val="20"/>
          <w:szCs w:val="20"/>
        </w:rPr>
        <w:t xml:space="preserve">. The results of our research on this subject are therefore presented in this chapter. The variables used to assess the effectiveness of women's empowerment have been continuously employed in past research. For instance, the involvement in microfinance has been evaluated by researchers such as Joshi (2019) and Duvendack and Mader (2019). Meanwhile, the impact of social capital has been examined by Yusuff, Bakar, and Ahmad (2018) and Ado and Mata (2020). The role of training programs in enhancing entrepreneurship skills has been investigated by Ul-Hameed, Mohammad, and Shahar (2018) and Hameed (2019), while the importance of organizing these programs actively has been emphasized by relevant stakeholders, as noted by Norma and Jarita (2010). The geographic location and residential areas between urban and rural areas were also studied by </w:t>
      </w:r>
      <w:sdt>
        <w:sdtPr>
          <w:rPr>
            <w:rFonts w:ascii="Cambria" w:hAnsi="Cambria"/>
            <w:b w:val="0"/>
            <w:color w:val="auto"/>
            <w:sz w:val="20"/>
            <w:szCs w:val="20"/>
          </w:rPr>
          <w:id w:val="601388288"/>
          <w:citation/>
        </w:sdtPr>
        <w:sdtContent>
          <w:r w:rsidR="00902FB4" w:rsidRPr="008471BD">
            <w:rPr>
              <w:rFonts w:ascii="Cambria" w:hAnsi="Cambria"/>
              <w:b w:val="0"/>
              <w:color w:val="auto"/>
              <w:sz w:val="20"/>
              <w:szCs w:val="20"/>
            </w:rPr>
            <w:fldChar w:fldCharType="begin"/>
          </w:r>
          <w:r w:rsidRPr="008471BD">
            <w:rPr>
              <w:rFonts w:ascii="Cambria" w:hAnsi="Cambria"/>
              <w:b w:val="0"/>
              <w:color w:val="auto"/>
              <w:sz w:val="20"/>
              <w:szCs w:val="20"/>
            </w:rPr>
            <w:instrText xml:space="preserve"> CITATION Oma12 \l 1033 </w:instrText>
          </w:r>
          <w:r w:rsidR="00902FB4" w:rsidRPr="008471BD">
            <w:rPr>
              <w:rFonts w:ascii="Cambria" w:hAnsi="Cambria"/>
              <w:b w:val="0"/>
              <w:color w:val="auto"/>
              <w:sz w:val="20"/>
              <w:szCs w:val="20"/>
            </w:rPr>
            <w:fldChar w:fldCharType="separate"/>
          </w:r>
          <w:r w:rsidRPr="008471BD">
            <w:rPr>
              <w:rFonts w:ascii="Cambria" w:hAnsi="Cambria"/>
              <w:b w:val="0"/>
              <w:noProof/>
              <w:color w:val="auto"/>
              <w:sz w:val="20"/>
              <w:szCs w:val="20"/>
            </w:rPr>
            <w:t>(Omar, Supian, Noor, &amp; Dahalan, 2012)</w:t>
          </w:r>
          <w:r w:rsidR="00902FB4" w:rsidRPr="008471BD">
            <w:rPr>
              <w:rFonts w:ascii="Cambria" w:hAnsi="Cambria"/>
              <w:b w:val="0"/>
              <w:color w:val="auto"/>
              <w:sz w:val="20"/>
              <w:szCs w:val="20"/>
            </w:rPr>
            <w:fldChar w:fldCharType="end"/>
          </w:r>
        </w:sdtContent>
      </w:sdt>
      <w:r w:rsidRPr="008471BD">
        <w:rPr>
          <w:rFonts w:ascii="Cambria" w:hAnsi="Cambria"/>
          <w:b w:val="0"/>
          <w:color w:val="auto"/>
          <w:sz w:val="20"/>
          <w:szCs w:val="20"/>
        </w:rPr>
        <w:t xml:space="preserve">, and </w:t>
      </w:r>
      <w:sdt>
        <w:sdtPr>
          <w:rPr>
            <w:rFonts w:ascii="Cambria" w:hAnsi="Cambria"/>
            <w:b w:val="0"/>
            <w:color w:val="auto"/>
            <w:sz w:val="20"/>
            <w:szCs w:val="20"/>
          </w:rPr>
          <w:id w:val="-1742482273"/>
          <w:citation/>
        </w:sdtPr>
        <w:sdtContent>
          <w:r w:rsidR="00902FB4" w:rsidRPr="008471BD">
            <w:rPr>
              <w:rFonts w:ascii="Cambria" w:hAnsi="Cambria"/>
              <w:b w:val="0"/>
              <w:color w:val="auto"/>
              <w:sz w:val="20"/>
              <w:szCs w:val="20"/>
            </w:rPr>
            <w:fldChar w:fldCharType="begin"/>
          </w:r>
          <w:r w:rsidRPr="008471BD">
            <w:rPr>
              <w:rFonts w:ascii="Cambria" w:hAnsi="Cambria"/>
              <w:b w:val="0"/>
              <w:color w:val="auto"/>
              <w:sz w:val="20"/>
              <w:szCs w:val="20"/>
            </w:rPr>
            <w:instrText xml:space="preserve"> CITATION Mis15 \l 1033 </w:instrText>
          </w:r>
          <w:r w:rsidR="00902FB4" w:rsidRPr="008471BD">
            <w:rPr>
              <w:rFonts w:ascii="Cambria" w:hAnsi="Cambria"/>
              <w:b w:val="0"/>
              <w:color w:val="auto"/>
              <w:sz w:val="20"/>
              <w:szCs w:val="20"/>
            </w:rPr>
            <w:fldChar w:fldCharType="separate"/>
          </w:r>
          <w:r w:rsidRPr="008471BD">
            <w:rPr>
              <w:rFonts w:ascii="Cambria" w:hAnsi="Cambria"/>
              <w:b w:val="0"/>
              <w:noProof/>
              <w:color w:val="auto"/>
              <w:sz w:val="20"/>
              <w:szCs w:val="20"/>
            </w:rPr>
            <w:t>(Misnan, Abdul, &amp; Othman, 2015)</w:t>
          </w:r>
          <w:r w:rsidR="00902FB4" w:rsidRPr="008471BD">
            <w:rPr>
              <w:rFonts w:ascii="Cambria" w:hAnsi="Cambria"/>
              <w:b w:val="0"/>
              <w:color w:val="auto"/>
              <w:sz w:val="20"/>
              <w:szCs w:val="20"/>
            </w:rPr>
            <w:fldChar w:fldCharType="end"/>
          </w:r>
        </w:sdtContent>
      </w:sdt>
      <w:r w:rsidRPr="008471BD">
        <w:rPr>
          <w:rFonts w:ascii="Cambria" w:hAnsi="Cambria"/>
          <w:b w:val="0"/>
          <w:color w:val="auto"/>
          <w:sz w:val="20"/>
          <w:szCs w:val="20"/>
        </w:rPr>
        <w:t>. This study emphasizes how microfinance has a good impact on women's empowerment as one of the key goals of eradicating poverty.</w:t>
      </w:r>
    </w:p>
    <w:p w:rsidR="004C738B" w:rsidRPr="009460DA" w:rsidRDefault="004C738B" w:rsidP="009460DA">
      <w:pPr>
        <w:pStyle w:val="BodyText"/>
        <w:spacing w:after="0" w:line="240" w:lineRule="auto"/>
        <w:jc w:val="both"/>
        <w:rPr>
          <w:rFonts w:ascii="Cambria" w:hAnsi="Cambria"/>
          <w:sz w:val="20"/>
          <w:szCs w:val="20"/>
        </w:rPr>
      </w:pPr>
    </w:p>
    <w:p w:rsidR="004C738B" w:rsidRPr="009460DA" w:rsidRDefault="004C738B" w:rsidP="009460DA">
      <w:pPr>
        <w:pStyle w:val="p1"/>
        <w:rPr>
          <w:rFonts w:ascii="Cambria" w:hAnsi="Cambria"/>
        </w:rPr>
      </w:pPr>
      <w:r w:rsidRPr="009460DA">
        <w:rPr>
          <w:rFonts w:ascii="Cambria" w:hAnsi="Cambria"/>
        </w:rPr>
        <w:t xml:space="preserve">AIM, TEKUN, and the financial inclusions provided by Islamic banking today have all served as markers of the dedication and commitment of the government and stakeholders to advance the United Nations' goals. AIM, the pioneering microfinance institution, consistently expands its scope and showcases exceptional achievements, as demonstrated by its consecutive recognition with the prestigious "Best Islamic Microfinance </w:t>
      </w:r>
      <w:r w:rsidRPr="009460DA">
        <w:rPr>
          <w:rFonts w:ascii="Cambria" w:hAnsi="Cambria"/>
        </w:rPr>
        <w:lastRenderedPageBreak/>
        <w:t xml:space="preserve">Institution" international award for both 2020 and 2021. The AIM borrowers' track record of payback was emphasized as being above 99%, demonstrating their ability to be financially stable and raise their family's economic standing </w:t>
      </w:r>
      <w:sdt>
        <w:sdtPr>
          <w:rPr>
            <w:rFonts w:ascii="Cambria" w:hAnsi="Cambria"/>
          </w:rPr>
          <w:id w:val="-1004674554"/>
          <w:citation/>
        </w:sdtPr>
        <w:sdtContent>
          <w:r w:rsidR="00902FB4" w:rsidRPr="009460DA">
            <w:rPr>
              <w:rFonts w:ascii="Cambria" w:hAnsi="Cambria"/>
            </w:rPr>
            <w:fldChar w:fldCharType="begin"/>
          </w:r>
          <w:r w:rsidRPr="009460DA">
            <w:rPr>
              <w:rFonts w:ascii="Cambria" w:hAnsi="Cambria"/>
            </w:rPr>
            <w:instrText xml:space="preserve"> CITATION Awa22 \l 1033 </w:instrText>
          </w:r>
          <w:r w:rsidR="00902FB4" w:rsidRPr="009460DA">
            <w:rPr>
              <w:rFonts w:ascii="Cambria" w:hAnsi="Cambria"/>
            </w:rPr>
            <w:fldChar w:fldCharType="separate"/>
          </w:r>
          <w:r w:rsidRPr="009460DA">
            <w:rPr>
              <w:rFonts w:ascii="Cambria" w:hAnsi="Cambria"/>
              <w:noProof/>
            </w:rPr>
            <w:t>(Awani, 2022)</w:t>
          </w:r>
          <w:r w:rsidR="00902FB4" w:rsidRPr="009460DA">
            <w:rPr>
              <w:rFonts w:ascii="Cambria" w:hAnsi="Cambria"/>
            </w:rPr>
            <w:fldChar w:fldCharType="end"/>
          </w:r>
        </w:sdtContent>
      </w:sdt>
      <w:r w:rsidRPr="009460DA">
        <w:rPr>
          <w:rFonts w:ascii="Cambria" w:hAnsi="Cambria"/>
        </w:rPr>
        <w:t xml:space="preserve">. Social capital was also discovered during the program to be a crucial aspect to increase microfinance's effectiveness. But contrary to the bulk of previous findings, this study indicated that the training was not significant. By examining the geographic location and comparing urban and rural locations, it was discovered that the location of microfinance borrowers had little bearing on the empowerment of women. Although it has been said that urban dwellers tend to be more educated and advanced </w:t>
      </w:r>
      <w:sdt>
        <w:sdtPr>
          <w:rPr>
            <w:rFonts w:ascii="Cambria" w:hAnsi="Cambria"/>
          </w:rPr>
          <w:id w:val="1588499187"/>
          <w:citation/>
        </w:sdtPr>
        <w:sdtContent>
          <w:r w:rsidR="00902FB4" w:rsidRPr="009460DA">
            <w:rPr>
              <w:rFonts w:ascii="Cambria" w:hAnsi="Cambria"/>
            </w:rPr>
            <w:fldChar w:fldCharType="begin"/>
          </w:r>
          <w:r w:rsidRPr="009460DA">
            <w:rPr>
              <w:rFonts w:ascii="Cambria" w:hAnsi="Cambria"/>
            </w:rPr>
            <w:instrText xml:space="preserve"> CITATION Hus18 \l 1033 </w:instrText>
          </w:r>
          <w:r w:rsidR="00902FB4" w:rsidRPr="009460DA">
            <w:rPr>
              <w:rFonts w:ascii="Cambria" w:hAnsi="Cambria"/>
            </w:rPr>
            <w:fldChar w:fldCharType="separate"/>
          </w:r>
          <w:r w:rsidRPr="009460DA">
            <w:rPr>
              <w:rFonts w:ascii="Cambria" w:hAnsi="Cambria"/>
              <w:noProof/>
            </w:rPr>
            <w:t>(Hussaini &amp; Chibuzo, 2018)</w:t>
          </w:r>
          <w:r w:rsidR="00902FB4" w:rsidRPr="009460DA">
            <w:rPr>
              <w:rFonts w:ascii="Cambria" w:hAnsi="Cambria"/>
            </w:rPr>
            <w:fldChar w:fldCharType="end"/>
          </w:r>
        </w:sdtContent>
      </w:sdt>
      <w:r w:rsidRPr="009460DA">
        <w:rPr>
          <w:rFonts w:ascii="Cambria" w:hAnsi="Cambria"/>
        </w:rPr>
        <w:t xml:space="preserve">, this does not necessarily translate to a good impact on women's empowerment due to difficulties like difficult access and lengthy wait times in traffic </w:t>
      </w:r>
      <w:sdt>
        <w:sdtPr>
          <w:rPr>
            <w:rFonts w:ascii="Cambria" w:hAnsi="Cambria"/>
          </w:rPr>
          <w:id w:val="1875033340"/>
          <w:citation/>
        </w:sdtPr>
        <w:sdtContent>
          <w:r w:rsidR="00902FB4" w:rsidRPr="009460DA">
            <w:rPr>
              <w:rFonts w:ascii="Cambria" w:hAnsi="Cambria"/>
            </w:rPr>
            <w:fldChar w:fldCharType="begin"/>
          </w:r>
          <w:r w:rsidRPr="009460DA">
            <w:rPr>
              <w:rFonts w:ascii="Cambria" w:hAnsi="Cambria"/>
            </w:rPr>
            <w:instrText xml:space="preserve"> CITATION Ali17 \l 1033 </w:instrText>
          </w:r>
          <w:r w:rsidR="00902FB4" w:rsidRPr="009460DA">
            <w:rPr>
              <w:rFonts w:ascii="Cambria" w:hAnsi="Cambria"/>
            </w:rPr>
            <w:fldChar w:fldCharType="separate"/>
          </w:r>
          <w:r w:rsidRPr="009460DA">
            <w:rPr>
              <w:rFonts w:ascii="Cambria" w:hAnsi="Cambria"/>
              <w:noProof/>
            </w:rPr>
            <w:t>(Alimukhamedova, Filer, &amp; Hanousek, 2017)</w:t>
          </w:r>
          <w:r w:rsidR="00902FB4" w:rsidRPr="009460DA">
            <w:rPr>
              <w:rFonts w:ascii="Cambria" w:hAnsi="Cambria"/>
            </w:rPr>
            <w:fldChar w:fldCharType="end"/>
          </w:r>
        </w:sdtContent>
      </w:sdt>
      <w:r w:rsidRPr="009460DA">
        <w:rPr>
          <w:rFonts w:ascii="Cambria" w:hAnsi="Cambria"/>
        </w:rPr>
        <w:t>.</w:t>
      </w:r>
    </w:p>
    <w:p w:rsidR="004C738B" w:rsidRPr="009460DA" w:rsidRDefault="004C738B" w:rsidP="009460DA">
      <w:pPr>
        <w:pStyle w:val="BodyText"/>
        <w:spacing w:after="0" w:line="240" w:lineRule="auto"/>
        <w:jc w:val="both"/>
        <w:rPr>
          <w:rFonts w:ascii="Cambria" w:hAnsi="Cambria"/>
          <w:sz w:val="20"/>
          <w:szCs w:val="20"/>
        </w:rPr>
      </w:pPr>
    </w:p>
    <w:sdt>
      <w:sdtPr>
        <w:rPr>
          <w:rFonts w:ascii="Cambria" w:eastAsia="SimSun" w:hAnsi="Cambria" w:cs="Arial"/>
          <w:b/>
          <w:bCs/>
          <w:sz w:val="20"/>
          <w:szCs w:val="20"/>
          <w:lang w:val="en-US" w:eastAsia="zh-CN"/>
        </w:rPr>
        <w:id w:val="-2032561729"/>
        <w:docPartObj>
          <w:docPartGallery w:val="Bibliographies"/>
          <w:docPartUnique/>
        </w:docPartObj>
      </w:sdtPr>
      <w:sdtEndPr>
        <w:rPr>
          <w:b w:val="0"/>
          <w:bCs w:val="0"/>
        </w:rPr>
      </w:sdtEndPr>
      <w:sdtContent>
        <w:p w:rsidR="004C738B" w:rsidRPr="009460DA" w:rsidRDefault="004C738B" w:rsidP="009460DA">
          <w:pPr>
            <w:pStyle w:val="BodyText"/>
            <w:spacing w:after="0" w:line="240" w:lineRule="auto"/>
            <w:jc w:val="both"/>
            <w:rPr>
              <w:rFonts w:ascii="Cambria" w:hAnsi="Cambria"/>
              <w:sz w:val="20"/>
              <w:szCs w:val="20"/>
            </w:rPr>
          </w:pPr>
          <w:r w:rsidRPr="009460DA">
            <w:rPr>
              <w:rFonts w:ascii="Cambria" w:hAnsi="Cambria"/>
              <w:b/>
              <w:sz w:val="20"/>
              <w:szCs w:val="20"/>
            </w:rPr>
            <w:t>References</w:t>
          </w:r>
        </w:p>
        <w:p w:rsidR="004C738B" w:rsidRPr="009460DA" w:rsidRDefault="004C738B" w:rsidP="009460DA">
          <w:pPr>
            <w:pStyle w:val="BodyText"/>
            <w:spacing w:after="0" w:line="240" w:lineRule="auto"/>
            <w:jc w:val="both"/>
            <w:rPr>
              <w:rFonts w:ascii="Cambria" w:hAnsi="Cambria"/>
              <w:sz w:val="20"/>
              <w:szCs w:val="20"/>
            </w:rPr>
          </w:pPr>
        </w:p>
        <w:sdt>
          <w:sdtPr>
            <w:rPr>
              <w:rFonts w:ascii="Cambria" w:hAnsi="Cambria"/>
              <w:sz w:val="20"/>
              <w:szCs w:val="20"/>
            </w:rPr>
            <w:id w:val="-573587230"/>
            <w:bibliography/>
          </w:sdtPr>
          <w:sdtContent>
            <w:p w:rsidR="004C738B" w:rsidRPr="009460DA" w:rsidRDefault="00902FB4" w:rsidP="009460DA">
              <w:pPr>
                <w:pStyle w:val="Bibliography"/>
                <w:spacing w:after="0" w:line="240" w:lineRule="auto"/>
                <w:ind w:left="720" w:hanging="720"/>
                <w:jc w:val="both"/>
                <w:rPr>
                  <w:rFonts w:ascii="Cambria" w:hAnsi="Cambria"/>
                  <w:noProof/>
                  <w:sz w:val="20"/>
                  <w:szCs w:val="20"/>
                </w:rPr>
              </w:pPr>
              <w:r w:rsidRPr="00902FB4">
                <w:rPr>
                  <w:rFonts w:ascii="Cambria" w:hAnsi="Cambria"/>
                  <w:sz w:val="20"/>
                  <w:szCs w:val="20"/>
                </w:rPr>
                <w:fldChar w:fldCharType="begin"/>
              </w:r>
              <w:r w:rsidR="004C738B" w:rsidRPr="009460DA">
                <w:rPr>
                  <w:rFonts w:ascii="Cambria" w:hAnsi="Cambria"/>
                  <w:sz w:val="20"/>
                  <w:szCs w:val="20"/>
                </w:rPr>
                <w:instrText xml:space="preserve"> BIBLIOGRAPHY </w:instrText>
              </w:r>
              <w:r w:rsidRPr="00902FB4">
                <w:rPr>
                  <w:rFonts w:ascii="Cambria" w:hAnsi="Cambria"/>
                  <w:sz w:val="20"/>
                  <w:szCs w:val="20"/>
                </w:rPr>
                <w:fldChar w:fldCharType="separate"/>
              </w:r>
              <w:r w:rsidR="004C738B" w:rsidRPr="009460DA">
                <w:rPr>
                  <w:rFonts w:ascii="Cambria" w:hAnsi="Cambria"/>
                  <w:noProof/>
                  <w:sz w:val="20"/>
                  <w:szCs w:val="20"/>
                </w:rPr>
                <w:t xml:space="preserve">Acosta, L. (2013). </w:t>
              </w:r>
              <w:r w:rsidR="004C738B" w:rsidRPr="009460DA">
                <w:rPr>
                  <w:rFonts w:ascii="Cambria" w:hAnsi="Cambria"/>
                  <w:iCs/>
                  <w:noProof/>
                  <w:sz w:val="20"/>
                  <w:szCs w:val="20"/>
                </w:rPr>
                <w:t>Economic Empowerment Of Women</w:t>
              </w:r>
              <w:r w:rsidR="004C738B" w:rsidRPr="009460DA">
                <w:rPr>
                  <w:rFonts w:ascii="Cambria" w:hAnsi="Cambria"/>
                  <w:noProof/>
                  <w:sz w:val="20"/>
                  <w:szCs w:val="20"/>
                </w:rPr>
                <w:t>. Retrieved from UN Women: https://www.unwomen.org/sites/default/files/Headquarters/Attachments/Sections/Library/Publications/2013/12/UN%20Women_EE-Thematic-Brief_US-web%20pdf.pdf</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Adhariani, D. (2022). Microfinance and the Role of Accounting in Supporting Family-Resilience-Based Women’s Empowerment. </w:t>
              </w:r>
              <w:r w:rsidRPr="009460DA">
                <w:rPr>
                  <w:rFonts w:ascii="Cambria" w:hAnsi="Cambria"/>
                  <w:i/>
                  <w:iCs/>
                  <w:noProof/>
                  <w:sz w:val="20"/>
                  <w:szCs w:val="20"/>
                </w:rPr>
                <w:t>Qualitative Report.</w:t>
              </w:r>
              <w:r w:rsidRPr="009460DA">
                <w:rPr>
                  <w:rFonts w:ascii="Cambria" w:hAnsi="Cambria"/>
                  <w:noProof/>
                  <w:sz w:val="20"/>
                  <w:szCs w:val="20"/>
                </w:rPr>
                <w:t>, 27(2), 366–384.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Ado, B. &amp; Mata, K. (2020). The Effect of Social Capital on the Performance of Women Entrepreneurs. </w:t>
              </w:r>
              <w:r w:rsidRPr="009460DA">
                <w:rPr>
                  <w:rFonts w:ascii="Cambria" w:hAnsi="Cambria"/>
                  <w:iCs/>
                  <w:noProof/>
                  <w:sz w:val="20"/>
                  <w:szCs w:val="20"/>
                </w:rPr>
                <w:t xml:space="preserve">European </w:t>
              </w:r>
              <w:bookmarkStart w:id="6" w:name="_GoBack"/>
              <w:bookmarkEnd w:id="6"/>
              <w:r w:rsidRPr="009460DA">
                <w:rPr>
                  <w:rFonts w:ascii="Cambria" w:hAnsi="Cambria"/>
                  <w:iCs/>
                  <w:noProof/>
                  <w:sz w:val="20"/>
                  <w:szCs w:val="20"/>
                </w:rPr>
                <w:t>Journal of Business and Management</w:t>
              </w:r>
              <w:r w:rsidRPr="009460DA">
                <w:rPr>
                  <w:rFonts w:ascii="Cambria" w:hAnsi="Cambria"/>
                  <w:noProof/>
                  <w:sz w:val="20"/>
                  <w:szCs w:val="20"/>
                </w:rPr>
                <w:t>, 82–90.</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AIM. (2008). </w:t>
              </w:r>
              <w:r w:rsidRPr="009460DA">
                <w:rPr>
                  <w:rFonts w:ascii="Cambria" w:hAnsi="Cambria"/>
                  <w:iCs/>
                  <w:noProof/>
                  <w:sz w:val="20"/>
                  <w:szCs w:val="20"/>
                </w:rPr>
                <w:t>Pembangunan Lestari Keluarga Miskin Melalui Kewangan Mikro-Penemuan Kajian Impak 6.</w:t>
              </w:r>
              <w:r w:rsidRPr="009460DA">
                <w:rPr>
                  <w:rFonts w:ascii="Cambria" w:hAnsi="Cambria"/>
                  <w:noProof/>
                  <w:sz w:val="20"/>
                  <w:szCs w:val="20"/>
                </w:rPr>
                <w:t xml:space="preserve"> Amanah Ikhtiar Malaysia.</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AIM. (2015). </w:t>
              </w:r>
              <w:r w:rsidRPr="009460DA">
                <w:rPr>
                  <w:rFonts w:ascii="Cambria" w:hAnsi="Cambria"/>
                  <w:iCs/>
                  <w:noProof/>
                  <w:sz w:val="20"/>
                  <w:szCs w:val="20"/>
                </w:rPr>
                <w:t>Kajian Impak Skim Pembiayaan Amanah Ikhtiar Terhadap Peningkatan Taraf Hidup Sahabat (Kajian Impak 7).</w:t>
              </w:r>
              <w:r w:rsidRPr="009460DA">
                <w:rPr>
                  <w:rFonts w:ascii="Cambria" w:hAnsi="Cambria"/>
                  <w:noProof/>
                  <w:sz w:val="20"/>
                  <w:szCs w:val="20"/>
                </w:rPr>
                <w:t xml:space="preserve"> Amanah Ikhtiar Malaysia.</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Akingunola, R. O., Olowofela, E. O. &amp; Yunusa, L. (2018). Impact of Microfinance Banks on Micro and Small Enterprises in Ogun State, Nigeria. </w:t>
              </w:r>
              <w:r w:rsidRPr="009460DA">
                <w:rPr>
                  <w:rFonts w:ascii="Cambria" w:hAnsi="Cambria"/>
                  <w:i/>
                  <w:iCs/>
                  <w:noProof/>
                  <w:sz w:val="20"/>
                  <w:szCs w:val="20"/>
                </w:rPr>
                <w:t>Binus Business Review</w:t>
              </w:r>
              <w:r w:rsidRPr="009460DA">
                <w:rPr>
                  <w:rFonts w:ascii="Cambria" w:hAnsi="Cambria"/>
                  <w:noProof/>
                  <w:sz w:val="20"/>
                  <w:szCs w:val="20"/>
                </w:rPr>
                <w:t>, 9(2), 163–169.</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Aktaruzzaman, K. &amp; Farooq, O. (2020). Microfinance and Domestic Violence. </w:t>
              </w:r>
              <w:r w:rsidRPr="009460DA">
                <w:rPr>
                  <w:rFonts w:ascii="Cambria" w:hAnsi="Cambria"/>
                  <w:iCs/>
                  <w:noProof/>
                  <w:sz w:val="20"/>
                  <w:szCs w:val="20"/>
                </w:rPr>
                <w:t>The Journal of Adult Protection</w:t>
              </w:r>
              <w:r w:rsidRPr="009460DA">
                <w:rPr>
                  <w:rFonts w:ascii="Cambria" w:hAnsi="Cambria"/>
                  <w:noProof/>
                  <w:sz w:val="20"/>
                  <w:szCs w:val="20"/>
                </w:rPr>
                <w:t>, 333-351.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Ali, A. M. &amp; Aziz, M. A. (2014). Zakat Poverty Line Index and Gender Poverty in Malaysia: Some Issues and Practices. </w:t>
              </w:r>
              <w:r w:rsidRPr="009460DA">
                <w:rPr>
                  <w:rFonts w:ascii="Cambria" w:hAnsi="Cambria"/>
                  <w:iCs/>
                  <w:noProof/>
                  <w:sz w:val="20"/>
                  <w:szCs w:val="20"/>
                </w:rPr>
                <w:t>International Journal of Business and Social Science</w:t>
              </w:r>
              <w:r w:rsidRPr="009460DA">
                <w:rPr>
                  <w:rFonts w:ascii="Cambria" w:hAnsi="Cambria"/>
                  <w:noProof/>
                  <w:sz w:val="20"/>
                  <w:szCs w:val="20"/>
                </w:rPr>
                <w:t>, 286-293.</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Alimukhamedova, N., Filer, R. &amp; Hanousek, J. (2017). The importance of geographic access for the impact of microfinance. </w:t>
              </w:r>
              <w:r w:rsidRPr="009460DA">
                <w:rPr>
                  <w:rFonts w:ascii="Cambria" w:hAnsi="Cambria"/>
                  <w:i/>
                  <w:iCs/>
                  <w:noProof/>
                  <w:sz w:val="20"/>
                  <w:szCs w:val="20"/>
                </w:rPr>
                <w:t>Development Policy Review</w:t>
              </w:r>
              <w:r w:rsidRPr="009460DA">
                <w:rPr>
                  <w:rFonts w:ascii="Cambria" w:hAnsi="Cambria"/>
                  <w:noProof/>
                  <w:sz w:val="20"/>
                  <w:szCs w:val="20"/>
                </w:rPr>
                <w:t>, 35(5), 645–657.</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Al-Shami, S. S., Majid, I., Rizal, S., Muhamad, M. R., Sarah, H. &amp; Rashid, N. (2015). The Impact of Malaysian Microfinance on Women’s Livelihood. </w:t>
              </w:r>
              <w:r w:rsidRPr="009460DA">
                <w:rPr>
                  <w:rFonts w:ascii="Cambria" w:hAnsi="Cambria"/>
                  <w:iCs/>
                  <w:noProof/>
                  <w:sz w:val="20"/>
                  <w:szCs w:val="20"/>
                </w:rPr>
                <w:t>Advanced Science Letters</w:t>
              </w:r>
              <w:r w:rsidRPr="009460DA">
                <w:rPr>
                  <w:rFonts w:ascii="Cambria" w:hAnsi="Cambria"/>
                  <w:noProof/>
                  <w:sz w:val="20"/>
                  <w:szCs w:val="20"/>
                </w:rPr>
                <w:t>, 2046–2049.</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Al-Shami, S., Razali, M., Majid, I., Rozelan, A. &amp; Rashid, N. (2016). The effect of microfinance on women’s empowerment: Evidence from Malaysia. </w:t>
              </w:r>
              <w:r w:rsidRPr="009460DA">
                <w:rPr>
                  <w:rFonts w:ascii="Cambria" w:hAnsi="Cambria"/>
                  <w:i/>
                  <w:iCs/>
                  <w:noProof/>
                  <w:sz w:val="20"/>
                  <w:szCs w:val="20"/>
                </w:rPr>
                <w:t>Asian Journal of Women's Studies</w:t>
              </w:r>
              <w:r w:rsidRPr="009460DA">
                <w:rPr>
                  <w:rFonts w:ascii="Cambria" w:hAnsi="Cambria"/>
                  <w:noProof/>
                  <w:sz w:val="20"/>
                  <w:szCs w:val="20"/>
                </w:rPr>
                <w:t>, 22(3), 318-337.</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Awang, Z., Afthanorhan, A. &amp; Asri, M. M. (2015). Parametric and Non Parametric Approach in Structural Equation Modeling (SEM): The Application of Bootstrapping. </w:t>
              </w:r>
              <w:r w:rsidRPr="009460DA">
                <w:rPr>
                  <w:rFonts w:ascii="Cambria" w:hAnsi="Cambria"/>
                  <w:i/>
                  <w:iCs/>
                  <w:noProof/>
                  <w:sz w:val="20"/>
                  <w:szCs w:val="20"/>
                </w:rPr>
                <w:t>Modern Applied Science</w:t>
              </w:r>
              <w:r w:rsidRPr="009460DA">
                <w:rPr>
                  <w:rFonts w:ascii="Cambria" w:hAnsi="Cambria"/>
                  <w:noProof/>
                  <w:sz w:val="20"/>
                  <w:szCs w:val="20"/>
                </w:rPr>
                <w:t>, 9, 58-67.</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Awani, A. (2022). </w:t>
              </w:r>
              <w:r w:rsidRPr="009460DA">
                <w:rPr>
                  <w:rFonts w:ascii="Cambria" w:hAnsi="Cambria"/>
                  <w:iCs/>
                  <w:noProof/>
                  <w:sz w:val="20"/>
                  <w:szCs w:val="20"/>
                </w:rPr>
                <w:t>AIM Terima Pengiktirafan Antarbangsa Institusi Mikrokredit Terbaik.</w:t>
              </w:r>
              <w:r w:rsidRPr="009460DA">
                <w:rPr>
                  <w:rFonts w:ascii="Cambria" w:hAnsi="Cambria"/>
                  <w:noProof/>
                  <w:sz w:val="20"/>
                  <w:szCs w:val="20"/>
                </w:rPr>
                <w:t xml:space="preserve"> Retrieved from Astro Awani: https://www.astroawani.com/berita-bisnes/aim-terima-pengiktirafan-antarabangsa-institusi-mikrokredit-terbaik-354818?amp=1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Basaffar, A., Niehm, L. &amp; Bosselman, R. (2018). Saudi Arabian Women In Entrepreneurship: Challenges, Opportunities And Potential. </w:t>
              </w:r>
              <w:r w:rsidRPr="009460DA">
                <w:rPr>
                  <w:rFonts w:ascii="Cambria" w:hAnsi="Cambria"/>
                  <w:iCs/>
                  <w:noProof/>
                  <w:sz w:val="20"/>
                  <w:szCs w:val="20"/>
                </w:rPr>
                <w:t>Journal of Developmental Entrepreneurship.</w:t>
              </w:r>
              <w:r w:rsidRPr="009460DA">
                <w:rPr>
                  <w:rFonts w:ascii="Cambria" w:hAnsi="Cambria"/>
                  <w:noProof/>
                  <w:sz w:val="20"/>
                  <w:szCs w:val="20"/>
                </w:rPr>
                <w:t>, 23.</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Basit, A., Hassan, Z. &amp; Sethu, S. (2020). Entrepreneurial Success: Key Challenges Faced by Malaysian Women Entrepreneurs in the 21st Century. </w:t>
              </w:r>
              <w:r w:rsidRPr="009460DA">
                <w:rPr>
                  <w:rFonts w:ascii="Cambria" w:hAnsi="Cambria"/>
                  <w:iCs/>
                  <w:noProof/>
                  <w:sz w:val="20"/>
                  <w:szCs w:val="20"/>
                </w:rPr>
                <w:t>International Journal of Business and Management</w:t>
              </w:r>
              <w:r w:rsidRPr="009460DA">
                <w:rPr>
                  <w:rFonts w:ascii="Cambria" w:hAnsi="Cambria"/>
                  <w:noProof/>
                  <w:sz w:val="20"/>
                  <w:szCs w:val="20"/>
                </w:rPr>
                <w:t>, 122-138.</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Bembenutty, H., White, M. &amp; DiBenedetto, M. (2016). Applying social cognitive theory in the development of self-regulated competencies throughout K-12 grades. Psychosocial skills and school systems in the 21st century. </w:t>
              </w:r>
              <w:r w:rsidRPr="009460DA">
                <w:rPr>
                  <w:rFonts w:ascii="Cambria" w:hAnsi="Cambria"/>
                  <w:iCs/>
                  <w:noProof/>
                  <w:sz w:val="20"/>
                  <w:szCs w:val="20"/>
                </w:rPr>
                <w:t>Theory, Research, and Practice.</w:t>
              </w:r>
              <w:r w:rsidRPr="009460DA">
                <w:rPr>
                  <w:rFonts w:ascii="Cambria" w:hAnsi="Cambria"/>
                  <w:noProof/>
                  <w:sz w:val="20"/>
                  <w:szCs w:val="20"/>
                </w:rPr>
                <w:t>, 215-239.</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Bhumeeka, B., Kumari, N., Pallavi, Ahmed, A. &amp; Pandey, S. M. (2023). Empowering The Women Through Microfinance In India. </w:t>
              </w:r>
              <w:r w:rsidRPr="009460DA">
                <w:rPr>
                  <w:rFonts w:ascii="Cambria" w:hAnsi="Cambria"/>
                  <w:iCs/>
                  <w:noProof/>
                  <w:sz w:val="20"/>
                  <w:szCs w:val="20"/>
                </w:rPr>
                <w:t>European Journal of Molecular &amp; Clinical Medicine</w:t>
              </w:r>
              <w:r w:rsidRPr="009460DA">
                <w:rPr>
                  <w:rFonts w:ascii="Cambria" w:hAnsi="Cambria"/>
                  <w:noProof/>
                  <w:sz w:val="20"/>
                  <w:szCs w:val="20"/>
                </w:rPr>
                <w:t>, 617-620.</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Brush, C., De Bruin, A. &amp; Welter, F. (2009). A Gender-Aware Framework for Women's Entrepreneurship. </w:t>
              </w:r>
              <w:r w:rsidRPr="009460DA">
                <w:rPr>
                  <w:rFonts w:ascii="Cambria" w:hAnsi="Cambria"/>
                  <w:iCs/>
                  <w:noProof/>
                  <w:sz w:val="20"/>
                  <w:szCs w:val="20"/>
                </w:rPr>
                <w:t>International Journal of Gender and Entrepreneurship</w:t>
              </w:r>
              <w:r w:rsidRPr="009460DA">
                <w:rPr>
                  <w:rFonts w:ascii="Cambria" w:hAnsi="Cambria"/>
                  <w:noProof/>
                  <w:sz w:val="20"/>
                  <w:szCs w:val="20"/>
                </w:rPr>
                <w:t>, 8-24.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Chowdhury, M. (2007). Overcoming entrepreneurship development constraints: the case of Bangladesh. </w:t>
              </w:r>
              <w:r w:rsidRPr="009460DA">
                <w:rPr>
                  <w:rFonts w:ascii="Cambria" w:hAnsi="Cambria"/>
                  <w:iCs/>
                  <w:noProof/>
                  <w:sz w:val="20"/>
                  <w:szCs w:val="20"/>
                </w:rPr>
                <w:t>Journal of Enterprising Communities: People and Places in the Global Economy.</w:t>
              </w:r>
              <w:r w:rsidRPr="009460DA">
                <w:rPr>
                  <w:rFonts w:ascii="Cambria" w:hAnsi="Cambria"/>
                  <w:noProof/>
                  <w:sz w:val="20"/>
                  <w:szCs w:val="20"/>
                </w:rPr>
                <w:t xml:space="preserve"> </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DOSM. (2022). </w:t>
              </w:r>
              <w:r w:rsidRPr="009460DA">
                <w:rPr>
                  <w:rFonts w:ascii="Cambria" w:hAnsi="Cambria"/>
                  <w:iCs/>
                  <w:noProof/>
                  <w:sz w:val="20"/>
                  <w:szCs w:val="20"/>
                </w:rPr>
                <w:t>Department of Statistics (DOSM)</w:t>
              </w:r>
              <w:r w:rsidRPr="009460DA">
                <w:rPr>
                  <w:rFonts w:ascii="Cambria" w:hAnsi="Cambria"/>
                  <w:noProof/>
                  <w:sz w:val="20"/>
                  <w:szCs w:val="20"/>
                </w:rPr>
                <w:t>. Retrieved from “Salaries &amp; Wages Survey Report, Malaysia, 2020.</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Duvendack, M. &amp; Mader, P. (2019). Impact of financial inclusion in low‐ and middle‐income countries: A systematic review of reviews. </w:t>
              </w:r>
              <w:r w:rsidRPr="009460DA">
                <w:rPr>
                  <w:rFonts w:ascii="Cambria" w:hAnsi="Cambria"/>
                  <w:i/>
                  <w:iCs/>
                  <w:noProof/>
                  <w:sz w:val="20"/>
                  <w:szCs w:val="20"/>
                </w:rPr>
                <w:t>Campbell Systematic Reviews.</w:t>
              </w:r>
              <w:r w:rsidRPr="009460DA">
                <w:rPr>
                  <w:rFonts w:ascii="Cambria" w:hAnsi="Cambria"/>
                  <w:noProof/>
                  <w:sz w:val="20"/>
                  <w:szCs w:val="20"/>
                </w:rPr>
                <w:t>, 15(1–2).</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Faridi, M., Nawaz, S. &amp; Bibi, S. (2022). Islamic Microfinance and Women Entrepreneurial Success: Mediating Role of Human Capital. </w:t>
              </w:r>
              <w:r w:rsidRPr="009460DA">
                <w:rPr>
                  <w:rFonts w:ascii="Cambria" w:hAnsi="Cambria"/>
                  <w:i/>
                  <w:iCs/>
                  <w:noProof/>
                  <w:sz w:val="20"/>
                  <w:szCs w:val="20"/>
                </w:rPr>
                <w:t>Journal of Accounting and Finance in Emerging Economies</w:t>
              </w:r>
              <w:r w:rsidRPr="009460DA">
                <w:rPr>
                  <w:rFonts w:ascii="Cambria" w:hAnsi="Cambria"/>
                  <w:noProof/>
                  <w:sz w:val="20"/>
                  <w:szCs w:val="20"/>
                </w:rPr>
                <w:t>, 8(1), 1–12.</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Gefen, D., Rigdon, E. &amp; Straub, D. (2011). An Update and Extension to SEM Guidelines for Administrative and Social Science Research. </w:t>
              </w:r>
              <w:r w:rsidRPr="009460DA">
                <w:rPr>
                  <w:rFonts w:ascii="Cambria" w:hAnsi="Cambria"/>
                  <w:i/>
                  <w:iCs/>
                  <w:noProof/>
                  <w:sz w:val="20"/>
                  <w:szCs w:val="20"/>
                </w:rPr>
                <w:t>MIS Quarterly</w:t>
              </w:r>
              <w:r w:rsidRPr="009460DA">
                <w:rPr>
                  <w:rFonts w:ascii="Cambria" w:hAnsi="Cambria"/>
                  <w:noProof/>
                  <w:sz w:val="20"/>
                  <w:szCs w:val="20"/>
                </w:rPr>
                <w:t>, 35, III–XII.</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Geta, E. &amp; Tilahun, H. (2017). Access to Microcredit and its Effect on Crop Productivity and Household Income in Hawassa Zuria District of Sidama Zone Southern Ethiopia. </w:t>
              </w:r>
              <w:r w:rsidRPr="009460DA">
                <w:rPr>
                  <w:rFonts w:ascii="Cambria" w:hAnsi="Cambria"/>
                  <w:iCs/>
                  <w:noProof/>
                  <w:sz w:val="20"/>
                  <w:szCs w:val="20"/>
                </w:rPr>
                <w:t>Global Journal of Current Research</w:t>
              </w:r>
              <w:r w:rsidRPr="009460DA">
                <w:rPr>
                  <w:rFonts w:ascii="Cambria" w:hAnsi="Cambria"/>
                  <w:noProof/>
                  <w:sz w:val="20"/>
                  <w:szCs w:val="20"/>
                </w:rPr>
                <w:t>, 128–134.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Haider, S., Asad, M., Fatima, M. &amp; Zain, U. R. (2017). Microfinance and Performance of Micro and Small Enterprises: Does Training Have an Impact? </w:t>
              </w:r>
              <w:r w:rsidRPr="009460DA">
                <w:rPr>
                  <w:rFonts w:ascii="Cambria" w:hAnsi="Cambria"/>
                  <w:i/>
                  <w:iCs/>
                  <w:noProof/>
                  <w:sz w:val="20"/>
                  <w:szCs w:val="20"/>
                </w:rPr>
                <w:t>Journal of Entrepreneurship and Business Innovation</w:t>
              </w:r>
              <w:r w:rsidRPr="009460DA">
                <w:rPr>
                  <w:rFonts w:ascii="Cambria" w:hAnsi="Cambria"/>
                  <w:noProof/>
                  <w:sz w:val="20"/>
                  <w:szCs w:val="20"/>
                </w:rPr>
                <w:t>, 4(1), 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Hair, F. J., Sarstedt, M., Hopkins, L. &amp; Kuppelwieser, V. (2014). Partial least squares structural equation modeling (PLS-SEM): An emerging tool in business research. </w:t>
              </w:r>
              <w:r w:rsidRPr="009460DA">
                <w:rPr>
                  <w:rFonts w:ascii="Cambria" w:hAnsi="Cambria"/>
                  <w:i/>
                  <w:iCs/>
                  <w:noProof/>
                  <w:sz w:val="20"/>
                  <w:szCs w:val="20"/>
                </w:rPr>
                <w:t>European Business Review</w:t>
              </w:r>
              <w:r w:rsidRPr="009460DA">
                <w:rPr>
                  <w:rFonts w:ascii="Cambria" w:hAnsi="Cambria"/>
                  <w:noProof/>
                  <w:sz w:val="20"/>
                  <w:szCs w:val="20"/>
                </w:rPr>
                <w:t>, 26(2), 106–121.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Hameed, W. U. (2019). </w:t>
              </w:r>
              <w:r w:rsidRPr="009460DA">
                <w:rPr>
                  <w:rFonts w:ascii="Cambria" w:hAnsi="Cambria"/>
                  <w:iCs/>
                  <w:noProof/>
                  <w:sz w:val="20"/>
                  <w:szCs w:val="20"/>
                </w:rPr>
                <w:t>The Effects Of Microfinance Factors, Social Capital And Vulnerability On Women-Empowerment In Southern Punjab, Pakistan.</w:t>
              </w:r>
              <w:r w:rsidRPr="009460DA">
                <w:rPr>
                  <w:rFonts w:ascii="Cambria" w:hAnsi="Cambria"/>
                  <w:noProof/>
                  <w:sz w:val="20"/>
                  <w:szCs w:val="20"/>
                </w:rPr>
                <w:t xml:space="preserve"> Sintok: UUM.</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Hansen, N., Huis, M. A. &amp; Lensink, R. (2020). </w:t>
              </w:r>
              <w:r w:rsidRPr="009460DA">
                <w:rPr>
                  <w:rFonts w:ascii="Cambria" w:hAnsi="Cambria"/>
                  <w:iCs/>
                  <w:noProof/>
                  <w:sz w:val="20"/>
                  <w:szCs w:val="20"/>
                </w:rPr>
                <w:t>Microfinance Services and Women’s Empowerment.</w:t>
              </w:r>
              <w:r w:rsidRPr="009460DA">
                <w:rPr>
                  <w:rFonts w:ascii="Cambria" w:hAnsi="Cambria"/>
                  <w:noProof/>
                  <w:sz w:val="20"/>
                  <w:szCs w:val="20"/>
                </w:rPr>
                <w:t xml:space="preserve"> San-Jose, L., Retolaza, J., van Liedekerke, L.: Handbook on Ethics in Finance. International Handbooks in Business Ethics. Springer, Cham.</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Henseler, J., Ringle, C. &amp; Sarstedt, M. (2015). A New Criterion for Assessing Discriminant Validity in Variance-based Structural Equation Modeling. </w:t>
              </w:r>
              <w:r w:rsidRPr="009460DA">
                <w:rPr>
                  <w:rFonts w:ascii="Cambria" w:hAnsi="Cambria"/>
                  <w:i/>
                  <w:iCs/>
                  <w:noProof/>
                  <w:sz w:val="20"/>
                  <w:szCs w:val="20"/>
                </w:rPr>
                <w:t>Journal of the Academy of Marketing Science</w:t>
              </w:r>
              <w:r w:rsidRPr="009460DA">
                <w:rPr>
                  <w:rFonts w:ascii="Cambria" w:hAnsi="Cambria"/>
                  <w:noProof/>
                  <w:sz w:val="20"/>
                  <w:szCs w:val="20"/>
                </w:rPr>
                <w:t>, 43, 115–135.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Hossain, F. &amp; Knight, T. (2008). Can micro-credit improve the livelihoods of the poor and disadvantaged? </w:t>
              </w:r>
              <w:r w:rsidRPr="009460DA">
                <w:rPr>
                  <w:rFonts w:ascii="Cambria" w:hAnsi="Cambria"/>
                  <w:i/>
                  <w:iCs/>
                  <w:noProof/>
                  <w:sz w:val="20"/>
                  <w:szCs w:val="20"/>
                </w:rPr>
                <w:t>International Development Planning Review</w:t>
              </w:r>
              <w:r w:rsidRPr="009460DA">
                <w:rPr>
                  <w:rFonts w:ascii="Cambria" w:hAnsi="Cambria"/>
                  <w:noProof/>
                  <w:sz w:val="20"/>
                  <w:szCs w:val="20"/>
                </w:rPr>
                <w:t>, 30(2).</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Hussaini, U. &amp; Chibuzo, I. (2018). The effects of financial inclusion on poverty reduction: The moderating effects of microfinance. </w:t>
              </w:r>
              <w:r w:rsidRPr="009460DA">
                <w:rPr>
                  <w:rFonts w:ascii="Cambria" w:hAnsi="Cambria"/>
                  <w:i/>
                  <w:iCs/>
                  <w:noProof/>
                  <w:sz w:val="20"/>
                  <w:szCs w:val="20"/>
                </w:rPr>
                <w:t>International Journal of Multidisciplinary Research and Development</w:t>
              </w:r>
              <w:r w:rsidRPr="009460DA">
                <w:rPr>
                  <w:rFonts w:ascii="Cambria" w:hAnsi="Cambria"/>
                  <w:noProof/>
                  <w:sz w:val="20"/>
                  <w:szCs w:val="20"/>
                </w:rPr>
                <w:t>, 5(12), 188–198.</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Islam, M. T., Shrabani, S. &amp; Mahfuzur, R. (2023). Diversity–performance nexus in an emerging economy: an investigation of family and non-family firms. </w:t>
              </w:r>
              <w:r w:rsidRPr="009460DA">
                <w:rPr>
                  <w:rFonts w:ascii="Cambria" w:hAnsi="Cambria"/>
                  <w:iCs/>
                  <w:noProof/>
                  <w:sz w:val="20"/>
                  <w:szCs w:val="20"/>
                </w:rPr>
                <w:t>International Journal of Emerging Markets.</w:t>
              </w:r>
              <w:r w:rsidRPr="009460DA">
                <w:rPr>
                  <w:rFonts w:ascii="Cambria" w:hAnsi="Cambria"/>
                  <w:noProof/>
                  <w:sz w:val="20"/>
                  <w:szCs w:val="20"/>
                </w:rPr>
                <w:t xml:space="preserve"> </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Jamal, M. A., Raihana, A. A. &amp; Sultana, Y. H. (2016). Empowerment of Muslim women through microfinance and self-help groups: A case study of Chennai City. </w:t>
              </w:r>
              <w:r w:rsidRPr="009460DA">
                <w:rPr>
                  <w:rFonts w:ascii="Cambria" w:hAnsi="Cambria"/>
                  <w:iCs/>
                  <w:noProof/>
                  <w:sz w:val="20"/>
                  <w:szCs w:val="20"/>
                </w:rPr>
                <w:t>Asian Business Review</w:t>
              </w:r>
              <w:r w:rsidRPr="009460DA">
                <w:rPr>
                  <w:rFonts w:ascii="Cambria" w:hAnsi="Cambria"/>
                  <w:noProof/>
                  <w:sz w:val="20"/>
                  <w:szCs w:val="20"/>
                </w:rPr>
                <w:t>, 117-124.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Joshi, G. (2019). An analysis of women’s self-help groups’ involvement in microfinance programs in India. </w:t>
              </w:r>
              <w:r w:rsidRPr="009460DA">
                <w:rPr>
                  <w:rFonts w:ascii="Cambria" w:hAnsi="Cambria"/>
                  <w:i/>
                  <w:iCs/>
                  <w:noProof/>
                  <w:sz w:val="20"/>
                  <w:szCs w:val="20"/>
                </w:rPr>
                <w:t>Rajagiri Management Journal</w:t>
              </w:r>
              <w:r w:rsidRPr="009460DA">
                <w:rPr>
                  <w:rFonts w:ascii="Cambria" w:hAnsi="Cambria"/>
                  <w:noProof/>
                  <w:sz w:val="20"/>
                  <w:szCs w:val="20"/>
                </w:rPr>
                <w:t>, 13(2), 2–11.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Kamaluddin, A., Hadi, N. A., Alam, M. M. &amp; Adil, M. M. (2015). Social collateral model for Islamic microfinance. </w:t>
              </w:r>
              <w:r w:rsidRPr="009460DA">
                <w:rPr>
                  <w:rFonts w:ascii="Cambria" w:hAnsi="Cambria"/>
                  <w:i/>
                  <w:iCs/>
                  <w:noProof/>
                  <w:sz w:val="20"/>
                  <w:szCs w:val="20"/>
                </w:rPr>
                <w:t>The Journal of Developing Areas</w:t>
              </w:r>
              <w:r w:rsidRPr="009460DA">
                <w:rPr>
                  <w:rFonts w:ascii="Cambria" w:hAnsi="Cambria"/>
                  <w:noProof/>
                  <w:sz w:val="20"/>
                  <w:szCs w:val="20"/>
                </w:rPr>
                <w:t xml:space="preserve">, 49(5), 353-363. </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Kapila, M., Singla, A. &amp; Gupta, M. L. (2016). Impact of microcredit on women empowerment in India: An empirical study of Punjab state. </w:t>
              </w:r>
              <w:r w:rsidRPr="009460DA">
                <w:rPr>
                  <w:rFonts w:ascii="Cambria" w:hAnsi="Cambria"/>
                  <w:iCs/>
                  <w:noProof/>
                  <w:sz w:val="20"/>
                  <w:szCs w:val="20"/>
                </w:rPr>
                <w:t>Proceedings of the World Congress on Engineering</w:t>
              </w:r>
              <w:r w:rsidRPr="009460DA">
                <w:rPr>
                  <w:rFonts w:ascii="Cambria" w:hAnsi="Cambria"/>
                  <w:noProof/>
                  <w:sz w:val="20"/>
                  <w:szCs w:val="20"/>
                </w:rPr>
                <w:t xml:space="preserve"> (p. Vol 2). London: Newswood Limited.</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Kelley, D., Baumer, B., Brush, C., Greene, P., Mahdavi, M., Majbouri, M. &amp; Heavlow, R. (2017). </w:t>
              </w:r>
              <w:r w:rsidRPr="009460DA">
                <w:rPr>
                  <w:rFonts w:ascii="Cambria" w:hAnsi="Cambria"/>
                  <w:iCs/>
                  <w:noProof/>
                  <w:sz w:val="20"/>
                  <w:szCs w:val="20"/>
                </w:rPr>
                <w:t>Women’s Entrepreneurship 2016/2017 report.</w:t>
              </w:r>
              <w:r w:rsidRPr="009460DA">
                <w:rPr>
                  <w:rFonts w:ascii="Cambria" w:hAnsi="Cambria"/>
                  <w:noProof/>
                  <w:sz w:val="20"/>
                  <w:szCs w:val="20"/>
                </w:rPr>
                <w:t xml:space="preserve"> Kelley, Donna J., Benjamin S. Baumer, Candida Brush, Patrica G. Greene, Mahnaz Mahdavi, Mahdi Majbouri, Marcia Cole, Monica Dean, and René Heavlow.: Global Entrepreneurship Research Association.</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Khan, I., Bibi, S. &amp; Javaid, A. (2017). Solving Poverty through Management: Experience in Pakistan. </w:t>
              </w:r>
              <w:r w:rsidRPr="009460DA">
                <w:rPr>
                  <w:rFonts w:ascii="Cambria" w:hAnsi="Cambria"/>
                  <w:i/>
                  <w:iCs/>
                  <w:noProof/>
                  <w:sz w:val="20"/>
                  <w:szCs w:val="20"/>
                </w:rPr>
                <w:t>European Online Journal of Natural and Social Sciences</w:t>
              </w:r>
              <w:r w:rsidRPr="009460DA">
                <w:rPr>
                  <w:rFonts w:ascii="Cambria" w:hAnsi="Cambria"/>
                  <w:noProof/>
                  <w:sz w:val="20"/>
                  <w:szCs w:val="20"/>
                </w:rPr>
                <w:t>, 6(4), 637–645.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Kline, R. B. (2016). </w:t>
              </w:r>
              <w:r w:rsidRPr="009460DA">
                <w:rPr>
                  <w:rFonts w:ascii="Cambria" w:hAnsi="Cambria"/>
                  <w:iCs/>
                  <w:noProof/>
                  <w:sz w:val="20"/>
                  <w:szCs w:val="20"/>
                </w:rPr>
                <w:t>Principles and Practice of Structural Equation Modeling (4th ed.).</w:t>
              </w:r>
              <w:r w:rsidRPr="009460DA">
                <w:rPr>
                  <w:rFonts w:ascii="Cambria" w:hAnsi="Cambria"/>
                  <w:noProof/>
                  <w:sz w:val="20"/>
                  <w:szCs w:val="20"/>
                </w:rPr>
                <w:t xml:space="preserve"> New York: The Guilford Press.</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Koveos, P. (2004). Financial services for the poor: Assessing microfinance institutions. </w:t>
              </w:r>
              <w:r w:rsidRPr="009460DA">
                <w:rPr>
                  <w:rFonts w:ascii="Cambria" w:hAnsi="Cambria"/>
                  <w:i/>
                  <w:iCs/>
                  <w:noProof/>
                  <w:sz w:val="20"/>
                  <w:szCs w:val="20"/>
                </w:rPr>
                <w:t>Managerial Finance.</w:t>
              </w:r>
              <w:r w:rsidRPr="009460DA">
                <w:rPr>
                  <w:rFonts w:ascii="Cambria" w:hAnsi="Cambria"/>
                  <w:noProof/>
                  <w:sz w:val="20"/>
                  <w:szCs w:val="20"/>
                </w:rPr>
                <w:t>, 30(9), 70-95.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Kumar, N., Scott, S., Menon, P., Kannan, S., Cunningham, K., Tyagi, P. &amp; Quisumbing, A. (2018). Pathways from women’s group-based programs to nutrition change in South Asia: A conceptual framework and literature review. </w:t>
              </w:r>
              <w:r w:rsidRPr="009460DA">
                <w:rPr>
                  <w:rFonts w:ascii="Cambria" w:hAnsi="Cambria"/>
                  <w:iCs/>
                  <w:noProof/>
                  <w:sz w:val="20"/>
                  <w:szCs w:val="20"/>
                </w:rPr>
                <w:t>Global Food Security</w:t>
              </w:r>
              <w:r w:rsidRPr="009460DA">
                <w:rPr>
                  <w:rFonts w:ascii="Cambria" w:hAnsi="Cambria"/>
                  <w:noProof/>
                  <w:sz w:val="20"/>
                  <w:szCs w:val="20"/>
                </w:rPr>
                <w:t>, 172-185.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Lazer. (2008). </w:t>
              </w:r>
              <w:r w:rsidRPr="009460DA">
                <w:rPr>
                  <w:rFonts w:ascii="Cambria" w:hAnsi="Cambria"/>
                  <w:iCs/>
                  <w:noProof/>
                  <w:sz w:val="20"/>
                  <w:szCs w:val="20"/>
                </w:rPr>
                <w:t>Microfinance and poverty eradication-Indian and global experience.</w:t>
              </w:r>
              <w:r w:rsidRPr="009460DA">
                <w:rPr>
                  <w:rFonts w:ascii="Cambria" w:hAnsi="Cambria"/>
                  <w:noProof/>
                  <w:sz w:val="20"/>
                  <w:szCs w:val="20"/>
                </w:rPr>
                <w:t xml:space="preserve"> New Delhi: New Century.</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Lazer, D. (2004). </w:t>
              </w:r>
              <w:r w:rsidRPr="009460DA">
                <w:rPr>
                  <w:rFonts w:ascii="Cambria" w:hAnsi="Cambria"/>
                  <w:iCs/>
                  <w:noProof/>
                  <w:sz w:val="20"/>
                  <w:szCs w:val="20"/>
                </w:rPr>
                <w:t>DNA and the criminal justice system: The technology of justice.</w:t>
              </w:r>
              <w:r w:rsidRPr="009460DA">
                <w:rPr>
                  <w:rFonts w:ascii="Cambria" w:hAnsi="Cambria"/>
                  <w:noProof/>
                  <w:sz w:val="20"/>
                  <w:szCs w:val="20"/>
                </w:rPr>
                <w:t xml:space="preserve"> MIT Press.</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Maulidia, S. &amp; Nur, M. (2022). Islamic Microfinance Institutions and Empowering Women-Based MSMEs in an Effort to Reduce Poverty: Study at KSPPS Baytul Ikhtiar Bogor. </w:t>
              </w:r>
              <w:r w:rsidRPr="009460DA">
                <w:rPr>
                  <w:rFonts w:ascii="Cambria" w:hAnsi="Cambria"/>
                  <w:i/>
                  <w:iCs/>
                  <w:noProof/>
                  <w:sz w:val="20"/>
                  <w:szCs w:val="20"/>
                </w:rPr>
                <w:t>Focus</w:t>
              </w:r>
              <w:r w:rsidRPr="009460DA">
                <w:rPr>
                  <w:rFonts w:ascii="Cambria" w:hAnsi="Cambria"/>
                  <w:noProof/>
                  <w:sz w:val="20"/>
                  <w:szCs w:val="20"/>
                </w:rPr>
                <w:t>, 3(1), 27–47.</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Mayoux, L. (2001). Tackling the Down Side: Social Capital, Women’s Empowerment and Micro-Finance in Cameroon. </w:t>
              </w:r>
              <w:r w:rsidRPr="009460DA">
                <w:rPr>
                  <w:rFonts w:ascii="Cambria" w:hAnsi="Cambria"/>
                  <w:iCs/>
                  <w:noProof/>
                  <w:sz w:val="20"/>
                  <w:szCs w:val="20"/>
                </w:rPr>
                <w:t>Development and Change</w:t>
              </w:r>
              <w:r w:rsidRPr="009460DA">
                <w:rPr>
                  <w:rFonts w:ascii="Cambria" w:hAnsi="Cambria"/>
                  <w:noProof/>
                  <w:sz w:val="20"/>
                  <w:szCs w:val="20"/>
                </w:rPr>
                <w:t>, 435–464.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Misnan, N. S., Abdul, M. H. &amp; Othman, F. (2015). The Role of Microcredit in Promoting Women’s Entrepreneurship Skills: Lesson from Amanah Ikhtiar Malaysia (AIM), Malaysia. </w:t>
              </w:r>
              <w:r w:rsidRPr="009460DA">
                <w:rPr>
                  <w:rFonts w:ascii="Cambria" w:hAnsi="Cambria"/>
                  <w:iCs/>
                  <w:noProof/>
                  <w:sz w:val="20"/>
                  <w:szCs w:val="20"/>
                </w:rPr>
                <w:t>Special Issue on Social Entrepreneurship</w:t>
              </w:r>
              <w:r w:rsidRPr="009460DA">
                <w:rPr>
                  <w:rFonts w:ascii="Cambria" w:hAnsi="Cambria"/>
                  <w:noProof/>
                  <w:sz w:val="20"/>
                  <w:szCs w:val="20"/>
                </w:rPr>
                <w:t>, 39–51.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Mosley, P. &amp; Mayoux, L. (1999). Questioning virtuous spirals: micro-finance and women’s empowerment in Africa. </w:t>
              </w:r>
              <w:r w:rsidRPr="009460DA">
                <w:rPr>
                  <w:rFonts w:ascii="Cambria" w:hAnsi="Cambria"/>
                  <w:iCs/>
                  <w:noProof/>
                  <w:sz w:val="20"/>
                  <w:szCs w:val="20"/>
                </w:rPr>
                <w:t>Journal of International Development</w:t>
              </w:r>
              <w:r w:rsidRPr="009460DA">
                <w:rPr>
                  <w:rFonts w:ascii="Cambria" w:hAnsi="Cambria"/>
                  <w:noProof/>
                  <w:sz w:val="20"/>
                  <w:szCs w:val="20"/>
                </w:rPr>
                <w:t>, 957–984.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Nicholas, C. (2021). Self-help Groups as Platforms for Development: The Role of Social Capital. </w:t>
              </w:r>
              <w:r w:rsidRPr="009460DA">
                <w:rPr>
                  <w:rFonts w:ascii="Cambria" w:hAnsi="Cambria"/>
                  <w:iCs/>
                  <w:noProof/>
                  <w:sz w:val="20"/>
                  <w:szCs w:val="20"/>
                </w:rPr>
                <w:t>World Development</w:t>
              </w:r>
              <w:r w:rsidRPr="009460DA">
                <w:rPr>
                  <w:rFonts w:ascii="Cambria" w:hAnsi="Cambria"/>
                  <w:noProof/>
                  <w:sz w:val="20"/>
                  <w:szCs w:val="20"/>
                </w:rPr>
                <w:t>, 146.</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Noor, M. Z., Che Mat, S. H. &amp; Abdul Hakim, R. (2013). Impak kredit mikro ke atas ketaksamarataan pendapatan di kalangan sahabat amanah ikhtiar. </w:t>
              </w:r>
              <w:r w:rsidRPr="009460DA">
                <w:rPr>
                  <w:rFonts w:ascii="Cambria" w:hAnsi="Cambria"/>
                  <w:i/>
                  <w:iCs/>
                  <w:noProof/>
                  <w:sz w:val="20"/>
                  <w:szCs w:val="20"/>
                </w:rPr>
                <w:t>Jurnal Ekonomi Malaysia</w:t>
              </w:r>
              <w:r w:rsidRPr="009460DA">
                <w:rPr>
                  <w:rFonts w:ascii="Cambria" w:hAnsi="Cambria"/>
                  <w:noProof/>
                  <w:sz w:val="20"/>
                  <w:szCs w:val="20"/>
                </w:rPr>
                <w:t>, 47(1), 75–86.</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Norma, M. S. &amp; Jarita, D. (2010). Determinants of Economic Performance of Micro-Credit Clients and Prospect of Islamic Microfinance in Malaysia. </w:t>
              </w:r>
              <w:r w:rsidRPr="009460DA">
                <w:rPr>
                  <w:rFonts w:ascii="Cambria" w:hAnsi="Cambria"/>
                  <w:i/>
                  <w:iCs/>
                  <w:noProof/>
                  <w:sz w:val="20"/>
                  <w:szCs w:val="20"/>
                </w:rPr>
                <w:t>ISRA International Journal of Islamic Finance</w:t>
              </w:r>
              <w:r w:rsidRPr="009460DA">
                <w:rPr>
                  <w:rFonts w:ascii="Cambria" w:hAnsi="Cambria"/>
                  <w:noProof/>
                  <w:sz w:val="20"/>
                  <w:szCs w:val="20"/>
                </w:rPr>
                <w:t>, 2(1), 113–130.</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Nugroho, A. E. (2010). </w:t>
              </w:r>
              <w:r w:rsidRPr="009460DA">
                <w:rPr>
                  <w:rFonts w:ascii="Cambria" w:hAnsi="Cambria"/>
                  <w:iCs/>
                  <w:noProof/>
                  <w:sz w:val="20"/>
                  <w:szCs w:val="20"/>
                </w:rPr>
                <w:t>Market Segmentation, Social Capital and Welfare – Outreach in Microfinance: A Case Study of Indonesia.</w:t>
              </w:r>
              <w:r w:rsidRPr="009460DA">
                <w:rPr>
                  <w:rFonts w:ascii="Cambria" w:hAnsi="Cambria"/>
                  <w:noProof/>
                  <w:sz w:val="20"/>
                  <w:szCs w:val="20"/>
                </w:rPr>
                <w:t xml:space="preserve"> Curtin University: Doctoral dissertation.</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Nurasyiah, A., Miyasto, M., Mariyanti, T. &amp; Beik, I. S. (2020). Women’s Empowerment and Family Poverty in the Tawhidi Epistemological Approach. </w:t>
              </w:r>
              <w:r w:rsidRPr="009460DA">
                <w:rPr>
                  <w:rFonts w:ascii="Cambria" w:hAnsi="Cambria"/>
                  <w:iCs/>
                  <w:noProof/>
                  <w:sz w:val="20"/>
                  <w:szCs w:val="20"/>
                </w:rPr>
                <w:t>International Journal of Ethics and Systems</w:t>
              </w:r>
              <w:r w:rsidRPr="009460DA">
                <w:rPr>
                  <w:rFonts w:ascii="Cambria" w:hAnsi="Cambria"/>
                  <w:noProof/>
                  <w:sz w:val="20"/>
                  <w:szCs w:val="20"/>
                </w:rPr>
                <w:t>, 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Omar, M., Supian, C., Noor, M. &amp; Dahalan, N. (2012). The Economic Performance of the Amanah Ikhtiar Malaysia Rural Microcredit Programme : A Case Study in Kedah. </w:t>
              </w:r>
              <w:r w:rsidRPr="009460DA">
                <w:rPr>
                  <w:rFonts w:ascii="Cambria" w:hAnsi="Cambria"/>
                  <w:i/>
                  <w:iCs/>
                  <w:noProof/>
                  <w:sz w:val="20"/>
                  <w:szCs w:val="20"/>
                </w:rPr>
                <w:t>World Journal of Social Sciences</w:t>
              </w:r>
              <w:r w:rsidRPr="009460DA">
                <w:rPr>
                  <w:rFonts w:ascii="Cambria" w:hAnsi="Cambria"/>
                  <w:noProof/>
                  <w:sz w:val="20"/>
                  <w:szCs w:val="20"/>
                </w:rPr>
                <w:t>, 2(5), 286–302.</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Postelnicu, L. &amp; Hermes, N. (2018). Microfinance Performance and Social Capital: A Cross-Country Analysis. </w:t>
              </w:r>
              <w:r w:rsidRPr="009460DA">
                <w:rPr>
                  <w:rFonts w:ascii="Cambria" w:hAnsi="Cambria"/>
                  <w:i/>
                  <w:iCs/>
                  <w:noProof/>
                  <w:sz w:val="20"/>
                  <w:szCs w:val="20"/>
                </w:rPr>
                <w:t>Journal of Business Ethics</w:t>
              </w:r>
              <w:r w:rsidRPr="009460DA">
                <w:rPr>
                  <w:rFonts w:ascii="Cambria" w:hAnsi="Cambria"/>
                  <w:noProof/>
                  <w:sz w:val="20"/>
                  <w:szCs w:val="20"/>
                </w:rPr>
                <w:t>, 153(2), 427–445.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Ramayah, T. J., Cheah, J., Chuah, F., Ting, H. &amp; Memon, M. A. (2018). </w:t>
              </w:r>
              <w:r w:rsidRPr="009460DA">
                <w:rPr>
                  <w:rFonts w:ascii="Cambria" w:hAnsi="Cambria"/>
                  <w:iCs/>
                  <w:noProof/>
                  <w:sz w:val="20"/>
                  <w:szCs w:val="20"/>
                </w:rPr>
                <w:t>Partial least squares structural equation modeling (PLS-SEM) using smartPLS 3.0. An updated guide and practical guide to statistical analysis.</w:t>
              </w:r>
              <w:r w:rsidRPr="009460DA">
                <w:rPr>
                  <w:rFonts w:ascii="Cambria" w:hAnsi="Cambria"/>
                  <w:noProof/>
                  <w:sz w:val="20"/>
                  <w:szCs w:val="20"/>
                </w:rPr>
                <w:t xml:space="preserve"> Kuala Lumpur, Malaysia: Pearson.</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Rhyne, E. &amp; Otero, M. (2006). </w:t>
              </w:r>
              <w:r w:rsidRPr="009460DA">
                <w:rPr>
                  <w:rFonts w:ascii="Cambria" w:hAnsi="Cambria"/>
                  <w:iCs/>
                  <w:noProof/>
                  <w:sz w:val="20"/>
                  <w:szCs w:val="20"/>
                </w:rPr>
                <w:t>Microfinance through the next decade: Visioning the who, what, where, when and how.</w:t>
              </w:r>
              <w:r w:rsidRPr="009460DA">
                <w:rPr>
                  <w:rFonts w:ascii="Cambria" w:hAnsi="Cambria"/>
                  <w:noProof/>
                  <w:sz w:val="20"/>
                  <w:szCs w:val="20"/>
                </w:rPr>
                <w:t xml:space="preserve"> Boston, MA:: Accion International.</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Samer, S., Majid, I., Rizal, S., Muhamad, M. R., Halim, S. &amp; Rashid, N. (2015). The Impact of Microfinance on Poverty Reduction: Empirical Evidence from Malaysian Perspective. </w:t>
              </w:r>
              <w:r w:rsidRPr="009460DA">
                <w:rPr>
                  <w:rFonts w:ascii="Cambria" w:hAnsi="Cambria"/>
                  <w:i/>
                  <w:iCs/>
                  <w:noProof/>
                  <w:sz w:val="20"/>
                  <w:szCs w:val="20"/>
                </w:rPr>
                <w:t>Procedia - Social and Behavioral Sciences</w:t>
              </w:r>
              <w:r w:rsidRPr="009460DA">
                <w:rPr>
                  <w:rFonts w:ascii="Cambria" w:hAnsi="Cambria"/>
                  <w:noProof/>
                  <w:sz w:val="20"/>
                  <w:szCs w:val="20"/>
                </w:rPr>
                <w:t>, 195, 721–728.</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Sandin, B., Sanchez-Arribas, C., Chorot, P. &amp; Valiente, R. M. (2015). Anxiety sensitivity, catastrophic misinterpretations and panic self-efficacy in the prediction of panic disorder severity: Towards a tripartite cognitive model of panic disorder. </w:t>
              </w:r>
              <w:r w:rsidRPr="009460DA">
                <w:rPr>
                  <w:rFonts w:ascii="Cambria" w:hAnsi="Cambria"/>
                  <w:i/>
                  <w:iCs/>
                  <w:noProof/>
                  <w:sz w:val="20"/>
                  <w:szCs w:val="20"/>
                </w:rPr>
                <w:t>Behavior Research and Therapy</w:t>
              </w:r>
              <w:r w:rsidRPr="009460DA">
                <w:rPr>
                  <w:rFonts w:ascii="Cambria" w:hAnsi="Cambria"/>
                  <w:noProof/>
                  <w:sz w:val="20"/>
                  <w:szCs w:val="20"/>
                </w:rPr>
                <w:t>, 67, 30-40.</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Sarstedt, M., Hair, J. F., Pick, M., Liengaard, B. D., Radomir, L. &amp; Ringle, C. M. (2022). Progress in partial least squares structural equation modeling use in marketing research in the last decade. </w:t>
              </w:r>
              <w:r w:rsidRPr="009460DA">
                <w:rPr>
                  <w:rFonts w:ascii="Cambria" w:hAnsi="Cambria"/>
                  <w:i/>
                  <w:iCs/>
                  <w:noProof/>
                  <w:sz w:val="20"/>
                  <w:szCs w:val="20"/>
                </w:rPr>
                <w:t>Psychology &amp; Marketing</w:t>
              </w:r>
              <w:r w:rsidRPr="009460DA">
                <w:rPr>
                  <w:rFonts w:ascii="Cambria" w:hAnsi="Cambria"/>
                  <w:noProof/>
                  <w:sz w:val="20"/>
                  <w:szCs w:val="20"/>
                </w:rPr>
                <w:t>, 39(5), 1035-1064.</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Sekaran, U. &amp; Bougie, R. (2016). </w:t>
              </w:r>
              <w:r w:rsidRPr="009460DA">
                <w:rPr>
                  <w:rFonts w:ascii="Cambria" w:hAnsi="Cambria"/>
                  <w:iCs/>
                  <w:noProof/>
                  <w:sz w:val="20"/>
                  <w:szCs w:val="20"/>
                </w:rPr>
                <w:t>Research methods for business: A skill building approach.</w:t>
              </w:r>
              <w:r w:rsidRPr="009460DA">
                <w:rPr>
                  <w:rFonts w:ascii="Cambria" w:hAnsi="Cambria"/>
                  <w:noProof/>
                  <w:sz w:val="20"/>
                  <w:szCs w:val="20"/>
                </w:rPr>
                <w:t xml:space="preserve"> John Wiley &amp; Sons.</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Selvi, D. V. (2018). Opportunities and Challenges of Women Empowerment in India. </w:t>
              </w:r>
              <w:r w:rsidRPr="009460DA">
                <w:rPr>
                  <w:rFonts w:ascii="Cambria" w:hAnsi="Cambria"/>
                  <w:iCs/>
                  <w:noProof/>
                  <w:sz w:val="20"/>
                  <w:szCs w:val="20"/>
                </w:rPr>
                <w:t>Bonfring International Journal of Industrial Engineering and Management Science</w:t>
              </w:r>
              <w:r w:rsidRPr="009460DA">
                <w:rPr>
                  <w:rFonts w:ascii="Cambria" w:hAnsi="Cambria"/>
                  <w:noProof/>
                  <w:sz w:val="20"/>
                  <w:szCs w:val="20"/>
                </w:rPr>
                <w:t>, 158-168.</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Tammili, F. N., Mohamed, Z. &amp; Terano, R. (2017). Effectiveness of the Microcredit Program in Enhancing Micro-Enterprise Entrepreneurs’ Income in Selangor. </w:t>
              </w:r>
              <w:r w:rsidRPr="009460DA">
                <w:rPr>
                  <w:rFonts w:ascii="Cambria" w:hAnsi="Cambria"/>
                  <w:iCs/>
                  <w:noProof/>
                  <w:sz w:val="20"/>
                  <w:szCs w:val="20"/>
                </w:rPr>
                <w:t>Asian Social Science</w:t>
              </w:r>
              <w:r w:rsidRPr="009460DA">
                <w:rPr>
                  <w:rFonts w:ascii="Cambria" w:hAnsi="Cambria"/>
                  <w:noProof/>
                  <w:sz w:val="20"/>
                  <w:szCs w:val="20"/>
                </w:rPr>
                <w:t>, 71.</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Tiwari, A. &amp; Thakkur, S. (2007). </w:t>
              </w:r>
              <w:r w:rsidRPr="009460DA">
                <w:rPr>
                  <w:rFonts w:ascii="Cambria" w:hAnsi="Cambria"/>
                  <w:iCs/>
                  <w:noProof/>
                  <w:sz w:val="20"/>
                  <w:szCs w:val="20"/>
                </w:rPr>
                <w:t>SHG-based Microfinance programs –Can they remove poverty.</w:t>
              </w:r>
              <w:r w:rsidRPr="009460DA">
                <w:rPr>
                  <w:rFonts w:ascii="Cambria" w:hAnsi="Cambria"/>
                  <w:noProof/>
                  <w:sz w:val="20"/>
                  <w:szCs w:val="20"/>
                </w:rPr>
                <w:t xml:space="preserve"> London and New York: Routledge.</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Ul-Hameed, W., Mohammad, H. &amp; Shahar, H. (2018). Microfinance institute’s non-financial services and women-empowerment: The role of vulnerability. </w:t>
              </w:r>
              <w:r w:rsidRPr="009460DA">
                <w:rPr>
                  <w:rFonts w:ascii="Cambria" w:hAnsi="Cambria"/>
                  <w:i/>
                  <w:iCs/>
                  <w:noProof/>
                  <w:sz w:val="20"/>
                  <w:szCs w:val="20"/>
                </w:rPr>
                <w:t>Management Science Letters</w:t>
              </w:r>
              <w:r w:rsidRPr="009460DA">
                <w:rPr>
                  <w:rFonts w:ascii="Cambria" w:hAnsi="Cambria"/>
                  <w:noProof/>
                  <w:sz w:val="20"/>
                  <w:szCs w:val="20"/>
                </w:rPr>
                <w:t>, 8(10), 1103–1116.</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UNDAF. (2015). </w:t>
              </w:r>
              <w:r w:rsidRPr="009460DA">
                <w:rPr>
                  <w:rFonts w:ascii="Cambria" w:hAnsi="Cambria"/>
                  <w:iCs/>
                  <w:noProof/>
                  <w:sz w:val="20"/>
                  <w:szCs w:val="20"/>
                </w:rPr>
                <w:t>Theory of Change: UNDAF Companion Guidance.</w:t>
              </w:r>
              <w:r w:rsidRPr="009460DA">
                <w:rPr>
                  <w:rFonts w:ascii="Cambria" w:hAnsi="Cambria"/>
                  <w:noProof/>
                  <w:sz w:val="20"/>
                  <w:szCs w:val="20"/>
                </w:rPr>
                <w:t xml:space="preserve"> In United Nations Development Group.</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Widiyanti, E., Pudjihardjo, P. &amp; Saputra, P. (2018). Tackling Poverty through Women Empowerment: The Role of Social Capital in Indonesian Women’s Cooperative. </w:t>
              </w:r>
              <w:r w:rsidRPr="009460DA">
                <w:rPr>
                  <w:rFonts w:ascii="Cambria" w:hAnsi="Cambria"/>
                  <w:i/>
                  <w:iCs/>
                  <w:noProof/>
                  <w:sz w:val="20"/>
                  <w:szCs w:val="20"/>
                </w:rPr>
                <w:t>Jurnal Ekonomi Dan Studi Pembangunan</w:t>
              </w:r>
              <w:r w:rsidRPr="009460DA">
                <w:rPr>
                  <w:rFonts w:ascii="Cambria" w:hAnsi="Cambria"/>
                  <w:noProof/>
                  <w:sz w:val="20"/>
                  <w:szCs w:val="20"/>
                </w:rPr>
                <w:t>, 10(1), 44–55.</w:t>
              </w:r>
            </w:p>
            <w:p w:rsidR="004C738B" w:rsidRPr="009460DA" w:rsidRDefault="004C738B"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World Bank. (2019). </w:t>
              </w:r>
              <w:r w:rsidRPr="009460DA">
                <w:rPr>
                  <w:rFonts w:ascii="Cambria" w:hAnsi="Cambria"/>
                  <w:iCs/>
                  <w:noProof/>
                  <w:sz w:val="20"/>
                  <w:szCs w:val="20"/>
                </w:rPr>
                <w:t>Ending Poverty, Investing in Opportunity.</w:t>
              </w:r>
              <w:r w:rsidRPr="009460DA">
                <w:rPr>
                  <w:rFonts w:ascii="Cambria" w:hAnsi="Cambria"/>
                  <w:noProof/>
                  <w:sz w:val="20"/>
                  <w:szCs w:val="20"/>
                </w:rPr>
                <w:t xml:space="preserve"> The World Bank Annual Report 2019.</w:t>
              </w:r>
            </w:p>
            <w:p w:rsidR="004C738B" w:rsidRPr="009460DA" w:rsidRDefault="004C738B" w:rsidP="009460DA">
              <w:pPr>
                <w:pStyle w:val="Bibliography"/>
                <w:spacing w:after="0" w:line="240" w:lineRule="auto"/>
                <w:ind w:left="720" w:hanging="720"/>
                <w:jc w:val="both"/>
                <w:rPr>
                  <w:rFonts w:ascii="Cambria" w:hAnsi="Cambria"/>
                  <w:sz w:val="20"/>
                  <w:szCs w:val="20"/>
                </w:rPr>
              </w:pPr>
              <w:r w:rsidRPr="009460DA">
                <w:rPr>
                  <w:rFonts w:ascii="Cambria" w:hAnsi="Cambria"/>
                  <w:noProof/>
                  <w:sz w:val="20"/>
                  <w:szCs w:val="20"/>
                </w:rPr>
                <w:t xml:space="preserve">Yusuff, Y. Z., Bakar, A. A. &amp; Ahmad, S. (2018). Relationship Between Financial Capital, Social Capital and Women Entrepreneurs’ Business Performance. </w:t>
              </w:r>
              <w:r w:rsidRPr="009460DA">
                <w:rPr>
                  <w:rFonts w:ascii="Cambria" w:hAnsi="Cambria"/>
                  <w:i/>
                  <w:iCs/>
                  <w:noProof/>
                  <w:sz w:val="20"/>
                  <w:szCs w:val="20"/>
                </w:rPr>
                <w:t>Advanced Science Letters</w:t>
              </w:r>
              <w:r w:rsidRPr="009460DA">
                <w:rPr>
                  <w:rFonts w:ascii="Cambria" w:hAnsi="Cambria"/>
                  <w:noProof/>
                  <w:sz w:val="20"/>
                  <w:szCs w:val="20"/>
                </w:rPr>
                <w:t>, 24(1), 202–204.</w:t>
              </w:r>
              <w:r w:rsidR="00902FB4" w:rsidRPr="009460DA">
                <w:rPr>
                  <w:rFonts w:ascii="Cambria" w:hAnsi="Cambria"/>
                  <w:b/>
                  <w:bCs/>
                  <w:noProof/>
                  <w:sz w:val="20"/>
                  <w:szCs w:val="20"/>
                </w:rPr>
                <w:fldChar w:fldCharType="end"/>
              </w:r>
            </w:p>
          </w:sdtContent>
        </w:sdt>
      </w:sdtContent>
    </w:sdt>
    <w:p w:rsidR="005C6844" w:rsidRPr="009460DA" w:rsidRDefault="005C6844" w:rsidP="009460DA">
      <w:pPr>
        <w:spacing w:after="0" w:line="240" w:lineRule="auto"/>
        <w:jc w:val="both"/>
        <w:rPr>
          <w:rFonts w:ascii="Cambria" w:hAnsi="Cambria"/>
          <w:b/>
          <w:bCs/>
          <w:sz w:val="20"/>
          <w:szCs w:val="20"/>
          <w:lang w:val="en-US" w:bidi="ar-JO"/>
        </w:rPr>
        <w:sectPr w:rsidR="005C6844" w:rsidRPr="009460DA" w:rsidSect="009460DA">
          <w:pgSz w:w="12240" w:h="15840" w:code="1"/>
          <w:pgMar w:top="1440" w:right="1440" w:bottom="1440" w:left="1440" w:header="720" w:footer="720" w:gutter="0"/>
          <w:pgNumType w:fmt="numberInDash" w:start="1"/>
          <w:cols w:space="720"/>
          <w:docGrid w:linePitch="360"/>
        </w:sectPr>
      </w:pPr>
    </w:p>
    <w:p w:rsidR="00F45FEB" w:rsidRPr="009460DA" w:rsidRDefault="00F45FEB" w:rsidP="009460DA">
      <w:pPr>
        <w:pStyle w:val="BodyText"/>
        <w:spacing w:after="0" w:line="240" w:lineRule="auto"/>
        <w:ind w:left="354" w:hangingChars="177" w:hanging="354"/>
        <w:jc w:val="both"/>
        <w:rPr>
          <w:rFonts w:ascii="Cambria" w:hAnsi="Cambria" w:cs="Times New Roman"/>
          <w:color w:val="000000" w:themeColor="text1"/>
          <w:sz w:val="20"/>
          <w:szCs w:val="20"/>
        </w:rPr>
      </w:pPr>
    </w:p>
    <w:p w:rsidR="00653982" w:rsidRPr="009460DA" w:rsidRDefault="00653982" w:rsidP="008471BD">
      <w:pPr>
        <w:spacing w:after="0" w:line="240" w:lineRule="auto"/>
        <w:jc w:val="center"/>
        <w:rPr>
          <w:rFonts w:ascii="Cambria" w:eastAsia="Cambria" w:hAnsi="Cambria" w:cs="Cambria"/>
          <w:b/>
          <w:sz w:val="20"/>
          <w:szCs w:val="20"/>
        </w:rPr>
      </w:pPr>
      <w:r w:rsidRPr="009460DA">
        <w:rPr>
          <w:rFonts w:ascii="Cambria" w:eastAsia="Cambria" w:hAnsi="Cambria" w:cs="Cambria"/>
          <w:b/>
          <w:sz w:val="20"/>
          <w:szCs w:val="20"/>
        </w:rPr>
        <w:lastRenderedPageBreak/>
        <w:t>Job Satisfaction and Turnover Intention among Employees in Educity, Johor</w:t>
      </w:r>
    </w:p>
    <w:p w:rsidR="00653982" w:rsidRPr="009460DA" w:rsidRDefault="00653982" w:rsidP="009460DA">
      <w:pPr>
        <w:spacing w:after="0" w:line="240" w:lineRule="auto"/>
        <w:jc w:val="both"/>
        <w:rPr>
          <w:rFonts w:ascii="Cambria" w:eastAsia="Cambria" w:hAnsi="Cambria" w:cs="Cambria"/>
          <w:b/>
          <w:sz w:val="20"/>
          <w:szCs w:val="20"/>
        </w:rPr>
      </w:pPr>
    </w:p>
    <w:p w:rsidR="00653982" w:rsidRPr="009460DA" w:rsidRDefault="00653982" w:rsidP="008471BD">
      <w:pPr>
        <w:spacing w:after="0" w:line="240" w:lineRule="auto"/>
        <w:jc w:val="center"/>
        <w:rPr>
          <w:rFonts w:ascii="Cambria" w:eastAsia="Cambria" w:hAnsi="Cambria" w:cs="Cambria"/>
          <w:color w:val="7030A0"/>
          <w:sz w:val="20"/>
          <w:szCs w:val="20"/>
        </w:rPr>
      </w:pPr>
      <w:r w:rsidRPr="009460DA">
        <w:rPr>
          <w:rFonts w:ascii="Cambria" w:eastAsia="Cambria" w:hAnsi="Cambria" w:cs="Cambria"/>
          <w:color w:val="7030A0"/>
          <w:sz w:val="20"/>
          <w:szCs w:val="20"/>
        </w:rPr>
        <w:t>Nur Dalilah Dahlan, Mohamad Firdaus Ahmad</w:t>
      </w:r>
      <w:r w:rsidRPr="009460DA">
        <w:rPr>
          <w:rFonts w:ascii="Cambria" w:eastAsia="Cambria" w:hAnsi="Cambria" w:cs="Cambria"/>
          <w:color w:val="7030A0"/>
          <w:sz w:val="20"/>
          <w:szCs w:val="20"/>
          <w:vertAlign w:val="superscript"/>
        </w:rPr>
        <w:t>*</w:t>
      </w:r>
      <w:r w:rsidRPr="009460DA">
        <w:rPr>
          <w:rFonts w:ascii="Cambria" w:eastAsia="Cambria" w:hAnsi="Cambria" w:cs="Cambria"/>
          <w:color w:val="7030A0"/>
          <w:sz w:val="20"/>
          <w:szCs w:val="20"/>
        </w:rPr>
        <w:t>, Nur Syazwani Zulaikha Safwan, Nur Hani Syazwani Bakri &amp; Ummi Kalthum Mohd Mokhtar</w:t>
      </w:r>
    </w:p>
    <w:p w:rsidR="00653982" w:rsidRPr="009460DA" w:rsidRDefault="00653982" w:rsidP="008471BD">
      <w:pPr>
        <w:spacing w:after="0" w:line="240" w:lineRule="auto"/>
        <w:jc w:val="center"/>
        <w:rPr>
          <w:rFonts w:ascii="Cambria" w:eastAsia="Cambria" w:hAnsi="Cambria" w:cs="Cambria"/>
          <w:color w:val="7030A0"/>
          <w:sz w:val="20"/>
          <w:szCs w:val="20"/>
        </w:rPr>
      </w:pPr>
      <w:r w:rsidRPr="009460DA">
        <w:rPr>
          <w:rFonts w:ascii="Cambria" w:eastAsia="Cambria" w:hAnsi="Cambria" w:cs="Cambria"/>
          <w:color w:val="7030A0"/>
          <w:sz w:val="20"/>
          <w:szCs w:val="20"/>
        </w:rPr>
        <w:t>Faculty of Sports Science and Recreation, Universiti Teknologi MARA, Cawangan Negeri Sembilan, Kampus Seremban, Malaysia</w:t>
      </w:r>
    </w:p>
    <w:p w:rsidR="00653982" w:rsidRPr="009460DA" w:rsidRDefault="00653982" w:rsidP="008471BD">
      <w:pPr>
        <w:spacing w:after="0" w:line="240" w:lineRule="auto"/>
        <w:jc w:val="center"/>
        <w:rPr>
          <w:rFonts w:ascii="Cambria" w:eastAsia="Cambria" w:hAnsi="Cambria" w:cs="Cambria"/>
          <w:sz w:val="20"/>
          <w:szCs w:val="20"/>
        </w:rPr>
      </w:pPr>
      <w:r w:rsidRPr="009460DA">
        <w:rPr>
          <w:rFonts w:ascii="Cambria" w:eastAsia="Cambria" w:hAnsi="Cambria" w:cs="Cambria"/>
          <w:color w:val="7030A0"/>
          <w:sz w:val="20"/>
          <w:szCs w:val="20"/>
        </w:rPr>
        <w:t>dalilahdahlan90@uitm.edu.my, firdaus466@uitm.edu.my</w:t>
      </w:r>
      <w:r w:rsidRPr="009460DA">
        <w:rPr>
          <w:rFonts w:ascii="Cambria" w:eastAsia="Cambria" w:hAnsi="Cambria" w:cs="Cambria"/>
          <w:color w:val="7030A0"/>
          <w:sz w:val="20"/>
          <w:szCs w:val="20"/>
          <w:vertAlign w:val="superscript"/>
        </w:rPr>
        <w:t>*</w:t>
      </w:r>
      <w:r w:rsidRPr="009460DA">
        <w:rPr>
          <w:rFonts w:ascii="Cambria" w:eastAsia="Cambria" w:hAnsi="Cambria" w:cs="Cambria"/>
          <w:color w:val="7030A0"/>
          <w:sz w:val="20"/>
          <w:szCs w:val="20"/>
        </w:rPr>
        <w:t>, syazwanisafwan@gmail.com, hanisyazwani@uitm.edu.my, ummikalthum@uitm.edu.my</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 xml:space="preserve">Abstract: </w:t>
      </w:r>
      <w:r w:rsidRPr="009460DA">
        <w:rPr>
          <w:rFonts w:ascii="Cambria" w:eastAsia="Cambria" w:hAnsi="Cambria" w:cs="Cambria"/>
          <w:color w:val="000000"/>
          <w:sz w:val="20"/>
          <w:szCs w:val="20"/>
        </w:rPr>
        <w:t>Turnover among employees is a major issue that significantly has an impact on human resource management and organizational success. One of the key aspects of turnover is the loss of valuable knowledge and technical skills, which is particularly prominent in sports organizations. Thus, this study explored the relationship between job satisfaction and turnover intention in Educity, Johor. The research employed a quantitative design and involved distributing a questionnaire containing 40 items that assessed job satisfaction and turnover intention to 40 employees in Educity, Johor. The findings revealed a clear and negative association between job satisfaction and turnover intention. In other words, employees who are satisfied with their job are less likely to leave the organization. Consequently, the results of this study can be utilized to enhance employee well-being, guide future research, and inform human resource planning and development. It is recommended that policies be improved based on these findings, and further surveys should be conducted with a new sample.</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pBdr>
          <w:bottom w:val="single" w:sz="4" w:space="1" w:color="000000"/>
        </w:pBdr>
        <w:spacing w:after="0" w:line="240" w:lineRule="auto"/>
        <w:jc w:val="both"/>
        <w:rPr>
          <w:rFonts w:ascii="Cambria" w:eastAsia="Cambria" w:hAnsi="Cambria" w:cs="Cambria"/>
          <w:i/>
          <w:color w:val="FF0000"/>
          <w:sz w:val="20"/>
          <w:szCs w:val="20"/>
        </w:rPr>
      </w:pPr>
      <w:r w:rsidRPr="009460DA">
        <w:rPr>
          <w:rFonts w:ascii="Cambria" w:eastAsia="Cambria" w:hAnsi="Cambria" w:cs="Cambria"/>
          <w:b/>
          <w:sz w:val="20"/>
          <w:szCs w:val="20"/>
        </w:rPr>
        <w:t>Keywords:</w:t>
      </w:r>
      <w:r w:rsidRPr="009460DA">
        <w:rPr>
          <w:rFonts w:ascii="Cambria" w:eastAsia="Cambria" w:hAnsi="Cambria" w:cs="Cambria"/>
          <w:sz w:val="20"/>
          <w:szCs w:val="20"/>
        </w:rPr>
        <w:t xml:space="preserve"> </w:t>
      </w:r>
      <w:r w:rsidRPr="009460DA">
        <w:rPr>
          <w:rFonts w:ascii="Cambria" w:eastAsia="Cambria" w:hAnsi="Cambria" w:cs="Cambria"/>
          <w:i/>
          <w:sz w:val="20"/>
          <w:szCs w:val="20"/>
        </w:rPr>
        <w:t>Job Satisfaction, Turnover Intention, Sports Organization, Educity, Employees.</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b/>
          <w:sz w:val="20"/>
          <w:szCs w:val="20"/>
        </w:rPr>
        <w:t>1. Introduction</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sz w:val="20"/>
          <w:szCs w:val="20"/>
        </w:rPr>
        <w:t xml:space="preserve">Employees are a valuable asset to the organization in carrying out its activities. The organization must keep its finest employees, so they do not leave or move to work for another company. The fact is that there are still a significant number of employees that choose to quit and work for another organization. Turnover puts the organization in danger of losing potential employees, particularly turnover caused by the employee's desire (voluntary turnover) (Safwan et al., 2023). Employee turnover from an organization is a critical occurrence for an organization's long-term viability. If turnover is significant, the organization will hire to fill or replace people who leave (Ahmad et al., 2022). </w:t>
      </w:r>
      <w:r w:rsidRPr="009460DA">
        <w:rPr>
          <w:rFonts w:ascii="Cambria" w:eastAsia="Cambria" w:hAnsi="Cambria" w:cs="Cambria"/>
          <w:color w:val="000000"/>
          <w:sz w:val="20"/>
          <w:szCs w:val="20"/>
        </w:rPr>
        <w:t xml:space="preserve">Job satisfaction is </w:t>
      </w:r>
      <w:r w:rsidRPr="009460DA">
        <w:rPr>
          <w:rFonts w:ascii="Cambria" w:eastAsia="Cambria" w:hAnsi="Cambria" w:cs="Cambria"/>
          <w:sz w:val="20"/>
          <w:szCs w:val="20"/>
        </w:rPr>
        <w:t>a subject of extensive research and holds significant importance</w:t>
      </w:r>
      <w:r w:rsidRPr="009460DA">
        <w:rPr>
          <w:rFonts w:ascii="Cambria" w:eastAsia="Cambria" w:hAnsi="Cambria" w:cs="Cambria"/>
          <w:color w:val="000000"/>
          <w:sz w:val="20"/>
          <w:szCs w:val="20"/>
        </w:rPr>
        <w:t>. For organizations to be successful, they must continuously ensure employee satisfaction. Ali and Anwar (2021) defined</w:t>
      </w:r>
      <w:r w:rsidRPr="009460DA">
        <w:rPr>
          <w:rFonts w:ascii="Cambria" w:eastAsia="Cambria" w:hAnsi="Cambria" w:cs="Cambria"/>
          <w:sz w:val="20"/>
          <w:szCs w:val="20"/>
        </w:rPr>
        <w:t xml:space="preserve"> job satisfaction as the emotional state and overall sentiment of individuals toward their current employment. It is widely acknowledged that contented employees tend to exhibit enhanced effectiveness and productivity within their organizations. </w:t>
      </w:r>
      <w:r w:rsidRPr="009460DA">
        <w:rPr>
          <w:rFonts w:ascii="Cambria" w:eastAsia="Cambria" w:hAnsi="Cambria" w:cs="Cambria"/>
          <w:color w:val="000000"/>
          <w:sz w:val="20"/>
          <w:szCs w:val="20"/>
        </w:rPr>
        <w:t xml:space="preserve">According to </w:t>
      </w:r>
      <w:r w:rsidRPr="009460DA">
        <w:rPr>
          <w:rFonts w:ascii="Cambria" w:eastAsia="Cambria" w:hAnsi="Cambria" w:cs="Cambria"/>
          <w:color w:val="222222"/>
          <w:sz w:val="20"/>
          <w:szCs w:val="20"/>
          <w:highlight w:val="white"/>
        </w:rPr>
        <w:t>Aburumman</w:t>
      </w:r>
      <w:r w:rsidRPr="009460DA">
        <w:rPr>
          <w:rFonts w:ascii="Cambria" w:eastAsia="Cambria" w:hAnsi="Cambria" w:cs="Cambria"/>
          <w:color w:val="000000"/>
          <w:sz w:val="20"/>
          <w:szCs w:val="20"/>
        </w:rPr>
        <w:t xml:space="preserve"> et al. (2020), </w:t>
      </w:r>
      <w:r w:rsidRPr="009460DA">
        <w:rPr>
          <w:rFonts w:ascii="Cambria" w:eastAsia="Cambria" w:hAnsi="Cambria" w:cs="Cambria"/>
          <w:sz w:val="20"/>
          <w:szCs w:val="20"/>
        </w:rPr>
        <w:t xml:space="preserve">focusing on job satisfaction enables organizations to foster positive outcomes, such as employee contentment, while reducing employee turnover. </w:t>
      </w:r>
      <w:r w:rsidRPr="009460DA">
        <w:rPr>
          <w:rFonts w:ascii="Cambria" w:eastAsia="Cambria" w:hAnsi="Cambria" w:cs="Cambria"/>
          <w:color w:val="000000"/>
          <w:sz w:val="20"/>
          <w:szCs w:val="20"/>
        </w:rPr>
        <w:t>Employee turnover represents a substantial challenge for human resource management practices and organizational achievements. Particularly within sports organizations, high turnover rates can have a considerable effect on profitability.</w:t>
      </w:r>
    </w:p>
    <w:p w:rsidR="00653982" w:rsidRPr="009460DA" w:rsidRDefault="00653982" w:rsidP="009460DA">
      <w:pPr>
        <w:spacing w:after="0" w:line="240" w:lineRule="auto"/>
        <w:jc w:val="both"/>
        <w:rPr>
          <w:rFonts w:ascii="Cambria" w:eastAsia="Cambria" w:hAnsi="Cambria" w:cs="Cambria"/>
          <w:color w:val="000000"/>
          <w:sz w:val="20"/>
          <w:szCs w:val="20"/>
        </w:rPr>
      </w:pPr>
    </w:p>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Productivity, and quality due to the loss of valuable technical skills and knowledge (Scholtz et al., 2019). The turnover rate of any business directly affects operating costs, including expenses associated with training new employees, and ultimately impacts the organization’s overall profitability.</w:t>
      </w:r>
      <w:r w:rsidRPr="009460DA">
        <w:rPr>
          <w:rFonts w:ascii="Cambria" w:eastAsia="Cambria" w:hAnsi="Cambria" w:cs="Cambria"/>
          <w:sz w:val="20"/>
          <w:szCs w:val="20"/>
        </w:rPr>
        <w:t xml:space="preserve"> Past studies have identified various factors that influence job satisfaction and lead employees to leave their organizations, with low salaries being one of them. According to Azlan (2021), dissatisfaction with salaries was reported as the primary reason for attrition by 57% of employers. Limited opportunities for career advancement (41%) and more attractive benefits offered by other companies (32%) were also significant factors. As the turnover of mid-career professionals continues to increase, organizations face difficulties in attracting suitable talent within their budgetary limitations. This proved that the turnover among employees can be influenced by their level of satisfaction with their current job. </w:t>
      </w:r>
      <w:r w:rsidRPr="009460DA">
        <w:rPr>
          <w:rFonts w:ascii="Cambria" w:eastAsia="Cambria" w:hAnsi="Cambria" w:cs="Cambria"/>
          <w:color w:val="000000"/>
          <w:sz w:val="20"/>
          <w:szCs w:val="20"/>
        </w:rPr>
        <w:t xml:space="preserve">Previous research highlights the significance of organizations having a comprehensive understanding of job satisfaction and employee turnover intentions. By prioritizing these aspects, organizations can ensure the smooth functioning of their management systems and enhance the likelihood of achieving organizational goals. Maintaining high levels of job satisfaction and minimizing </w:t>
      </w:r>
      <w:r w:rsidRPr="009460DA">
        <w:rPr>
          <w:rFonts w:ascii="Cambria" w:eastAsia="Cambria" w:hAnsi="Cambria" w:cs="Cambria"/>
          <w:color w:val="000000"/>
          <w:sz w:val="20"/>
          <w:szCs w:val="20"/>
        </w:rPr>
        <w:lastRenderedPageBreak/>
        <w:t>employee turnover intentions become crucial in this regard. Thus, this study aims to examine the relationship between job satisfaction and turnover intention among employees in Educity, Johor.</w:t>
      </w:r>
    </w:p>
    <w:p w:rsidR="00653982" w:rsidRPr="009460DA" w:rsidRDefault="00653982" w:rsidP="009460DA">
      <w:pPr>
        <w:spacing w:after="0" w:line="240" w:lineRule="auto"/>
        <w:jc w:val="both"/>
        <w:rPr>
          <w:rFonts w:ascii="Cambria" w:eastAsia="Cambria" w:hAnsi="Cambria" w:cs="Cambria"/>
          <w:color w:val="000000"/>
          <w:sz w:val="20"/>
          <w:szCs w:val="20"/>
        </w:rPr>
      </w:pPr>
    </w:p>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b/>
          <w:sz w:val="20"/>
          <w:szCs w:val="20"/>
        </w:rPr>
        <w:t>2. Literature Review</w:t>
      </w:r>
    </w:p>
    <w:p w:rsidR="00653982" w:rsidRPr="009460DA" w:rsidRDefault="00653982" w:rsidP="009460DA">
      <w:pPr>
        <w:pBdr>
          <w:top w:val="nil"/>
          <w:left w:val="nil"/>
          <w:bottom w:val="nil"/>
          <w:right w:val="nil"/>
          <w:between w:val="nil"/>
        </w:pBdr>
        <w:spacing w:after="0" w:line="240" w:lineRule="auto"/>
        <w:jc w:val="both"/>
        <w:rPr>
          <w:rFonts w:ascii="Cambria" w:eastAsia="Cambria" w:hAnsi="Cambria" w:cs="Cambria"/>
          <w:color w:val="000000"/>
          <w:sz w:val="20"/>
          <w:szCs w:val="20"/>
        </w:rPr>
      </w:pPr>
    </w:p>
    <w:p w:rsidR="00653982" w:rsidRPr="009460DA" w:rsidRDefault="00653982" w:rsidP="009460DA">
      <w:pPr>
        <w:pBdr>
          <w:top w:val="nil"/>
          <w:left w:val="nil"/>
          <w:bottom w:val="nil"/>
          <w:right w:val="nil"/>
          <w:between w:val="nil"/>
        </w:pBd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According to Ali and Anwar (2021), job satisfaction can be described as an individual's attitude towards their current job, reflecting their level of contentment or discontentment. It is influenced by several factors, including satisfaction with promotion opportunities, relationships with colleagues, salary, and equal employment opportunities. Bulińska-Stangrecka and Bagieńska (2021) defined job satisfaction as a positive emotional state that arises when one's expectations are met and one 0derive value from their current employment position. Other than that, according to Asegid (2014) cited in Ramadhani (2014), employee job satisfaction refers to the feeling of contentment, pleasure, and pride that one derives from one's work. It is not the pay or perks that keep people at their jobs; it is the benefit they get from their work. Employee job satisfaction can be defined as how workers feel about their jobs. One of the many positive outcomes that can result from satisfied workers is a more amicable relationship between the business and its staff.</w:t>
      </w:r>
    </w:p>
    <w:p w:rsidR="00653982" w:rsidRPr="009460DA" w:rsidRDefault="00653982" w:rsidP="009460DA">
      <w:pPr>
        <w:pBdr>
          <w:top w:val="nil"/>
          <w:left w:val="nil"/>
          <w:bottom w:val="nil"/>
          <w:right w:val="nil"/>
          <w:between w:val="nil"/>
        </w:pBdr>
        <w:spacing w:after="0" w:line="240" w:lineRule="auto"/>
        <w:jc w:val="both"/>
        <w:rPr>
          <w:rFonts w:ascii="Cambria" w:eastAsia="Cambria" w:hAnsi="Cambria" w:cs="Cambria"/>
          <w:color w:val="000000"/>
          <w:sz w:val="20"/>
          <w:szCs w:val="20"/>
        </w:rPr>
      </w:pPr>
    </w:p>
    <w:p w:rsidR="00653982" w:rsidRPr="009460DA" w:rsidRDefault="00653982" w:rsidP="009460DA">
      <w:pPr>
        <w:pBdr>
          <w:top w:val="nil"/>
          <w:left w:val="nil"/>
          <w:bottom w:val="nil"/>
          <w:right w:val="nil"/>
          <w:between w:val="nil"/>
        </w:pBd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 xml:space="preserve">Ramadhani (2014) defined turnover as the opposite of retention, representing the percentage of employees who leave a business for various reasons. It encompasses the movement of individuals from one job to another within the labor market, including transitions between jobs, careers, or even between unemployment and employment. Employee turnover poses a significant challenge for many companies, as it leads to increased costs, particularly in minimum-wage jobs (Ahmad et al., 2022). Saeed et al. (2014) highlight that turnover rates in an organization are influenced by multiple factors, which can originate from both employees and employers. According to Asrar-ul-Haq et al. (2019), these considerations might include things like wages, benefits, and overall compensation, as well as an analysis of the job. According to Mobley (2011), cited in Dewi and Nurhayati (2021), the effects of the current turnover rate will be felt by the company and its employees alike. Workload, recruitment costs, training expenses, decreased work quality, imprudence, and increased stress among employees are some ways a high turnover rate can negatively impact an organization. </w:t>
      </w:r>
    </w:p>
    <w:p w:rsidR="00653982" w:rsidRPr="009460DA" w:rsidRDefault="00653982" w:rsidP="009460DA">
      <w:pPr>
        <w:pBdr>
          <w:top w:val="nil"/>
          <w:left w:val="nil"/>
          <w:bottom w:val="nil"/>
          <w:right w:val="nil"/>
          <w:between w:val="nil"/>
        </w:pBdr>
        <w:spacing w:after="0" w:line="240" w:lineRule="auto"/>
        <w:jc w:val="both"/>
        <w:rPr>
          <w:rFonts w:ascii="Cambria" w:eastAsia="Cambria" w:hAnsi="Cambria" w:cs="Cambria"/>
          <w:color w:val="000000"/>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Pinglim et al. (2017) discovered an interesting correlation between job satisfaction and turnover intention, revealing that higher levels of job satisfaction among employees are associated with a decreased desire to leave their current positions. This finding aligns with what Skelton et al. (2019) mentioned which identified promotion, the job itself, and supervision (excluding coworkers) as key factors that negatively impact turnover intention. In other words, when employees experience satisfaction in these areas, they are less likely to consider leaving their jobs. The research by Mahdi et al. (2019) further supports these findings by emphasizing the significant negative effect of job satisfaction on turnover intentions. Similarly, Noviantoro et al. (2018) and Turgut et al. (2017) have also corroborated the negative relationship between job satisfaction and turnover intention. Overall, these studies collectively demonstrate that high levels of job satisfaction are linked to a reduced likelihood of employees seeking alternative employment opportunities.</w:t>
      </w:r>
    </w:p>
    <w:p w:rsidR="00653982" w:rsidRPr="009460DA" w:rsidRDefault="00653982" w:rsidP="009460DA">
      <w:pPr>
        <w:spacing w:after="0" w:line="240" w:lineRule="auto"/>
        <w:jc w:val="both"/>
        <w:rPr>
          <w:rFonts w:ascii="Cambria" w:eastAsia="Cambria" w:hAnsi="Cambria" w:cs="Cambria"/>
          <w:b/>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3. Methodology</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A correlational design was used in measuring the relationship between job satisfaction and turnover intention. In this study, 40 employees in Educity Johor participated in answering the questionnaire. The job satisfaction survey was adapted from Spector (1994) consisting of 36 items, and 4 items from the Michigan Organizational Assessment Questionnaire by Lawler et al. (1975) were used. All items in the questionnaire were based on a seven-point Likert scale ranging from 1 (strongly disagree) to 7 (strongly agree). Before an actual study was conducted, a pilot study was done to ensure the questionnaire used was reliable. A total of 30 samples were used to represent the respondents. Table 1 shows the result of the Cronbach alpha value for Job Satisfaction and Turnover Intention.</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lastRenderedPageBreak/>
        <w:t>Table 1: Cronbach Alpha Values for Job Satisfaction and Turnover Intention</w:t>
      </w:r>
    </w:p>
    <w:tbl>
      <w:tblPr>
        <w:tblW w:w="9026" w:type="dxa"/>
        <w:jc w:val="center"/>
        <w:tblBorders>
          <w:top w:val="single" w:sz="4" w:space="0" w:color="000000"/>
          <w:left w:val="nil"/>
          <w:bottom w:val="single" w:sz="4" w:space="0" w:color="000000"/>
          <w:right w:val="nil"/>
          <w:insideH w:val="nil"/>
          <w:insideV w:val="nil"/>
        </w:tblBorders>
        <w:tblLayout w:type="fixed"/>
        <w:tblLook w:val="0400"/>
      </w:tblPr>
      <w:tblGrid>
        <w:gridCol w:w="3060"/>
        <w:gridCol w:w="2520"/>
        <w:gridCol w:w="3446"/>
      </w:tblGrid>
      <w:tr w:rsidR="00653982" w:rsidRPr="009460DA" w:rsidTr="008B2F5A">
        <w:trPr>
          <w:trHeight w:val="386"/>
          <w:jc w:val="center"/>
        </w:trPr>
        <w:tc>
          <w:tcPr>
            <w:tcW w:w="3060" w:type="dxa"/>
            <w:tcBorders>
              <w:top w:val="single" w:sz="4" w:space="0" w:color="000000"/>
              <w:bottom w:val="single" w:sz="4" w:space="0" w:color="000000"/>
            </w:tcBorders>
            <w:vAlign w:val="center"/>
          </w:tcPr>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Construct</w:t>
            </w:r>
          </w:p>
        </w:tc>
        <w:tc>
          <w:tcPr>
            <w:tcW w:w="2520" w:type="dxa"/>
            <w:tcBorders>
              <w:top w:val="single" w:sz="4" w:space="0" w:color="000000"/>
              <w:bottom w:val="single" w:sz="4" w:space="0" w:color="000000"/>
            </w:tcBorders>
            <w:vAlign w:val="center"/>
          </w:tcPr>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Number of Items</w:t>
            </w:r>
          </w:p>
        </w:tc>
        <w:tc>
          <w:tcPr>
            <w:tcW w:w="3446" w:type="dxa"/>
            <w:tcBorders>
              <w:top w:val="single" w:sz="4" w:space="0" w:color="000000"/>
              <w:bottom w:val="single" w:sz="4" w:space="0" w:color="000000"/>
            </w:tcBorders>
            <w:vAlign w:val="center"/>
          </w:tcPr>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Cronbach Alpha</w:t>
            </w:r>
          </w:p>
        </w:tc>
      </w:tr>
      <w:tr w:rsidR="00653982" w:rsidRPr="009460DA" w:rsidTr="008B2F5A">
        <w:trPr>
          <w:trHeight w:val="420"/>
          <w:jc w:val="center"/>
        </w:trPr>
        <w:tc>
          <w:tcPr>
            <w:tcW w:w="3060" w:type="dxa"/>
            <w:tcBorders>
              <w:top w:val="single" w:sz="4" w:space="0" w:color="000000"/>
            </w:tcBorders>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Job Satisfaction</w:t>
            </w:r>
          </w:p>
          <w:p w:rsidR="00653982" w:rsidRPr="009460DA" w:rsidRDefault="00653982" w:rsidP="009460DA">
            <w:pPr>
              <w:spacing w:after="0" w:line="240" w:lineRule="auto"/>
              <w:jc w:val="both"/>
              <w:rPr>
                <w:rFonts w:ascii="Cambria" w:eastAsia="Cambria" w:hAnsi="Cambria" w:cs="Cambria"/>
                <w:sz w:val="20"/>
                <w:szCs w:val="20"/>
              </w:rPr>
            </w:pPr>
          </w:p>
        </w:tc>
        <w:tc>
          <w:tcPr>
            <w:tcW w:w="2520" w:type="dxa"/>
            <w:tcBorders>
              <w:top w:val="single" w:sz="4" w:space="0" w:color="000000"/>
            </w:tcBorders>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36</w:t>
            </w:r>
          </w:p>
        </w:tc>
        <w:tc>
          <w:tcPr>
            <w:tcW w:w="3446" w:type="dxa"/>
            <w:tcBorders>
              <w:top w:val="single" w:sz="4" w:space="0" w:color="000000"/>
            </w:tcBorders>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0.934</w:t>
            </w:r>
          </w:p>
        </w:tc>
      </w:tr>
      <w:tr w:rsidR="00653982" w:rsidRPr="009460DA" w:rsidTr="008B2F5A">
        <w:trPr>
          <w:trHeight w:val="420"/>
          <w:jc w:val="center"/>
        </w:trPr>
        <w:tc>
          <w:tcPr>
            <w:tcW w:w="3060" w:type="dxa"/>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Turnover Intention</w:t>
            </w:r>
          </w:p>
        </w:tc>
        <w:tc>
          <w:tcPr>
            <w:tcW w:w="2520" w:type="dxa"/>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4</w:t>
            </w:r>
          </w:p>
        </w:tc>
        <w:tc>
          <w:tcPr>
            <w:tcW w:w="3446" w:type="dxa"/>
          </w:tcPr>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0.946</w:t>
            </w:r>
          </w:p>
        </w:tc>
      </w:tr>
    </w:tbl>
    <w:p w:rsidR="00653982" w:rsidRPr="009460DA" w:rsidRDefault="00653982" w:rsidP="009460DA">
      <w:pPr>
        <w:spacing w:after="0" w:line="240" w:lineRule="auto"/>
        <w:jc w:val="both"/>
        <w:rPr>
          <w:rFonts w:ascii="Cambria" w:eastAsia="Cambria" w:hAnsi="Cambria" w:cs="Cambria"/>
          <w:b/>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4. Results and Discussion</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Through Pearson's analysis, a relationship between job satisfaction and turnover intention among Educity employees was examined. The analysis revealed a significant and negative correlation between job satisfaction and turnover intention (r = -0.744, p &lt; 0.05). This finding suggests that when employees experience higher levels of job satisfaction, their intention to leave the organization diminishes. In other words, a positive and fulfilling work environment may contribute to reduced turnover intentions among employees.</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Table 2: Relationship between Job Satisfaction and Turnover Intention</w:t>
      </w:r>
    </w:p>
    <w:tbl>
      <w:tblPr>
        <w:tblW w:w="8821" w:type="dxa"/>
        <w:tblInd w:w="205" w:type="dxa"/>
        <w:tblLayout w:type="fixed"/>
        <w:tblLook w:val="0400"/>
      </w:tblPr>
      <w:tblGrid>
        <w:gridCol w:w="3815"/>
        <w:gridCol w:w="2457"/>
        <w:gridCol w:w="2549"/>
      </w:tblGrid>
      <w:tr w:rsidR="00653982" w:rsidRPr="009460DA" w:rsidTr="008B2F5A">
        <w:trPr>
          <w:trHeight w:val="348"/>
        </w:trPr>
        <w:tc>
          <w:tcPr>
            <w:tcW w:w="6272" w:type="dxa"/>
            <w:gridSpan w:val="2"/>
            <w:tcBorders>
              <w:top w:val="single" w:sz="4" w:space="0" w:color="000000"/>
              <w:bottom w:val="single" w:sz="4" w:space="0" w:color="000000"/>
            </w:tcBorders>
            <w:vAlign w:val="center"/>
          </w:tcPr>
          <w:p w:rsidR="00653982" w:rsidRPr="009460DA" w:rsidRDefault="00653982" w:rsidP="009460DA">
            <w:pPr>
              <w:spacing w:after="0" w:line="240" w:lineRule="auto"/>
              <w:jc w:val="both"/>
              <w:rPr>
                <w:rFonts w:ascii="Cambria" w:eastAsia="Cambria" w:hAnsi="Cambria" w:cs="Cambria"/>
                <w:b/>
                <w:color w:val="000000"/>
                <w:sz w:val="20"/>
                <w:szCs w:val="20"/>
              </w:rPr>
            </w:pPr>
          </w:p>
        </w:tc>
        <w:tc>
          <w:tcPr>
            <w:tcW w:w="2549" w:type="dxa"/>
            <w:tcBorders>
              <w:top w:val="single" w:sz="4" w:space="0" w:color="000000"/>
              <w:bottom w:val="single" w:sz="4" w:space="0" w:color="000000"/>
            </w:tcBorders>
            <w:vAlign w:val="center"/>
          </w:tcPr>
          <w:p w:rsidR="00653982" w:rsidRPr="009460DA" w:rsidRDefault="00653982" w:rsidP="009460DA">
            <w:pPr>
              <w:spacing w:after="0" w:line="240" w:lineRule="auto"/>
              <w:jc w:val="both"/>
              <w:rPr>
                <w:rFonts w:ascii="Cambria" w:eastAsia="Cambria" w:hAnsi="Cambria" w:cs="Cambria"/>
                <w:b/>
                <w:color w:val="000000"/>
                <w:sz w:val="20"/>
                <w:szCs w:val="20"/>
              </w:rPr>
            </w:pPr>
            <w:r w:rsidRPr="009460DA">
              <w:rPr>
                <w:rFonts w:ascii="Cambria" w:eastAsia="Cambria" w:hAnsi="Cambria" w:cs="Cambria"/>
                <w:b/>
                <w:color w:val="000000"/>
                <w:sz w:val="20"/>
                <w:szCs w:val="20"/>
              </w:rPr>
              <w:t xml:space="preserve">   Turnover Intention</w:t>
            </w:r>
          </w:p>
        </w:tc>
      </w:tr>
      <w:tr w:rsidR="00653982" w:rsidRPr="009460DA" w:rsidTr="008B2F5A">
        <w:trPr>
          <w:trHeight w:val="174"/>
        </w:trPr>
        <w:tc>
          <w:tcPr>
            <w:tcW w:w="3815" w:type="dxa"/>
            <w:vMerge w:val="restart"/>
            <w:tcBorders>
              <w:top w:val="single" w:sz="4" w:space="0" w:color="000000"/>
              <w:bottom w:val="single" w:sz="4" w:space="0" w:color="auto"/>
            </w:tcBorders>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Job Satisfaction</w:t>
            </w:r>
          </w:p>
        </w:tc>
        <w:tc>
          <w:tcPr>
            <w:tcW w:w="2457" w:type="dxa"/>
            <w:tcBorders>
              <w:top w:val="single" w:sz="4" w:space="0" w:color="000000"/>
            </w:tcBorders>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Pearson Correlation</w:t>
            </w:r>
          </w:p>
        </w:tc>
        <w:tc>
          <w:tcPr>
            <w:tcW w:w="2549" w:type="dxa"/>
            <w:tcBorders>
              <w:top w:val="single" w:sz="4" w:space="0" w:color="000000"/>
            </w:tcBorders>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 xml:space="preserve">                 -.744</w:t>
            </w:r>
            <w:r w:rsidRPr="009460DA">
              <w:rPr>
                <w:rFonts w:ascii="Cambria" w:eastAsia="Cambria" w:hAnsi="Cambria" w:cs="Cambria"/>
                <w:color w:val="000000"/>
                <w:sz w:val="20"/>
                <w:szCs w:val="20"/>
                <w:vertAlign w:val="superscript"/>
              </w:rPr>
              <w:t>**</w:t>
            </w:r>
          </w:p>
        </w:tc>
      </w:tr>
      <w:tr w:rsidR="00653982" w:rsidRPr="009460DA" w:rsidTr="008B2F5A">
        <w:trPr>
          <w:trHeight w:val="174"/>
        </w:trPr>
        <w:tc>
          <w:tcPr>
            <w:tcW w:w="3815" w:type="dxa"/>
            <w:vMerge/>
            <w:tcBorders>
              <w:top w:val="single" w:sz="4" w:space="0" w:color="000000"/>
              <w:bottom w:val="single" w:sz="4" w:space="0" w:color="auto"/>
            </w:tcBorders>
          </w:tcPr>
          <w:p w:rsidR="00653982" w:rsidRPr="009460DA" w:rsidRDefault="00653982" w:rsidP="009460DA">
            <w:pPr>
              <w:widowControl w:val="0"/>
              <w:pBdr>
                <w:top w:val="nil"/>
                <w:left w:val="nil"/>
                <w:bottom w:val="nil"/>
                <w:right w:val="nil"/>
                <w:between w:val="nil"/>
              </w:pBdr>
              <w:spacing w:after="0" w:line="240" w:lineRule="auto"/>
              <w:jc w:val="both"/>
              <w:rPr>
                <w:rFonts w:ascii="Cambria" w:eastAsia="Cambria" w:hAnsi="Cambria" w:cs="Cambria"/>
                <w:color w:val="000000"/>
                <w:sz w:val="20"/>
                <w:szCs w:val="20"/>
              </w:rPr>
            </w:pPr>
          </w:p>
        </w:tc>
        <w:tc>
          <w:tcPr>
            <w:tcW w:w="2457" w:type="dxa"/>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Sig. (2-tailed)</w:t>
            </w:r>
          </w:p>
        </w:tc>
        <w:tc>
          <w:tcPr>
            <w:tcW w:w="2549" w:type="dxa"/>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 xml:space="preserve">              .000</w:t>
            </w:r>
          </w:p>
        </w:tc>
      </w:tr>
      <w:tr w:rsidR="00653982" w:rsidRPr="009460DA" w:rsidTr="008B2F5A">
        <w:trPr>
          <w:trHeight w:val="70"/>
        </w:trPr>
        <w:tc>
          <w:tcPr>
            <w:tcW w:w="3815" w:type="dxa"/>
            <w:vMerge/>
            <w:tcBorders>
              <w:top w:val="single" w:sz="4" w:space="0" w:color="000000"/>
              <w:bottom w:val="single" w:sz="4" w:space="0" w:color="auto"/>
            </w:tcBorders>
          </w:tcPr>
          <w:p w:rsidR="00653982" w:rsidRPr="009460DA" w:rsidRDefault="00653982" w:rsidP="009460DA">
            <w:pPr>
              <w:widowControl w:val="0"/>
              <w:pBdr>
                <w:top w:val="nil"/>
                <w:left w:val="nil"/>
                <w:bottom w:val="nil"/>
                <w:right w:val="nil"/>
                <w:between w:val="nil"/>
              </w:pBdr>
              <w:spacing w:after="0" w:line="240" w:lineRule="auto"/>
              <w:jc w:val="both"/>
              <w:rPr>
                <w:rFonts w:ascii="Cambria" w:eastAsia="Cambria" w:hAnsi="Cambria" w:cs="Cambria"/>
                <w:color w:val="000000"/>
                <w:sz w:val="20"/>
                <w:szCs w:val="20"/>
              </w:rPr>
            </w:pPr>
          </w:p>
        </w:tc>
        <w:tc>
          <w:tcPr>
            <w:tcW w:w="2457" w:type="dxa"/>
            <w:tcBorders>
              <w:bottom w:val="single" w:sz="4" w:space="0" w:color="auto"/>
            </w:tcBorders>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N</w:t>
            </w:r>
          </w:p>
        </w:tc>
        <w:tc>
          <w:tcPr>
            <w:tcW w:w="2549" w:type="dxa"/>
            <w:tcBorders>
              <w:bottom w:val="single" w:sz="4" w:space="0" w:color="auto"/>
            </w:tcBorders>
          </w:tcPr>
          <w:p w:rsidR="00653982" w:rsidRPr="009460DA" w:rsidRDefault="00653982" w:rsidP="009460DA">
            <w:pPr>
              <w:spacing w:after="0" w:line="240" w:lineRule="auto"/>
              <w:jc w:val="both"/>
              <w:rPr>
                <w:rFonts w:ascii="Cambria" w:eastAsia="Cambria" w:hAnsi="Cambria" w:cs="Cambria"/>
                <w:color w:val="000000"/>
                <w:sz w:val="20"/>
                <w:szCs w:val="20"/>
              </w:rPr>
            </w:pPr>
            <w:r w:rsidRPr="009460DA">
              <w:rPr>
                <w:rFonts w:ascii="Cambria" w:eastAsia="Cambria" w:hAnsi="Cambria" w:cs="Cambria"/>
                <w:color w:val="000000"/>
                <w:sz w:val="20"/>
                <w:szCs w:val="20"/>
              </w:rPr>
              <w:t xml:space="preserve">              40</w:t>
            </w:r>
          </w:p>
        </w:tc>
      </w:tr>
    </w:tbl>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The research conducted on Educity employees revealed a significant and negative relationship between job satisfaction and turnover intention. This finding aligns with a previous study conducted by Mawardi (2022) among lecturers in Indonesia, which also demonstrated a significant correlation between job satisfaction and turnover intention. These results indicate that employees at Educity generally experience higher levels of job satisfaction, leading to a reduced likelihood of considering leaving their current positions. However, it's important to acknowledge that contrasting viewpoints may exist. When employees feel content and satisfied with their work, they tend to exhibit stronger dedication, loyalty, and connection to the company, which diminishes their desire to explore other job prospects. This notion is supported by Ahakwa et al. (2021), who emphasize that dedicated workers often exhibit loyalty towards organizations that provide a safe and happy working environment.</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When an employee's job satisfaction is met and they feel content with their work, it can be inferred that they are less likely to leave the organization. Conversely, if an employee's job satisfaction remains low, their intention to leave the organization is more likely to increase. These findings align with previous studies conducted by Thakre and Shroff (2016) and Kalidass and Bahron (2015), which also found a negative relationship between organizational commitment and turnover intention. To address this issue, organizations should strive to reduce this disparity by focusing on increasing employee satisfaction and decreasing turnover. Wu and Chi (2020) further emphasized that satisfied employees tend to perceive other job opportunities as less appealing, resulting in reduced motivation to actively seek alternative employment.</w:t>
      </w:r>
    </w:p>
    <w:p w:rsidR="00653982" w:rsidRPr="009460DA" w:rsidRDefault="00653982" w:rsidP="009460DA">
      <w:pPr>
        <w:spacing w:after="0" w:line="240" w:lineRule="auto"/>
        <w:jc w:val="both"/>
        <w:rPr>
          <w:rFonts w:ascii="Cambria" w:eastAsia="Cambria" w:hAnsi="Cambria" w:cs="Cambria"/>
          <w:color w:val="000000"/>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5. Conclusion and Recommendations</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sz w:val="20"/>
          <w:szCs w:val="20"/>
        </w:rPr>
      </w:pPr>
      <w:r w:rsidRPr="009460DA">
        <w:rPr>
          <w:rFonts w:ascii="Cambria" w:eastAsia="Cambria" w:hAnsi="Cambria" w:cs="Cambria"/>
          <w:sz w:val="20"/>
          <w:szCs w:val="20"/>
        </w:rPr>
        <w:t xml:space="preserve">In conclusion, a significant and moderate negative relationship exists between job satisfaction and turnover intention among Educity employees. This study has provided valuable insights into the significant connection between job satisfaction and turnover intention among employees. The results unequivocally demonstrate that job satisfaction plays a pivotal role in shaping employees' inclination to leave an organization. When employees experience high levels of job satisfaction, their likelihood of considering resignation decreases. Consequently, organizations must prioritize initiatives to improve job satisfaction to mitigate turnover rates. By comprehending the factors contributing to job satisfaction, organizations can formulate effective strategies and policies that cultivate a positive work environment conducive to satisfaction and retention. Hence, this study recommends future studies using interview sessions to determine employees’ job satisfaction in expanding the study’s findings. It can give highly beneficial results as the researcher can </w:t>
      </w:r>
      <w:r w:rsidRPr="009460DA">
        <w:rPr>
          <w:rFonts w:ascii="Cambria" w:eastAsia="Cambria" w:hAnsi="Cambria" w:cs="Cambria"/>
          <w:sz w:val="20"/>
          <w:szCs w:val="20"/>
        </w:rPr>
        <w:lastRenderedPageBreak/>
        <w:t>interpret the emotion and feelings of respondents. As a result, this research closed a research gap in the literature review regarding job satisfaction and intention to leave an organization.</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eastAsia="Cambria" w:hAnsi="Cambria" w:cs="Cambria"/>
          <w:b/>
          <w:sz w:val="20"/>
          <w:szCs w:val="20"/>
        </w:rPr>
      </w:pPr>
      <w:r w:rsidRPr="009460DA">
        <w:rPr>
          <w:rFonts w:ascii="Cambria" w:eastAsia="Cambria" w:hAnsi="Cambria" w:cs="Cambria"/>
          <w:b/>
          <w:sz w:val="20"/>
          <w:szCs w:val="20"/>
        </w:rPr>
        <w:t>References</w:t>
      </w:r>
    </w:p>
    <w:p w:rsidR="00653982" w:rsidRPr="009460DA" w:rsidRDefault="00653982" w:rsidP="009460DA">
      <w:pPr>
        <w:spacing w:after="0" w:line="240" w:lineRule="auto"/>
        <w:jc w:val="both"/>
        <w:rPr>
          <w:rFonts w:ascii="Cambria" w:eastAsia="Cambria" w:hAnsi="Cambria" w:cs="Cambria"/>
          <w:b/>
          <w:sz w:val="20"/>
          <w:szCs w:val="20"/>
        </w:rPr>
      </w:pP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Aburumman, O., Salleh, A., Omar, K. &amp; Abadi, M. (2020). The impact of human resource management practices and career satisfaction on employee’s turnover intention. </w:t>
      </w:r>
      <w:r w:rsidRPr="009460DA">
        <w:rPr>
          <w:rFonts w:ascii="Cambria" w:eastAsia="Cambria" w:hAnsi="Cambria" w:cs="Cambria"/>
          <w:i/>
          <w:sz w:val="20"/>
          <w:szCs w:val="20"/>
          <w:highlight w:val="white"/>
        </w:rPr>
        <w:t>Management Science Letters</w:t>
      </w:r>
      <w:r w:rsidRPr="009460DA">
        <w:rPr>
          <w:rFonts w:ascii="Cambria" w:eastAsia="Cambria" w:hAnsi="Cambria" w:cs="Cambria"/>
          <w:sz w:val="20"/>
          <w:szCs w:val="20"/>
          <w:highlight w:val="white"/>
        </w:rPr>
        <w:t>, 10(3), 641-652.</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Ahakwa, I., Yang, J., Tackie, E. A. &amp; Atingabili, S. (2021). The influence of employee engagement, work environment and job satisfaction on organizational commitment and performance of employees: a sampling weight in PLS path modeling. </w:t>
      </w:r>
      <w:r w:rsidRPr="009460DA">
        <w:rPr>
          <w:rFonts w:ascii="Cambria" w:eastAsia="Cambria" w:hAnsi="Cambria" w:cs="Cambria"/>
          <w:i/>
          <w:sz w:val="20"/>
          <w:szCs w:val="20"/>
          <w:highlight w:val="white"/>
        </w:rPr>
        <w:t>SEISENSE Journal of Management</w:t>
      </w:r>
      <w:r w:rsidRPr="009460DA">
        <w:rPr>
          <w:rFonts w:ascii="Cambria" w:eastAsia="Cambria" w:hAnsi="Cambria" w:cs="Cambria"/>
          <w:sz w:val="20"/>
          <w:szCs w:val="20"/>
          <w:highlight w:val="white"/>
        </w:rPr>
        <w:t>, 4(3), 34-62.</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Ahmad, M. F., Safwan, N. S. Z., Dahlan, N. D., Bakri, N. H. S., Tumijan, W. &amp; Aznan, E. A. M. (2022). Exploring Human Resource Management Practices and Employability: A Study on Sports Graduates in Malaysia. Hong Kong Journal of Social Sciences.</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Ahmad, M. F., Salamuddin, N. &amp; Surat, S. (2022). Comparing Public and Private Sectors in Malaysia: A Study of Human Resource Management Practices among Sports Graduates. </w:t>
      </w:r>
      <w:r w:rsidRPr="009460DA">
        <w:rPr>
          <w:rFonts w:ascii="Cambria" w:eastAsia="Cambria" w:hAnsi="Cambria" w:cs="Cambria"/>
          <w:i/>
          <w:sz w:val="20"/>
          <w:szCs w:val="20"/>
          <w:highlight w:val="white"/>
        </w:rPr>
        <w:t>Journal of Academic Research in Business and Social Sciences</w:t>
      </w:r>
      <w:r w:rsidRPr="009460DA">
        <w:rPr>
          <w:rFonts w:ascii="Cambria" w:eastAsia="Cambria" w:hAnsi="Cambria" w:cs="Cambria"/>
          <w:sz w:val="20"/>
          <w:szCs w:val="20"/>
          <w:highlight w:val="white"/>
        </w:rPr>
        <w:t>, 12(1), 1033-1046.</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Ali, B. J. &amp; Anwar, G. (2021). Employee Turnover Intention and Job Satisfaction. Ali, B. J. &amp; Anwar, G. (2021). Employee Turnover Intention and Job Satisfaction.</w:t>
      </w:r>
      <w:r w:rsidRPr="009460DA">
        <w:rPr>
          <w:rFonts w:ascii="Cambria" w:eastAsia="Cambria" w:hAnsi="Cambria" w:cs="Cambria"/>
          <w:i/>
          <w:sz w:val="20"/>
          <w:szCs w:val="20"/>
        </w:rPr>
        <w:t xml:space="preserve"> International Journal of Advanced Engineering, Management and Science</w:t>
      </w:r>
      <w:r w:rsidRPr="009460DA">
        <w:rPr>
          <w:rFonts w:ascii="Cambria" w:eastAsia="Cambria" w:hAnsi="Cambria" w:cs="Cambria"/>
          <w:sz w:val="20"/>
          <w:szCs w:val="20"/>
        </w:rPr>
        <w:t>, 7(6), 22-30.</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Asrar-ul-Haq, M., Ali, H. Y., Anwar, S., Iqbal, A., Iqbal, M. B., Suleman, N., Sadiq, I. &amp; Haris-ul-Mahasbi, M. (2019). Impact of organizational politics on employee work outcomes in higher education institutions of Pakistan: The moderating role of social capital. South Asian Journal of Business Studies.</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Azlan, A. (2021). Employees resign on salary dissatisfaction, lack of career progression, says Mercer. https://themalaysianreserve.com/2021/10/15/employees-resign-on-salary-dissatisfaction-lack-of-career-progression-says-mercer/</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Bulińska-Stangrecka, H. &amp; Bagieńska, A. (2021). The role of employee relations in shaping job satisfaction as an element promoting positive mental health at work in the era of COVID-19. </w:t>
      </w:r>
      <w:r w:rsidRPr="009460DA">
        <w:rPr>
          <w:rFonts w:ascii="Cambria" w:eastAsia="Cambria" w:hAnsi="Cambria" w:cs="Cambria"/>
          <w:i/>
          <w:sz w:val="20"/>
          <w:szCs w:val="20"/>
          <w:highlight w:val="white"/>
        </w:rPr>
        <w:t>International journal of environmental research and public health</w:t>
      </w:r>
      <w:r w:rsidRPr="009460DA">
        <w:rPr>
          <w:rFonts w:ascii="Cambria" w:eastAsia="Cambria" w:hAnsi="Cambria" w:cs="Cambria"/>
          <w:sz w:val="20"/>
          <w:szCs w:val="20"/>
          <w:highlight w:val="white"/>
        </w:rPr>
        <w:t>, 18(4), 1903.</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Ramadhani, S. (2014). Factors influencing job satisfaction and turnover intentions in commercial Banks (Doctoral dissertation, The Open University of Tanzania).</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Dewi, R. S. &amp; Nurhayati, M. (2021). The effect of career development on the turnover intention with job satisfaction and organizational commitment as mediators, study at PT Control Systems Arena Para Nusa. </w:t>
      </w:r>
      <w:r w:rsidRPr="009460DA">
        <w:rPr>
          <w:rFonts w:ascii="Cambria" w:eastAsia="Cambria" w:hAnsi="Cambria" w:cs="Cambria"/>
          <w:i/>
          <w:sz w:val="20"/>
          <w:szCs w:val="20"/>
        </w:rPr>
        <w:t>European Journal of Business and Management Research</w:t>
      </w:r>
      <w:r w:rsidRPr="009460DA">
        <w:rPr>
          <w:rFonts w:ascii="Cambria" w:eastAsia="Cambria" w:hAnsi="Cambria" w:cs="Cambria"/>
          <w:sz w:val="20"/>
          <w:szCs w:val="20"/>
        </w:rPr>
        <w:t>, 6(4), 11-18.</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Kalidass, A. &amp; Bahron, A. (2015). The Relationship between Perceived Supervisor Support, Perceived Organizational Support, Organizational Commitment and Employee Turnover Intention. </w:t>
      </w:r>
      <w:r w:rsidRPr="009460DA">
        <w:rPr>
          <w:rFonts w:ascii="Cambria" w:eastAsia="Cambria" w:hAnsi="Cambria" w:cs="Cambria"/>
          <w:i/>
          <w:sz w:val="20"/>
          <w:szCs w:val="20"/>
        </w:rPr>
        <w:t>International Journal of Business Administration,</w:t>
      </w:r>
      <w:r w:rsidRPr="009460DA">
        <w:rPr>
          <w:rFonts w:ascii="Cambria" w:eastAsia="Cambria" w:hAnsi="Cambria" w:cs="Cambria"/>
          <w:sz w:val="20"/>
          <w:szCs w:val="20"/>
        </w:rPr>
        <w:t xml:space="preserve"> 6(5), 1–12. https://doi.org/10.5430/ijba.v6n5p82</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Konting, M. M., Kamaruddin, N. &amp; Man, N. A. (2009). Quality assurance in higher education institutions: Exit survey among Universiti Putra Malaysia graduating students.</w:t>
      </w:r>
      <w:r w:rsidRPr="009460DA">
        <w:rPr>
          <w:rFonts w:ascii="Cambria" w:eastAsia="Cambria" w:hAnsi="Cambria" w:cs="Cambria"/>
          <w:i/>
          <w:sz w:val="20"/>
          <w:szCs w:val="20"/>
        </w:rPr>
        <w:t xml:space="preserve"> International Education Studies,</w:t>
      </w:r>
      <w:r w:rsidRPr="009460DA">
        <w:rPr>
          <w:rFonts w:ascii="Cambria" w:eastAsia="Cambria" w:hAnsi="Cambria" w:cs="Cambria"/>
          <w:sz w:val="20"/>
          <w:szCs w:val="20"/>
        </w:rPr>
        <w:t xml:space="preserve"> 2(1). </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Lawler, E., Cammann, C., Nadler, D. &amp; Jenkins, D. (1975). Michigan Organizational Assessment Questionnaire (MOAQ)</w:t>
      </w:r>
      <w:r w:rsidRPr="009460DA">
        <w:rPr>
          <w:rFonts w:ascii="Cambria" w:eastAsia="Cambria" w:hAnsi="Cambria" w:cs="Cambria"/>
          <w:i/>
          <w:sz w:val="20"/>
          <w:szCs w:val="20"/>
          <w:highlight w:val="white"/>
        </w:rPr>
        <w:t> </w:t>
      </w:r>
      <w:r w:rsidRPr="009460DA">
        <w:rPr>
          <w:rFonts w:ascii="Cambria" w:eastAsia="Cambria" w:hAnsi="Cambria" w:cs="Cambria"/>
          <w:sz w:val="20"/>
          <w:szCs w:val="20"/>
          <w:highlight w:val="white"/>
        </w:rPr>
        <w:t>[Database record]. APA PsycTests.</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Mahdi, A. F., Zin, M. Z. M., Nor, M. R. M., Sakat, A. A. &amp; Naim, A. S. A. (2019). The relationship between job satisfaction and turnover intention. </w:t>
      </w:r>
      <w:r w:rsidRPr="009460DA">
        <w:rPr>
          <w:rFonts w:ascii="Cambria" w:eastAsia="Cambria" w:hAnsi="Cambria" w:cs="Cambria"/>
          <w:i/>
          <w:sz w:val="20"/>
          <w:szCs w:val="20"/>
        </w:rPr>
        <w:t xml:space="preserve">American Journal of Applied Sciences, </w:t>
      </w:r>
      <w:r w:rsidRPr="009460DA">
        <w:rPr>
          <w:rFonts w:ascii="Cambria" w:eastAsia="Cambria" w:hAnsi="Cambria" w:cs="Cambria"/>
          <w:sz w:val="20"/>
          <w:szCs w:val="20"/>
        </w:rPr>
        <w:t>9(9), 1518–1526. https://doi.org/10.5296/ijhrs.v9i2.14618</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Mawardi, M. C. (2022). Alternative Work Arrangements, Work Environment, and Job Stress on Job Satisfaction and Turnover Intention. </w:t>
      </w:r>
      <w:r w:rsidRPr="009460DA">
        <w:rPr>
          <w:rFonts w:ascii="Cambria" w:eastAsia="Cambria" w:hAnsi="Cambria" w:cs="Cambria"/>
          <w:i/>
          <w:sz w:val="20"/>
          <w:szCs w:val="20"/>
          <w:highlight w:val="white"/>
        </w:rPr>
        <w:t>Golden Ratio of Human Resource Management</w:t>
      </w:r>
      <w:r w:rsidRPr="009460DA">
        <w:rPr>
          <w:rFonts w:ascii="Cambria" w:eastAsia="Cambria" w:hAnsi="Cambria" w:cs="Cambria"/>
          <w:sz w:val="20"/>
          <w:szCs w:val="20"/>
          <w:highlight w:val="white"/>
        </w:rPr>
        <w:t>, 2(1), 27-39.</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Noviantoro, D., Moeins, A. &amp; Madiistriyatno, H. (2018). Antecedent of Work Satisfaction, and Implications to Turnover Intention Salesman Dealer Official Automobile. </w:t>
      </w:r>
      <w:r w:rsidRPr="009460DA">
        <w:rPr>
          <w:rFonts w:ascii="Cambria" w:eastAsia="Cambria" w:hAnsi="Cambria" w:cs="Cambria"/>
          <w:i/>
          <w:sz w:val="20"/>
          <w:szCs w:val="20"/>
        </w:rPr>
        <w:t xml:space="preserve">Academy of Strategic Management Journal, </w:t>
      </w:r>
      <w:r w:rsidRPr="009460DA">
        <w:rPr>
          <w:rFonts w:ascii="Cambria" w:eastAsia="Cambria" w:hAnsi="Cambria" w:cs="Cambria"/>
          <w:sz w:val="20"/>
          <w:szCs w:val="20"/>
        </w:rPr>
        <w:t>17(6), 1–12.</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Pinglim, A. J., Loo, J. T. K. &amp; Lee, P. H. (2017). The Impact of Leadership on Turnover Intention The mediating role of Organizational Commitment and Job Satisfaction. </w:t>
      </w:r>
      <w:r w:rsidRPr="009460DA">
        <w:rPr>
          <w:rFonts w:ascii="Cambria" w:eastAsia="Cambria" w:hAnsi="Cambria" w:cs="Cambria"/>
          <w:i/>
          <w:sz w:val="20"/>
          <w:szCs w:val="20"/>
        </w:rPr>
        <w:t xml:space="preserve">Journal of Applied Structural Equation Modeling, </w:t>
      </w:r>
      <w:r w:rsidRPr="009460DA">
        <w:rPr>
          <w:rFonts w:ascii="Cambria" w:eastAsia="Cambria" w:hAnsi="Cambria" w:cs="Cambria"/>
          <w:sz w:val="20"/>
          <w:szCs w:val="20"/>
        </w:rPr>
        <w:t>1(1), 24–41.</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lastRenderedPageBreak/>
        <w:t>Saeed, I., Waseem, M., Sikander, S. &amp; Rizwan, M. (2014). The relationship of turnover intention with job satisfaction, job performance, leader-member exchange, emotional intelligence and organizational commitment. </w:t>
      </w:r>
      <w:r w:rsidRPr="009460DA">
        <w:rPr>
          <w:rFonts w:ascii="Cambria" w:eastAsia="Cambria" w:hAnsi="Cambria" w:cs="Cambria"/>
          <w:i/>
          <w:sz w:val="20"/>
          <w:szCs w:val="20"/>
        </w:rPr>
        <w:t>International journal of learning and development</w:t>
      </w:r>
      <w:r w:rsidRPr="009460DA">
        <w:rPr>
          <w:rFonts w:ascii="Cambria" w:eastAsia="Cambria" w:hAnsi="Cambria" w:cs="Cambria"/>
          <w:sz w:val="20"/>
          <w:szCs w:val="20"/>
        </w:rPr>
        <w:t>, 4(2), 242-256.</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Safwan, N. S. Z., Ahmad, M. F., Bakri, N. H. S., Ahmad Tajri, A., Meor Ab. Rahim, M. D., Abu Bakar, A. H. &amp; Surat, S. (2023). The Level of Human Resource Management Practices in Malaysia: A Study on Sports Graduates’ Perceptions. </w:t>
      </w:r>
      <w:r w:rsidRPr="009460DA">
        <w:rPr>
          <w:rFonts w:ascii="Cambria" w:eastAsia="Cambria" w:hAnsi="Cambria" w:cs="Cambria"/>
          <w:i/>
          <w:sz w:val="20"/>
          <w:szCs w:val="20"/>
        </w:rPr>
        <w:t>International Journal of Academic Research in Economics and Management Sciences,</w:t>
      </w:r>
      <w:r w:rsidRPr="009460DA">
        <w:rPr>
          <w:rFonts w:ascii="Cambria" w:eastAsia="Cambria" w:hAnsi="Cambria" w:cs="Cambria"/>
          <w:sz w:val="20"/>
          <w:szCs w:val="20"/>
        </w:rPr>
        <w:t xml:space="preserve"> 12(1), 157–168. </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Scholtz, B. M., Van Belle, J. P., Njenga, K., Serenko, A. &amp; Palvia, P. (2019). The role of job satisfaction in turnover and turn-away intention of IT staff in South Africa. </w:t>
      </w:r>
      <w:r w:rsidRPr="009460DA">
        <w:rPr>
          <w:rFonts w:ascii="Cambria" w:eastAsia="Cambria" w:hAnsi="Cambria" w:cs="Cambria"/>
          <w:i/>
          <w:sz w:val="20"/>
          <w:szCs w:val="20"/>
          <w:highlight w:val="white"/>
        </w:rPr>
        <w:t>Interdisciplinary Journal of Information, Knowledge, and Management</w:t>
      </w:r>
      <w:r w:rsidRPr="009460DA">
        <w:rPr>
          <w:rFonts w:ascii="Cambria" w:eastAsia="Cambria" w:hAnsi="Cambria" w:cs="Cambria"/>
          <w:sz w:val="20"/>
          <w:szCs w:val="20"/>
          <w:highlight w:val="white"/>
        </w:rPr>
        <w:t xml:space="preserve">, 14, 77-97. </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Skelton, A. R., Nattress, D. &amp; Dwyer, R. J. (2019). Predicting manufacturing employee turnover intentions. </w:t>
      </w:r>
      <w:r w:rsidRPr="009460DA">
        <w:rPr>
          <w:rFonts w:ascii="Cambria" w:eastAsia="Cambria" w:hAnsi="Cambria" w:cs="Cambria"/>
          <w:i/>
          <w:sz w:val="20"/>
          <w:szCs w:val="20"/>
        </w:rPr>
        <w:t>Journal of Economics, Finance and Administrative Science</w:t>
      </w:r>
      <w:r w:rsidRPr="009460DA">
        <w:rPr>
          <w:rFonts w:ascii="Cambria" w:eastAsia="Cambria" w:hAnsi="Cambria" w:cs="Cambria"/>
          <w:sz w:val="20"/>
          <w:szCs w:val="20"/>
        </w:rPr>
        <w:t xml:space="preserve">, 1(1), 1–20. </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Spector Paul, E. (1994). Job Satisfaction Survey. Tampa, FL: Department of Psychology, University of South Florida.</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Thakre, N. &amp; Shroff, N. (2016). Organizational Climate, Organizational Role Stress and Job Satisfaction Among Employees. </w:t>
      </w:r>
      <w:r w:rsidRPr="009460DA">
        <w:rPr>
          <w:rFonts w:ascii="Cambria" w:eastAsia="Cambria" w:hAnsi="Cambria" w:cs="Cambria"/>
          <w:i/>
          <w:sz w:val="20"/>
          <w:szCs w:val="20"/>
        </w:rPr>
        <w:t>Journal of Psychosocial Research</w:t>
      </w:r>
      <w:r w:rsidRPr="009460DA">
        <w:rPr>
          <w:rFonts w:ascii="Cambria" w:eastAsia="Cambria" w:hAnsi="Cambria" w:cs="Cambria"/>
          <w:sz w:val="20"/>
          <w:szCs w:val="20"/>
        </w:rPr>
        <w:t>, 11(2), 469–478.</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rPr>
        <w:t xml:space="preserve">Turgut, H., Bekmezci, M. &amp; Ates, M. F. (2017). The Moderating Role of Job Satisfaction on the Relationship between Servant Leadership and Turnover Intention. </w:t>
      </w:r>
      <w:r w:rsidRPr="009460DA">
        <w:rPr>
          <w:rFonts w:ascii="Cambria" w:eastAsia="Cambria" w:hAnsi="Cambria" w:cs="Cambria"/>
          <w:i/>
          <w:sz w:val="20"/>
          <w:szCs w:val="20"/>
        </w:rPr>
        <w:t>Journal of Business Research Turk</w:t>
      </w:r>
      <w:r w:rsidRPr="009460DA">
        <w:rPr>
          <w:rFonts w:ascii="Cambria" w:eastAsia="Cambria" w:hAnsi="Cambria" w:cs="Cambria"/>
          <w:sz w:val="20"/>
          <w:szCs w:val="20"/>
        </w:rPr>
        <w:t>, 9(2), 300–314.</w:t>
      </w:r>
    </w:p>
    <w:p w:rsidR="00653982" w:rsidRPr="009460DA" w:rsidRDefault="00653982" w:rsidP="009460DA">
      <w:pPr>
        <w:tabs>
          <w:tab w:val="left" w:pos="-270"/>
        </w:tabs>
        <w:spacing w:after="0" w:line="240" w:lineRule="auto"/>
        <w:ind w:left="720" w:hanging="720"/>
        <w:jc w:val="both"/>
        <w:rPr>
          <w:rFonts w:ascii="Cambria" w:eastAsia="Cambria" w:hAnsi="Cambria" w:cs="Cambria"/>
          <w:sz w:val="20"/>
          <w:szCs w:val="20"/>
          <w:highlight w:val="white"/>
        </w:rPr>
      </w:pPr>
      <w:r w:rsidRPr="009460DA">
        <w:rPr>
          <w:rFonts w:ascii="Cambria" w:eastAsia="Cambria" w:hAnsi="Cambria" w:cs="Cambria"/>
          <w:sz w:val="20"/>
          <w:szCs w:val="20"/>
          <w:highlight w:val="white"/>
        </w:rPr>
        <w:t>Wu, I. H. &amp; Chi, N. W. (2020). The journey to leave: Understanding the roles of perceived ease of movement, proactive personality, and person-organization fit in overqualified employees' job searching process. </w:t>
      </w:r>
      <w:r w:rsidRPr="009460DA">
        <w:rPr>
          <w:rFonts w:ascii="Cambria" w:eastAsia="Cambria" w:hAnsi="Cambria" w:cs="Cambria"/>
          <w:i/>
          <w:sz w:val="20"/>
          <w:szCs w:val="20"/>
          <w:highlight w:val="white"/>
        </w:rPr>
        <w:t>Journal of Organizational Behavior</w:t>
      </w:r>
      <w:r w:rsidRPr="009460DA">
        <w:rPr>
          <w:rFonts w:ascii="Cambria" w:eastAsia="Cambria" w:hAnsi="Cambria" w:cs="Cambria"/>
          <w:sz w:val="20"/>
          <w:szCs w:val="20"/>
          <w:highlight w:val="white"/>
        </w:rPr>
        <w:t>, 41(9), 851-870.</w:t>
      </w:r>
    </w:p>
    <w:p w:rsidR="00653982" w:rsidRPr="009460DA" w:rsidRDefault="00653982" w:rsidP="009460DA">
      <w:pPr>
        <w:spacing w:after="0" w:line="240" w:lineRule="auto"/>
        <w:jc w:val="both"/>
        <w:rPr>
          <w:rFonts w:ascii="Cambria" w:eastAsia="Cambria" w:hAnsi="Cambria" w:cs="Cambria"/>
          <w:sz w:val="20"/>
          <w:szCs w:val="20"/>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Default="00653982"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Default="008471BD" w:rsidP="009460DA">
      <w:pPr>
        <w:spacing w:after="0" w:line="240" w:lineRule="auto"/>
        <w:jc w:val="both"/>
        <w:rPr>
          <w:rFonts w:ascii="Cambria" w:hAnsi="Cambria"/>
          <w:sz w:val="20"/>
          <w:szCs w:val="20"/>
          <w:lang w:val="en-US" w:eastAsia="zh-CN"/>
        </w:rPr>
      </w:pPr>
    </w:p>
    <w:p w:rsidR="008471BD" w:rsidRPr="009460DA" w:rsidRDefault="008471BD"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9460DA">
      <w:pPr>
        <w:spacing w:after="0" w:line="240" w:lineRule="auto"/>
        <w:jc w:val="both"/>
        <w:rPr>
          <w:rFonts w:ascii="Cambria" w:hAnsi="Cambria"/>
          <w:sz w:val="20"/>
          <w:szCs w:val="20"/>
          <w:lang w:val="en-US" w:eastAsia="zh-CN"/>
        </w:rPr>
      </w:pPr>
    </w:p>
    <w:p w:rsidR="00653982" w:rsidRPr="009460DA" w:rsidRDefault="00653982" w:rsidP="008471BD">
      <w:pPr>
        <w:tabs>
          <w:tab w:val="left" w:pos="7377"/>
        </w:tabs>
        <w:spacing w:after="0" w:line="240" w:lineRule="auto"/>
        <w:jc w:val="center"/>
        <w:rPr>
          <w:rFonts w:ascii="Cambria" w:hAnsi="Cambria" w:cstheme="majorBidi"/>
          <w:b/>
          <w:bCs/>
          <w:sz w:val="20"/>
          <w:szCs w:val="20"/>
          <w:lang w:val="en-ZA"/>
        </w:rPr>
      </w:pPr>
      <w:r w:rsidRPr="009460DA">
        <w:rPr>
          <w:rFonts w:ascii="Cambria" w:hAnsi="Cambria" w:cstheme="majorBidi"/>
          <w:b/>
          <w:bCs/>
          <w:sz w:val="20"/>
          <w:szCs w:val="20"/>
          <w:lang w:val="en-ZA"/>
        </w:rPr>
        <w:lastRenderedPageBreak/>
        <w:t>Does Internal Audit Quality Improve Firm Performance? The Moderating Effect of Chief Audit Executive Gender</w:t>
      </w:r>
    </w:p>
    <w:p w:rsidR="00653982" w:rsidRPr="009460DA" w:rsidRDefault="00653982" w:rsidP="008471BD">
      <w:pPr>
        <w:spacing w:after="0" w:line="240" w:lineRule="auto"/>
        <w:jc w:val="center"/>
        <w:rPr>
          <w:rFonts w:ascii="Cambria" w:hAnsi="Cambria" w:cstheme="majorBidi"/>
          <w:b/>
          <w:bCs/>
          <w:sz w:val="20"/>
          <w:szCs w:val="20"/>
          <w:lang w:val="en-ZA"/>
        </w:rPr>
      </w:pPr>
    </w:p>
    <w:p w:rsidR="00653982" w:rsidRPr="009460DA" w:rsidRDefault="00653982" w:rsidP="008471BD">
      <w:pPr>
        <w:spacing w:after="0" w:line="240" w:lineRule="auto"/>
        <w:jc w:val="center"/>
        <w:rPr>
          <w:rFonts w:ascii="Cambria" w:hAnsi="Cambria" w:cstheme="majorBidi"/>
          <w:color w:val="7030A0"/>
          <w:sz w:val="20"/>
          <w:szCs w:val="20"/>
        </w:rPr>
      </w:pPr>
      <w:r w:rsidRPr="009460DA">
        <w:rPr>
          <w:rFonts w:ascii="Cambria" w:eastAsia="Times New Roman" w:hAnsi="Cambria" w:cstheme="majorBidi"/>
          <w:color w:val="7030A0"/>
          <w:sz w:val="20"/>
          <w:szCs w:val="20"/>
          <w:lang w:eastAsia="en-GB"/>
        </w:rPr>
        <w:t>Hella Dellai</w:t>
      </w:r>
    </w:p>
    <w:p w:rsidR="00653982" w:rsidRPr="009460DA" w:rsidRDefault="00653982" w:rsidP="008471BD">
      <w:pPr>
        <w:spacing w:after="0" w:line="240" w:lineRule="auto"/>
        <w:jc w:val="center"/>
        <w:rPr>
          <w:rFonts w:ascii="Cambria" w:eastAsia="Times New Roman" w:hAnsi="Cambria" w:cstheme="majorBidi"/>
          <w:color w:val="7030A0"/>
          <w:sz w:val="20"/>
          <w:szCs w:val="20"/>
          <w:lang w:eastAsia="en-GB"/>
        </w:rPr>
      </w:pPr>
      <w:r w:rsidRPr="009460DA">
        <w:rPr>
          <w:rFonts w:ascii="Cambria" w:eastAsia="Times New Roman" w:hAnsi="Cambria" w:cstheme="majorBidi"/>
          <w:color w:val="7030A0"/>
          <w:sz w:val="20"/>
          <w:szCs w:val="20"/>
          <w:lang w:eastAsia="en-GB"/>
        </w:rPr>
        <w:t xml:space="preserve">Gouvernance de l’Entreprise, Finance, Appliquée et Audit (GEF2A), Institut Supérieur de Gestion de Tunis, </w:t>
      </w:r>
      <w:r w:rsidRPr="009460DA">
        <w:rPr>
          <w:rFonts w:ascii="Cambria" w:hAnsi="Cambria" w:cstheme="majorBidi"/>
          <w:color w:val="7030A0"/>
          <w:sz w:val="20"/>
          <w:szCs w:val="20"/>
        </w:rPr>
        <w:t>Université de Tunis, Tunis, Tunisia</w:t>
      </w:r>
    </w:p>
    <w:p w:rsidR="00653982" w:rsidRPr="008471BD" w:rsidRDefault="00653982" w:rsidP="008471BD">
      <w:pPr>
        <w:spacing w:after="0" w:line="240" w:lineRule="auto"/>
        <w:jc w:val="center"/>
        <w:rPr>
          <w:rFonts w:ascii="Cambria" w:hAnsi="Cambria" w:cstheme="majorBidi"/>
          <w:color w:val="7030A0"/>
          <w:sz w:val="20"/>
          <w:szCs w:val="20"/>
          <w:lang w:val="en-IE"/>
        </w:rPr>
      </w:pPr>
      <w:r w:rsidRPr="008471BD">
        <w:rPr>
          <w:rFonts w:ascii="Cambria" w:hAnsi="Cambria" w:cstheme="majorBidi"/>
          <w:color w:val="7030A0"/>
          <w:sz w:val="20"/>
          <w:szCs w:val="20"/>
          <w:lang w:val="en-IE"/>
        </w:rPr>
        <w:t>helladell@gmail.com</w:t>
      </w:r>
    </w:p>
    <w:p w:rsidR="00653982" w:rsidRPr="009460DA" w:rsidRDefault="00653982" w:rsidP="008471BD">
      <w:pPr>
        <w:spacing w:after="0" w:line="240" w:lineRule="auto"/>
        <w:jc w:val="center"/>
        <w:rPr>
          <w:rFonts w:ascii="Cambria" w:hAnsi="Cambria" w:cstheme="majorBidi"/>
          <w:b/>
          <w:bCs/>
          <w:sz w:val="20"/>
          <w:szCs w:val="20"/>
          <w:lang w:val="en-ZA"/>
        </w:rPr>
      </w:pPr>
    </w:p>
    <w:p w:rsidR="00653982" w:rsidRPr="009460DA" w:rsidRDefault="00653982" w:rsidP="009460DA">
      <w:pPr>
        <w:spacing w:after="0" w:line="240" w:lineRule="auto"/>
        <w:jc w:val="both"/>
        <w:rPr>
          <w:rFonts w:ascii="Cambria" w:eastAsia="Calibri" w:hAnsi="Cambria" w:cstheme="majorBidi"/>
          <w:sz w:val="20"/>
          <w:szCs w:val="20"/>
          <w:lang w:val="en-ZA"/>
        </w:rPr>
      </w:pPr>
      <w:r w:rsidRPr="009460DA">
        <w:rPr>
          <w:rFonts w:ascii="Cambria" w:hAnsi="Cambria" w:cstheme="majorBidi"/>
          <w:b/>
          <w:bCs/>
          <w:sz w:val="20"/>
          <w:szCs w:val="20"/>
          <w:lang w:val="en-ZA"/>
        </w:rPr>
        <w:t xml:space="preserve">Abstract: </w:t>
      </w:r>
      <w:r w:rsidRPr="009460DA">
        <w:rPr>
          <w:rFonts w:ascii="Cambria" w:eastAsia="Calibri" w:hAnsi="Cambria" w:cstheme="majorBidi"/>
          <w:sz w:val="20"/>
          <w:szCs w:val="20"/>
          <w:lang w:val="en-ZA"/>
        </w:rPr>
        <w:t>This study aims to investigate the association between the quality of the Internal Audit Function (IAF) and firm performance, and to examine whether the gender of the Chief Audit Executive (CAE) affects this relationship. Based on a sample of 75 Tunisian-listed companies from 2015 to 2019, the authors use GLS regression methods to analyze the data. The results show that internal audit quality has a positive and significant relationship with firm performance proxied by Tobin's Q.</w:t>
      </w:r>
      <w:r w:rsidRPr="009460DA">
        <w:rPr>
          <w:rFonts w:ascii="Cambria" w:hAnsi="Cambria" w:cstheme="majorBidi"/>
          <w:i/>
          <w:iCs/>
          <w:sz w:val="20"/>
          <w:szCs w:val="20"/>
          <w:lang w:val="en-IE"/>
        </w:rPr>
        <w:t xml:space="preserve"> </w:t>
      </w:r>
      <w:r w:rsidRPr="009460DA">
        <w:rPr>
          <w:rFonts w:ascii="Cambria" w:hAnsi="Cambria" w:cstheme="majorBidi"/>
          <w:sz w:val="20"/>
          <w:szCs w:val="20"/>
          <w:lang w:val="en-IE"/>
        </w:rPr>
        <w:t>There is also evidence that the presence of a female CAE positively moderates the relationship between internal audit quality and firm performance.</w:t>
      </w:r>
      <w:r w:rsidRPr="009460DA">
        <w:rPr>
          <w:rFonts w:ascii="Cambria" w:eastAsia="Calibri" w:hAnsi="Cambria" w:cstheme="majorBidi"/>
          <w:sz w:val="20"/>
          <w:szCs w:val="20"/>
          <w:lang w:val="en-IE"/>
        </w:rPr>
        <w:t xml:space="preserve"> </w:t>
      </w:r>
      <w:r w:rsidRPr="009460DA">
        <w:rPr>
          <w:rFonts w:ascii="Cambria" w:hAnsi="Cambria" w:cstheme="majorBidi"/>
          <w:sz w:val="20"/>
          <w:szCs w:val="20"/>
          <w:lang w:val="en-IE"/>
        </w:rPr>
        <w:t>This study provides useful insights to regulatory authorities concerning the role of women in the internal audit function in improving the firm's financial performance.</w:t>
      </w:r>
      <w:r w:rsidRPr="009460DA">
        <w:rPr>
          <w:rFonts w:ascii="Cambria" w:eastAsia="Calibri" w:hAnsi="Cambria" w:cstheme="majorBidi"/>
          <w:sz w:val="20"/>
          <w:szCs w:val="20"/>
          <w:lang w:val="en-IE"/>
        </w:rPr>
        <w:t xml:space="preserve"> </w:t>
      </w:r>
      <w:r w:rsidRPr="009460DA">
        <w:rPr>
          <w:rFonts w:ascii="Cambria" w:eastAsia="Calibri" w:hAnsi="Cambria" w:cstheme="majorBidi"/>
          <w:sz w:val="20"/>
          <w:szCs w:val="20"/>
          <w:lang w:val="en-ZA"/>
        </w:rPr>
        <w:t>Our study is the first to examine the moderating effect of CAE gender on the relationship between internal audit quality and firm performance in the Tunisian context.</w:t>
      </w:r>
    </w:p>
    <w:p w:rsidR="00653982" w:rsidRPr="009460DA" w:rsidRDefault="00653982" w:rsidP="009460DA">
      <w:pPr>
        <w:spacing w:after="0" w:line="240" w:lineRule="auto"/>
        <w:jc w:val="both"/>
        <w:rPr>
          <w:rFonts w:ascii="Cambria" w:hAnsi="Cambria" w:cstheme="majorBidi"/>
          <w:b/>
          <w:bCs/>
          <w:sz w:val="20"/>
          <w:szCs w:val="20"/>
          <w:lang w:val="en-ZA"/>
        </w:rPr>
      </w:pPr>
    </w:p>
    <w:p w:rsidR="00653982" w:rsidRPr="009460DA" w:rsidRDefault="00653982" w:rsidP="009460DA">
      <w:pPr>
        <w:pBdr>
          <w:bottom w:val="single" w:sz="4" w:space="1" w:color="auto"/>
        </w:pBdr>
        <w:spacing w:after="0" w:line="240" w:lineRule="auto"/>
        <w:jc w:val="both"/>
        <w:rPr>
          <w:rFonts w:ascii="Cambria" w:hAnsi="Cambria" w:cstheme="majorBidi"/>
          <w:i/>
          <w:iCs/>
          <w:sz w:val="20"/>
          <w:szCs w:val="20"/>
          <w:lang w:val="en-IE"/>
        </w:rPr>
      </w:pPr>
      <w:r w:rsidRPr="009460DA">
        <w:rPr>
          <w:rFonts w:ascii="Cambria" w:hAnsi="Cambria" w:cstheme="majorBidi"/>
          <w:b/>
          <w:bCs/>
          <w:sz w:val="20"/>
          <w:szCs w:val="20"/>
          <w:lang w:val="en-IE"/>
        </w:rPr>
        <w:t>Keywords:</w:t>
      </w:r>
      <w:r w:rsidRPr="009460DA">
        <w:rPr>
          <w:rFonts w:ascii="Cambria" w:hAnsi="Cambria" w:cstheme="majorBidi"/>
          <w:i/>
          <w:iCs/>
          <w:sz w:val="20"/>
          <w:szCs w:val="20"/>
          <w:lang w:val="en-IE"/>
        </w:rPr>
        <w:t xml:space="preserve"> </w:t>
      </w:r>
      <w:r w:rsidRPr="009460DA">
        <w:rPr>
          <w:rFonts w:ascii="Cambria" w:hAnsi="Cambria" w:cstheme="majorBidi"/>
          <w:i/>
          <w:sz w:val="20"/>
          <w:szCs w:val="20"/>
          <w:lang w:val="en-IE"/>
        </w:rPr>
        <w:t>Gender, Internal audit, Firm performance, Tunisia.</w:t>
      </w: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p>
    <w:p w:rsidR="00653982" w:rsidRPr="009460DA" w:rsidRDefault="00653982" w:rsidP="009460DA">
      <w:pPr>
        <w:pStyle w:val="ListParagraph"/>
        <w:spacing w:after="0" w:line="240" w:lineRule="auto"/>
        <w:ind w:left="0"/>
        <w:jc w:val="both"/>
        <w:rPr>
          <w:rFonts w:ascii="Cambria" w:hAnsi="Cambria" w:cstheme="majorBidi"/>
          <w:b/>
          <w:bCs/>
          <w:sz w:val="20"/>
          <w:szCs w:val="20"/>
          <w:lang w:val="en-IE"/>
        </w:rPr>
      </w:pPr>
      <w:r w:rsidRPr="009460DA">
        <w:rPr>
          <w:rFonts w:ascii="Cambria" w:hAnsi="Cambria" w:cstheme="majorBidi"/>
          <w:b/>
          <w:bCs/>
          <w:sz w:val="20"/>
          <w:szCs w:val="20"/>
          <w:lang w:val="en-ZA"/>
        </w:rPr>
        <w:t xml:space="preserve">1. </w:t>
      </w:r>
      <w:r w:rsidRPr="009460DA">
        <w:rPr>
          <w:rFonts w:ascii="Cambria" w:hAnsi="Cambria" w:cstheme="majorBidi"/>
          <w:b/>
          <w:bCs/>
          <w:sz w:val="20"/>
          <w:szCs w:val="20"/>
          <w:lang w:val="en-IE"/>
        </w:rPr>
        <w:t>Introduction</w:t>
      </w:r>
    </w:p>
    <w:p w:rsidR="00653982" w:rsidRPr="009460DA" w:rsidRDefault="00653982" w:rsidP="009460DA">
      <w:pPr>
        <w:pStyle w:val="ListParagraph"/>
        <w:spacing w:after="0" w:line="240" w:lineRule="auto"/>
        <w:ind w:left="0"/>
        <w:jc w:val="both"/>
        <w:rPr>
          <w:rFonts w:ascii="Cambria" w:hAnsi="Cambria" w:cstheme="majorBidi"/>
          <w:b/>
          <w:bCs/>
          <w:sz w:val="20"/>
          <w:szCs w:val="20"/>
          <w:lang w:val="en-IE"/>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eastAsia="Calibri" w:hAnsi="Cambria" w:cs="Times New Roman"/>
          <w:sz w:val="20"/>
          <w:szCs w:val="20"/>
          <w:lang w:val="en-IE"/>
        </w:rPr>
        <w:t xml:space="preserve">Internal audit (IA) is an indispensable key in assisting organizations to reach their objectives. It is an independent, objective assurance and consulting activity designed to add value and improve the effectiveness of an organization’s processes such as internal control, risk management, and governance (Gramling et al., 2004). Therefore, the quality of internal auditing is directly linked to the improvement of an organization's financial performance, playing a crucial role in protecting organizations from risks, combating corruption, safeguarding assets, checking compliance with organizational policy and instructions, and enhancing the reliability of financial reports </w:t>
      </w:r>
      <w:r w:rsidRPr="009460DA">
        <w:rPr>
          <w:rFonts w:ascii="Cambria" w:eastAsia="Calibri" w:hAnsi="Cambria" w:cs="Times New Roman"/>
          <w:noProof/>
          <w:sz w:val="20"/>
          <w:szCs w:val="20"/>
          <w:lang w:val="en-IE"/>
        </w:rPr>
        <w:t>(Subhi &amp; Stanisic, 2016; Postula et al., 2020)</w:t>
      </w:r>
      <w:r w:rsidRPr="009460DA">
        <w:rPr>
          <w:rFonts w:ascii="Cambria" w:eastAsia="Calibri" w:hAnsi="Cambria" w:cs="Times New Roman"/>
          <w:sz w:val="20"/>
          <w:szCs w:val="20"/>
          <w:lang w:val="en-IE"/>
        </w:rPr>
        <w:t>. In recent years, gender diversity has gained increased attention in the business environment. According to Eagly et al. (1995), most gender differences arise from the adoption of gender roles, which specify what the appropriate attitude is for men and women. Gender roles reflect social behavior and natural differences in skills and abilities between the sexes. In fact, women auditors are more inclined towards risk aversion and are more likely to critically evaluate information.</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eastAsia="Calibri" w:hAnsi="Cambria" w:cs="Times New Roman"/>
          <w:sz w:val="20"/>
          <w:szCs w:val="20"/>
          <w:lang w:val="en-IE"/>
        </w:rPr>
        <w:t>Further, women auditors use a cooperative decision-making approach to stimulate group collaboration (Ittonen et al., 2013; Post &amp; Byron, 2015; Hardies &amp; Khalifa, 2018). Numerous researchers have studied the impact of having women on the board of directors or in top management positions (Carter et al., 2003; Farrell &amp; Hersch, 2005; Adams &amp; Ferreira, 2009; Seierstad, 2016). However, the relationship between the chief audits executive’s gender and firm performance has not yet been explored. The lack of research on internal audit gender and the importance of the internal audit function in corporate governance motivate the current study. Hence, the study’s objectives are to explore the effect of the quality of IA on the financial performance of companies listed in Tunisia and to investigate the moderating role of heads of IA gender in this relationship. Based on a sample of 75 Tunisian-listed companies from 2015 to 2019, the current study uses GLS regression methods to analyze the data. Data were collected from two sources: a survey of 75 CAEs from Tunisian listed companies and financial information contained in the annual reports of the companies responding to the survey.</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eastAsia="Calibri" w:hAnsi="Cambria" w:cs="Times New Roman"/>
          <w:sz w:val="20"/>
          <w:szCs w:val="20"/>
          <w:lang w:val="en-IE"/>
        </w:rPr>
        <w:t xml:space="preserve">Our findings show that internal audit quality has a positive and significant relationship with firm performance proxied by Tobin's Q. Also, the presence of a female CAE positively moderates the relationship between internal audit quality and firm performance. Our research makes two notable contributions to the auditing literature. Firstly, it provides new insights that the presence of females in internal auditing seems to strengthen IAF quality. Secondly, findings emphasize the significance of female Chief Audit Executives (CAEs) in internal auditing and shed light on the positive outcomes they bring to the firm. Our findings also highlight </w:t>
      </w:r>
      <w:r w:rsidRPr="009460DA">
        <w:rPr>
          <w:rFonts w:ascii="Cambria" w:eastAsia="Calibri" w:hAnsi="Cambria" w:cs="Times New Roman"/>
          <w:sz w:val="20"/>
          <w:szCs w:val="20"/>
          <w:lang w:val="en-IE"/>
        </w:rPr>
        <w:lastRenderedPageBreak/>
        <w:t>to regulatory authorities the importance of having women in the top positions in internal auditing to enhance the quality of their practices. Therefore, the gender difference in internal auditing should be more strongly emphasized in audit standards. The remainder of this paper is structured as follows: Section 2 presents the status and role of women in Tunisia. Section 3 presents the literature review and develops</w:t>
      </w:r>
      <w:r w:rsidRPr="009460DA">
        <w:rPr>
          <w:rFonts w:ascii="Cambria" w:eastAsia="Calibri" w:hAnsi="Cambria" w:cs="Times New Roman"/>
          <w:sz w:val="20"/>
          <w:szCs w:val="20"/>
          <w:rtl/>
          <w:lang w:val="en-IE"/>
        </w:rPr>
        <w:t xml:space="preserve"> </w:t>
      </w:r>
      <w:r w:rsidRPr="009460DA">
        <w:rPr>
          <w:rFonts w:ascii="Cambria" w:eastAsia="Calibri" w:hAnsi="Cambria" w:cs="Times New Roman"/>
          <w:sz w:val="20"/>
          <w:szCs w:val="20"/>
          <w:lang w:val="en-IE"/>
        </w:rPr>
        <w:t>the hypotheses. Section 4 outlines the research methodology. Section 5 discusses the results, and finally, Section 6 concludes the paper.</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hAnsi="Cambria" w:cstheme="majorBidi"/>
          <w:b/>
          <w:bCs/>
          <w:sz w:val="20"/>
          <w:szCs w:val="20"/>
          <w:lang w:val="en-ZA"/>
        </w:rPr>
        <w:t>Status and Role of Women in Tunisia</w:t>
      </w:r>
      <w:r w:rsidRPr="009460DA">
        <w:rPr>
          <w:rFonts w:ascii="Cambria" w:eastAsia="Calibri" w:hAnsi="Cambria" w:cs="Times New Roman"/>
          <w:sz w:val="20"/>
          <w:szCs w:val="20"/>
          <w:lang w:val="en-IE"/>
        </w:rPr>
        <w:t>: Tunisia is a pioneer for women in the Arab-Muslim world. From 1868, thinkers such as Kheireddine Pasha, Abdelaziz Thaalbi, and Tahar Haddad had begun to reflect on the reforms of the social policy in force, some oriented toward the valorization of women. On August 13, 1956, a few months after independence, the first president, Habib Bourguiba, promulgated the Personal Status Code (PSC), where equality between men and women, in all areas, was legally established. He abolishes polygamy, prohibits repudiation, institutes judicial divorce, and sets the minimum age of marriage at 17 for women. Since then, Tunisia has celebrated August 13 as National Women's Day. As a result, women invaded all areas and acceded to all positions, including those believed to be reserved for men only, such as security, the army, the air force, and the navy, to the point that the first Arabic pilot line is Tunisian. Bourguiba's successor, Zine El Abidine Ben Ali, has reinforced women's rights and political participation in municipal councils and Parliament.</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eastAsia="Calibri" w:hAnsi="Cambria" w:cs="Times New Roman"/>
          <w:sz w:val="20"/>
          <w:szCs w:val="20"/>
          <w:lang w:val="en-IE"/>
        </w:rPr>
        <w:t>He gave women the right to transmit her patronymic and her nationality to her children in the same way as her husband, even if she is married to a foreigner, on the sole condition that the father has given his approval. After the Tunisian revolution, the new Constitution of 2014 enshrined equality between men and women and introduced a goal of parity in elected assemblies. President Beji Caied Essebsi announced new measures on August 13, 2015, including equal pay for men and women in the industrial and agricultural sectors. In addition, it was decided to grant women legal guardianship of their minor children, and as of September 14, 2017, the ban against a Muslim woman from Tunisia marrying a non-Muslim was completely lifted. Since September 2021, Mrs. Najla Bouden has been the first woman to lead a government in Tunisia and the Arab world. Tunisian women occupy a distinguished place among the national priorities to develop their roles and empower them economically, politically, and socially.</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r w:rsidRPr="009460DA">
        <w:rPr>
          <w:rFonts w:ascii="Cambria" w:hAnsi="Cambria" w:cstheme="majorBidi"/>
          <w:b/>
          <w:bCs/>
          <w:sz w:val="20"/>
          <w:szCs w:val="20"/>
          <w:lang w:val="en-ZA"/>
        </w:rPr>
        <w:t>2. Background and Hypotheses Development</w:t>
      </w: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 xml:space="preserve">Internal Audit Quality and Firm Performance: </w:t>
      </w:r>
      <w:r w:rsidRPr="009460DA">
        <w:rPr>
          <w:rFonts w:ascii="Cambria" w:eastAsia="Calibri" w:hAnsi="Cambria" w:cstheme="majorBidi"/>
          <w:sz w:val="20"/>
          <w:szCs w:val="20"/>
          <w:lang w:val="en-ZA"/>
        </w:rPr>
        <w:t>The Institute of Internal Auditors (IIA, 1999) defines internal audit as “an independent, objective assurance and consulting activity designed to add value and improve an organization’s operations. It helps an organization to accomplish its objectives by bringing a systematic, disciplined approach to evaluate and improve the effectiveness of risk management, control, and governance processes.”</w:t>
      </w:r>
      <w:r w:rsidRPr="009460DA">
        <w:rPr>
          <w:rFonts w:ascii="Cambria" w:hAnsi="Cambria" w:cstheme="majorBidi"/>
          <w:b/>
          <w:bCs/>
          <w:sz w:val="20"/>
          <w:szCs w:val="20"/>
          <w:lang w:val="en-ZA"/>
        </w:rPr>
        <w:t xml:space="preserve"> </w:t>
      </w:r>
      <w:r w:rsidRPr="009460DA">
        <w:rPr>
          <w:rFonts w:ascii="Cambria" w:eastAsia="Calibri" w:hAnsi="Cambria" w:cstheme="majorBidi"/>
          <w:sz w:val="20"/>
          <w:szCs w:val="20"/>
          <w:lang w:val="en-ZA"/>
        </w:rPr>
        <w:t>According to the above definition, an internal audit provides a large variety of services and consultations to contribute to the achievement of company goals and increase financial and administrative performance. It is considered a useful tool aimed at examining the reliability and integrity of financial and operating information that comes from different organizational units, reviewing the regulatory policies employed to safeguard assets, and providing recommendations on risk management and control processes.</w:t>
      </w:r>
      <w:r w:rsidRPr="009460DA">
        <w:rPr>
          <w:rFonts w:ascii="Cambria" w:hAnsi="Cambria" w:cstheme="majorBidi"/>
          <w:b/>
          <w:bCs/>
          <w:sz w:val="20"/>
          <w:szCs w:val="20"/>
          <w:lang w:val="en-ZA"/>
        </w:rPr>
        <w:t xml:space="preserve"> </w:t>
      </w:r>
      <w:r w:rsidRPr="009460DA">
        <w:rPr>
          <w:rFonts w:ascii="Cambria" w:eastAsia="Calibri" w:hAnsi="Cambria" w:cstheme="majorBidi"/>
          <w:sz w:val="20"/>
          <w:szCs w:val="20"/>
          <w:lang w:val="en-ZA"/>
        </w:rPr>
        <w:t>Furthermore, internal auditing is regarded as an important component of an organization's corporate governance framework, as it involves the supervisory activities of the board of directors and audit committees to reduce agency costs and enhance corporate performance (Sarens &amp; Abdolmohammadi, 2011). Indeed, improving the organization's performance can be made by a high-quality internal audit function composed essentially of competent and objective internal auditors.</w:t>
      </w:r>
    </w:p>
    <w:p w:rsidR="00653982" w:rsidRPr="009460DA" w:rsidRDefault="00653982" w:rsidP="009460DA">
      <w:pPr>
        <w:spacing w:after="0" w:line="240" w:lineRule="auto"/>
        <w:jc w:val="both"/>
        <w:rPr>
          <w:rFonts w:ascii="Cambria" w:hAnsi="Cambria" w:cstheme="majorBidi"/>
          <w:b/>
          <w:bCs/>
          <w:sz w:val="20"/>
          <w:szCs w:val="20"/>
          <w:lang w:val="en-ZA"/>
        </w:rPr>
      </w:pPr>
    </w:p>
    <w:p w:rsidR="00653982" w:rsidRPr="009460DA" w:rsidRDefault="00653982" w:rsidP="009460DA">
      <w:pPr>
        <w:spacing w:after="0" w:line="240" w:lineRule="auto"/>
        <w:jc w:val="both"/>
        <w:rPr>
          <w:rFonts w:ascii="Cambria" w:eastAsia="Calibri" w:hAnsi="Cambria" w:cstheme="majorBidi"/>
          <w:sz w:val="20"/>
          <w:szCs w:val="20"/>
          <w:lang w:val="en-ZA"/>
        </w:rPr>
      </w:pPr>
      <w:r w:rsidRPr="009460DA">
        <w:rPr>
          <w:rFonts w:ascii="Cambria" w:eastAsia="Calibri" w:hAnsi="Cambria" w:cstheme="majorBidi"/>
          <w:sz w:val="20"/>
          <w:szCs w:val="20"/>
          <w:lang w:val="en-ZA"/>
        </w:rPr>
        <w:t>Prior literature dedicated to examining the direct association between internal audit and firm performance is so limited. Among the few studies of this caliber, Hutchinson &amp; Zain (2009) explored the relationship between internal audit quality (audit experience and accounting qualification) and firm performance (ROA) in 60 Malaysian companies.</w:t>
      </w:r>
      <w:r w:rsidRPr="009460DA">
        <w:rPr>
          <w:rFonts w:ascii="Cambria" w:eastAsia="Calibri" w:hAnsi="Cambria" w:cstheme="majorBidi"/>
          <w:sz w:val="20"/>
          <w:szCs w:val="20"/>
          <w:lang w:val="en-IE"/>
        </w:rPr>
        <w:t xml:space="preserve"> The results showed a significant positive relationship between internal audit experience and firm performance.</w:t>
      </w:r>
      <w:r w:rsidRPr="009460DA">
        <w:rPr>
          <w:rFonts w:ascii="Cambria" w:hAnsi="Cambria" w:cstheme="majorBidi"/>
          <w:b/>
          <w:bCs/>
          <w:sz w:val="20"/>
          <w:szCs w:val="20"/>
          <w:lang w:val="en-ZA"/>
        </w:rPr>
        <w:t xml:space="preserve"> </w:t>
      </w:r>
      <w:r w:rsidRPr="009460DA">
        <w:rPr>
          <w:rFonts w:ascii="Cambria" w:eastAsia="Calibri" w:hAnsi="Cambria" w:cstheme="majorBidi"/>
          <w:sz w:val="20"/>
          <w:szCs w:val="20"/>
          <w:lang w:val="en-IE"/>
        </w:rPr>
        <w:t>In a related study, Deyganto (2019) revealed that independence of internal audit, competence of internal auditors, and management support positively affect the quality of internal audits while also enhancing the organizational performance of public sector bureaus in southern Ethiopia.</w:t>
      </w:r>
      <w:r w:rsidRPr="009460DA">
        <w:rPr>
          <w:rFonts w:ascii="Cambria" w:hAnsi="Cambria" w:cstheme="majorBidi"/>
          <w:b/>
          <w:bCs/>
          <w:sz w:val="20"/>
          <w:szCs w:val="20"/>
          <w:lang w:val="en-ZA"/>
        </w:rPr>
        <w:t xml:space="preserve"> </w:t>
      </w:r>
    </w:p>
    <w:p w:rsidR="00653982" w:rsidRPr="009460DA" w:rsidRDefault="00653982" w:rsidP="009460DA">
      <w:pPr>
        <w:spacing w:after="0" w:line="240" w:lineRule="auto"/>
        <w:jc w:val="both"/>
        <w:rPr>
          <w:rFonts w:ascii="Cambria" w:eastAsia="Calibri" w:hAnsi="Cambria" w:cstheme="majorBidi"/>
          <w:sz w:val="20"/>
          <w:szCs w:val="20"/>
          <w:lang w:val="en-IE"/>
        </w:rPr>
      </w:pPr>
      <w:r w:rsidRPr="009460DA">
        <w:rPr>
          <w:rFonts w:ascii="Cambria" w:eastAsia="Calibri" w:hAnsi="Cambria" w:cstheme="majorBidi"/>
          <w:sz w:val="20"/>
          <w:szCs w:val="20"/>
          <w:lang w:val="en-IE"/>
        </w:rPr>
        <w:lastRenderedPageBreak/>
        <w:t xml:space="preserve">Along the same lines, many empirical studies have demonstrated that the quality of internal auditing is evaluated based on compliance with internal auditing standards, the competence and independence of internal auditors, as well as the size of the internal audit department. These factors have been shown to have beneficial effects on corporate financial performance </w:t>
      </w:r>
      <w:r w:rsidRPr="009460DA">
        <w:rPr>
          <w:rFonts w:ascii="Cambria" w:eastAsia="Calibri" w:hAnsi="Cambria" w:cstheme="majorBidi"/>
          <w:sz w:val="20"/>
          <w:szCs w:val="20"/>
          <w:lang w:val="en-ZA"/>
        </w:rPr>
        <w:t>(Kiabel, 2012-</w:t>
      </w:r>
      <w:r w:rsidRPr="009460DA">
        <w:rPr>
          <w:rFonts w:ascii="Cambria" w:eastAsia="CIDFont+F5" w:hAnsi="Cambria" w:cstheme="majorBidi"/>
          <w:sz w:val="20"/>
          <w:szCs w:val="20"/>
          <w:lang w:val="en-ZA"/>
        </w:rPr>
        <w:t xml:space="preserve"> </w:t>
      </w:r>
      <w:r w:rsidRPr="009460DA">
        <w:rPr>
          <w:rFonts w:ascii="Cambria" w:eastAsia="Calibri" w:hAnsi="Cambria" w:cstheme="majorBidi"/>
          <w:sz w:val="20"/>
          <w:szCs w:val="20"/>
          <w:lang w:val="en-ZA"/>
        </w:rPr>
        <w:t xml:space="preserve">Nigeria; Ziaee, 2014- Iran; Alaswad &amp; Stanisic, 2016- Libya; Chatiwong et al., 2016- Thailand; Alflahat, 2017- Jordan; Talab et al., 2018- Irak; Hazaea et al., 2020- Yemen; Bengrich &amp; El Ghadouia, 2020- Morocco; </w:t>
      </w:r>
      <w:r w:rsidRPr="009460DA">
        <w:rPr>
          <w:rFonts w:ascii="Cambria" w:eastAsia="Calibri" w:hAnsi="Cambria" w:cstheme="majorBidi"/>
          <w:sz w:val="20"/>
          <w:szCs w:val="20"/>
          <w:lang w:val="en-IE"/>
        </w:rPr>
        <w:t xml:space="preserve">Hazaea </w:t>
      </w:r>
      <w:r w:rsidRPr="009460DA">
        <w:rPr>
          <w:rFonts w:ascii="Cambria" w:eastAsia="Calibri" w:hAnsi="Cambria" w:cstheme="majorBidi"/>
          <w:sz w:val="20"/>
          <w:szCs w:val="20"/>
          <w:lang w:val="en-ZA"/>
        </w:rPr>
        <w:t>et al., 2021- Yemen).</w:t>
      </w:r>
    </w:p>
    <w:p w:rsidR="00653982" w:rsidRPr="009460DA" w:rsidRDefault="00653982" w:rsidP="009460DA">
      <w:pPr>
        <w:spacing w:after="0" w:line="240" w:lineRule="auto"/>
        <w:jc w:val="both"/>
        <w:rPr>
          <w:rFonts w:ascii="Cambria" w:eastAsia="Calibri" w:hAnsi="Cambria" w:cstheme="majorBidi"/>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IE"/>
        </w:rPr>
      </w:pPr>
      <w:r w:rsidRPr="009460DA">
        <w:rPr>
          <w:rFonts w:ascii="Cambria" w:eastAsia="Calibri" w:hAnsi="Cambria" w:cstheme="majorBidi"/>
          <w:sz w:val="20"/>
          <w:szCs w:val="20"/>
          <w:lang w:val="en-ZA"/>
        </w:rPr>
        <w:t>Furthermore, Newman &amp; Comfort (2018) conducted a study on 25 employees of African Sun Limited to investigate the potential value creation of IAF within an organization and its influence on financial performance. Findings revealed a positive association between IAF quality, measured by the size of the internal audit department, the competence and experience of internal auditors, and the organization's financial performance. The study highlighted the value added by IAF's assurance and advisory roles.</w:t>
      </w:r>
    </w:p>
    <w:p w:rsidR="00653982" w:rsidRPr="009460DA" w:rsidRDefault="00653982" w:rsidP="009460DA">
      <w:pPr>
        <w:spacing w:after="0" w:line="240" w:lineRule="auto"/>
        <w:jc w:val="both"/>
        <w:rPr>
          <w:rFonts w:ascii="Cambria" w:eastAsia="Calibri" w:hAnsi="Cambria" w:cstheme="majorBidi"/>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eastAsia="Calibri" w:hAnsi="Cambria" w:cstheme="majorBidi"/>
          <w:sz w:val="20"/>
          <w:szCs w:val="20"/>
          <w:lang w:val="en-ZA"/>
        </w:rPr>
        <w:t>Additionally, Al-Matari &amp; Mgammal (2019) investigated</w:t>
      </w:r>
      <w:r w:rsidRPr="009460DA">
        <w:rPr>
          <w:rFonts w:ascii="Cambria" w:eastAsia="Calibri" w:hAnsi="Cambria" w:cstheme="majorBidi"/>
          <w:sz w:val="20"/>
          <w:szCs w:val="20"/>
          <w:lang w:val="en-US"/>
        </w:rPr>
        <w:t xml:space="preserve"> the moderating role of internal audit on the relationship between corporate governance mechanisms and the corporate performance of 47 firms listed in the Saudi stock market. The findings showed a positive and significant correlation between IAF and corporate performance. Moreover, </w:t>
      </w:r>
      <w:r w:rsidRPr="009460DA">
        <w:rPr>
          <w:rFonts w:ascii="Cambria" w:eastAsia="Calibri" w:hAnsi="Cambria" w:cstheme="majorBidi"/>
          <w:sz w:val="20"/>
          <w:szCs w:val="20"/>
          <w:lang w:val="en-ZA"/>
        </w:rPr>
        <w:t>Jiang</w:t>
      </w:r>
      <w:r w:rsidRPr="009460DA">
        <w:rPr>
          <w:rFonts w:ascii="Cambria" w:eastAsia="Calibri" w:hAnsi="Cambria" w:cstheme="majorBidi"/>
          <w:sz w:val="20"/>
          <w:szCs w:val="20"/>
          <w:lang w:val="en-US"/>
        </w:rPr>
        <w:t xml:space="preserve"> et al. (2020) demonstrated that </w:t>
      </w:r>
      <w:r w:rsidRPr="009460DA">
        <w:rPr>
          <w:rFonts w:ascii="Cambria" w:eastAsia="Calibri" w:hAnsi="Cambria" w:cstheme="majorBidi"/>
          <w:sz w:val="20"/>
          <w:szCs w:val="20"/>
          <w:lang w:val="en-ZA"/>
        </w:rPr>
        <w:t>operations-related services provided by the IAF bring economic benefits to firms and improve operating performance. Along the same lines, Alzeban (2021) and Alsurayyi &amp; Alsughayer (2021) indicated that the implementation of internal audit recommendations (a proxy for effective internal audit) enhances corporate governance and consequently leads to better firm performance in the context of Saudi Arabia.</w:t>
      </w:r>
      <w:r w:rsidRPr="009460DA">
        <w:rPr>
          <w:rFonts w:ascii="Cambria" w:hAnsi="Cambria" w:cstheme="majorBidi"/>
          <w:b/>
          <w:bCs/>
          <w:sz w:val="20"/>
          <w:szCs w:val="20"/>
          <w:lang w:val="en-ZA"/>
        </w:rPr>
        <w:t xml:space="preserve"> </w:t>
      </w:r>
      <w:r w:rsidRPr="009460DA">
        <w:rPr>
          <w:rFonts w:ascii="Cambria" w:eastAsia="Calibri" w:hAnsi="Cambria" w:cstheme="majorBidi"/>
          <w:sz w:val="20"/>
          <w:szCs w:val="20"/>
          <w:lang w:val="en-US"/>
        </w:rPr>
        <w:t>Despite the majority of studies highlighting the positive and significant association between internal audit quality and firm performance, the results of some previous research provide no evidence of this association (</w:t>
      </w:r>
      <w:r w:rsidRPr="009460DA">
        <w:rPr>
          <w:rFonts w:ascii="Cambria" w:eastAsia="Calibri" w:hAnsi="Cambria" w:cstheme="majorBidi"/>
          <w:sz w:val="20"/>
          <w:szCs w:val="20"/>
          <w:lang w:val="en-ZA"/>
        </w:rPr>
        <w:t>Ejoh &amp; Ejom, 2014; Muchiri &amp; Jagongo, 2017; Elewa &amp; El-Haddad, 2019).</w:t>
      </w:r>
      <w:r w:rsidRPr="009460DA">
        <w:rPr>
          <w:rFonts w:ascii="Cambria" w:eastAsia="Calibri" w:hAnsi="Cambria" w:cstheme="majorBidi"/>
          <w:sz w:val="20"/>
          <w:szCs w:val="20"/>
          <w:lang w:val="en-US"/>
        </w:rPr>
        <w:t xml:space="preserve"> Based on the existing literature regarding the relationship between internal audit quality and firm performance, we derived the following hypothesis:</w:t>
      </w:r>
      <w:r w:rsidRPr="009460DA">
        <w:rPr>
          <w:rFonts w:ascii="Cambria" w:hAnsi="Cambria" w:cstheme="majorBidi"/>
          <w:b/>
          <w:bCs/>
          <w:sz w:val="20"/>
          <w:szCs w:val="20"/>
          <w:lang w:val="en-ZA"/>
        </w:rPr>
        <w:t xml:space="preserve"> </w:t>
      </w:r>
    </w:p>
    <w:p w:rsidR="00653982" w:rsidRPr="009460DA" w:rsidRDefault="00653982" w:rsidP="009460DA">
      <w:pPr>
        <w:spacing w:after="0" w:line="240" w:lineRule="auto"/>
        <w:jc w:val="both"/>
        <w:rPr>
          <w:rFonts w:ascii="Cambria" w:eastAsia="Calibri" w:hAnsi="Cambria" w:cstheme="majorBidi"/>
          <w:sz w:val="20"/>
          <w:szCs w:val="20"/>
          <w:lang w:val="en-US"/>
        </w:rPr>
      </w:pPr>
      <w:r w:rsidRPr="009460DA">
        <w:rPr>
          <w:rFonts w:ascii="Cambria" w:hAnsi="Cambria" w:cstheme="majorBidi"/>
          <w:b/>
          <w:bCs/>
          <w:sz w:val="20"/>
          <w:szCs w:val="20"/>
          <w:lang w:val="en-ZA"/>
        </w:rPr>
        <w:t>Hypothesis 1:</w:t>
      </w:r>
      <w:r w:rsidRPr="009460DA">
        <w:rPr>
          <w:rFonts w:ascii="Cambria" w:hAnsi="Cambria" w:cstheme="majorBidi"/>
          <w:sz w:val="20"/>
          <w:szCs w:val="20"/>
          <w:lang w:val="en-ZA"/>
        </w:rPr>
        <w:t xml:space="preserve"> There is a positive association between IAF quality and firm performance.</w:t>
      </w:r>
    </w:p>
    <w:p w:rsidR="00653982" w:rsidRPr="009460DA" w:rsidRDefault="00653982" w:rsidP="009460DA">
      <w:pPr>
        <w:autoSpaceDE w:val="0"/>
        <w:autoSpaceDN w:val="0"/>
        <w:adjustRightInd w:val="0"/>
        <w:spacing w:after="0" w:line="240" w:lineRule="auto"/>
        <w:jc w:val="both"/>
        <w:rPr>
          <w:rFonts w:ascii="Cambria" w:eastAsia="Calibri" w:hAnsi="Cambria" w:cstheme="majorBidi"/>
          <w:sz w:val="20"/>
          <w:szCs w:val="20"/>
          <w:lang w:val="en-US"/>
        </w:rPr>
      </w:pPr>
    </w:p>
    <w:p w:rsidR="00653982" w:rsidRPr="009460DA" w:rsidRDefault="00653982" w:rsidP="009460DA">
      <w:pPr>
        <w:spacing w:after="0" w:line="240" w:lineRule="auto"/>
        <w:jc w:val="both"/>
        <w:rPr>
          <w:rFonts w:ascii="Cambria" w:eastAsia="Calibri" w:hAnsi="Cambria" w:cs="Times New Roman"/>
          <w:sz w:val="20"/>
          <w:szCs w:val="20"/>
          <w:lang w:val="en-IE"/>
        </w:rPr>
      </w:pPr>
      <w:r w:rsidRPr="009460DA">
        <w:rPr>
          <w:rFonts w:ascii="Cambria" w:hAnsi="Cambria" w:cstheme="majorBidi"/>
          <w:b/>
          <w:bCs/>
          <w:sz w:val="20"/>
          <w:szCs w:val="20"/>
          <w:lang w:val="en-ZA"/>
        </w:rPr>
        <w:t xml:space="preserve">The Moderating Effect of Internal Audit Gender Diversity: </w:t>
      </w:r>
      <w:r w:rsidRPr="009460DA">
        <w:rPr>
          <w:rFonts w:ascii="Cambria" w:eastAsia="Calibri" w:hAnsi="Cambria" w:cs="Times New Roman"/>
          <w:sz w:val="20"/>
          <w:szCs w:val="20"/>
          <w:lang w:val="en-IE"/>
        </w:rPr>
        <w:t>Of the various dimensions of diversity, gender is raising increasing interest, both as a biological and social construct, particularly with reference to gender-specific leadership styles and their explicit contribution to corporate governance (Helfat et al., 2006). Based on cognition and behavioral theory, women are more communal (e.g., gentle, empathetic, interpersonally sensitive, collaborative, etc.), and men are more agentic (e.g., rational, independent, aggressive, decisive, ambitious, competitive, etc.) </w:t>
      </w:r>
      <w:proofErr w:type="gramStart"/>
      <w:r w:rsidRPr="009460DA">
        <w:rPr>
          <w:rFonts w:ascii="Cambria" w:eastAsia="Calibri" w:hAnsi="Cambria" w:cs="Times New Roman"/>
          <w:sz w:val="20"/>
          <w:szCs w:val="20"/>
          <w:lang w:val="en-IE"/>
        </w:rPr>
        <w:t>(Eagly &amp; Carli, 2003).</w:t>
      </w:r>
      <w:proofErr w:type="gramEnd"/>
      <w:r w:rsidRPr="009460DA">
        <w:rPr>
          <w:rFonts w:ascii="Cambria" w:eastAsia="Calibri" w:hAnsi="Cambria" w:cs="Times New Roman"/>
          <w:sz w:val="20"/>
          <w:szCs w:val="20"/>
          <w:lang w:val="en-IE"/>
        </w:rPr>
        <w:t xml:space="preserve"> Additionally, within the realm of business, women are argued to be conservative and risk-averse and to be more effective than their male counterparts concerning processing information, planning, monitoring, engaging in corporate social responsibility, and demonstrating impartiality in moral judgment (Nelson, 1996; Glass et al., 2016). The relationship between gender diversity and firm performance has therefore been investigated in several studies, especially as regards the board and the audit committee.</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eastAsia="Calibri" w:hAnsi="Cambria" w:cs="Times New Roman"/>
          <w:sz w:val="20"/>
          <w:szCs w:val="20"/>
          <w:lang w:val="en-IE"/>
        </w:rPr>
        <w:t>For instance, Kim &amp; Starks (2016) provided evidence that the gender structure of the board of directors can enhance firm value and performance due to the valuable contributions made by female directors.</w:t>
      </w:r>
      <w:r w:rsidRPr="009460DA">
        <w:rPr>
          <w:rFonts w:ascii="Cambria" w:hAnsi="Cambria" w:cstheme="majorBidi"/>
          <w:b/>
          <w:bCs/>
          <w:sz w:val="20"/>
          <w:szCs w:val="20"/>
          <w:lang w:val="en-ZA"/>
        </w:rPr>
        <w:t xml:space="preserve"> </w:t>
      </w:r>
      <w:r w:rsidRPr="009460DA">
        <w:rPr>
          <w:rFonts w:ascii="Cambria" w:eastAsia="Calibri" w:hAnsi="Cambria" w:cs="Times New Roman"/>
          <w:sz w:val="20"/>
          <w:szCs w:val="20"/>
          <w:lang w:val="en-IE"/>
        </w:rPr>
        <w:t xml:space="preserve">First, female directors are more likely to appreciate diverse opinions, gather input from all board members, and adopt a cooperative decision-making approach to encourage teamwork among the group (Post &amp; Byron, 2015). Second, they often bring different perspectives into board discussions, as they tend to ask more questions, provide higher levels of board accountability, and are better prepared for meetings (Adam &amp; Ferreira, 2009). Finally, having women on boards increases creativity and innovation, as well as provides a strategic advantage in global competition (Robinson &amp; Dechant, 1997). Indeed, several empirical studies have found that the presence of women on boards and audit committees has a positive effect on firm performance (Sabatier, 2015-France; Gordini &amp; Rancati, 2017-Italy; Ahmadi et al., 2018-France; </w:t>
      </w:r>
      <w:hyperlink r:id="rId13" w:history="1">
        <w:r w:rsidRPr="009460DA">
          <w:rPr>
            <w:rFonts w:ascii="Cambria" w:eastAsia="Calibri" w:hAnsi="Cambria" w:cs="Times New Roman"/>
            <w:sz w:val="20"/>
            <w:szCs w:val="20"/>
            <w:lang w:val="en-IE"/>
          </w:rPr>
          <w:t>Ud Din</w:t>
        </w:r>
      </w:hyperlink>
      <w:r w:rsidRPr="009460DA">
        <w:rPr>
          <w:rFonts w:ascii="Cambria" w:eastAsia="Calibri" w:hAnsi="Cambria" w:cs="Times New Roman"/>
          <w:sz w:val="20"/>
          <w:szCs w:val="20"/>
          <w:lang w:val="en-IE"/>
        </w:rPr>
        <w:t xml:space="preserve"> et al., 2021-Pakistan; Brahma et al., 2021- UK). However, others have highlighted a negative relationship (Adams &amp; Ferreira, 2009- US; Ahern &amp; Dittmar, 2012-Norway; Soare et al., 2022-Belgium).</w:t>
      </w:r>
    </w:p>
    <w:p w:rsidR="00653982" w:rsidRPr="009460DA" w:rsidRDefault="00653982" w:rsidP="009460DA">
      <w:pPr>
        <w:spacing w:after="0" w:line="240" w:lineRule="auto"/>
        <w:jc w:val="both"/>
        <w:rPr>
          <w:rFonts w:ascii="Cambria" w:hAnsi="Cambria" w:cstheme="majorBidi"/>
          <w:b/>
          <w:bCs/>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eastAsia="Calibri" w:hAnsi="Cambria" w:cs="Times New Roman"/>
          <w:sz w:val="20"/>
          <w:szCs w:val="20"/>
          <w:lang w:val="en-IE"/>
        </w:rPr>
        <w:t xml:space="preserve">There have not been many studies conducted on female auditors. For example, Ittonen &amp; Peni (2012) find evidence that companies with female audit engagement partners tend to incur notably higher audit fees, suggesting that the presence of female auditors could have a beneficial impact on audit quality. Their findings </w:t>
      </w:r>
      <w:r w:rsidRPr="009460DA">
        <w:rPr>
          <w:rFonts w:ascii="Cambria" w:eastAsia="Calibri" w:hAnsi="Cambria" w:cs="Times New Roman"/>
          <w:sz w:val="20"/>
          <w:szCs w:val="20"/>
          <w:lang w:val="en-IE"/>
        </w:rPr>
        <w:lastRenderedPageBreak/>
        <w:t>are also supported by Rahim et al. (2022), who found that auditor gender moderates the impact of auditor independence and competence on audit quality. Nekhili et al</w:t>
      </w:r>
      <w:r w:rsidRPr="009460DA">
        <w:rPr>
          <w:rFonts w:ascii="Cambria" w:eastAsia="Calibri" w:hAnsi="Cambria" w:cs="Times New Roman"/>
          <w:i/>
          <w:iCs/>
          <w:sz w:val="20"/>
          <w:szCs w:val="20"/>
          <w:lang w:val="en-IE"/>
        </w:rPr>
        <w:t>.</w:t>
      </w:r>
      <w:r w:rsidRPr="009460DA">
        <w:rPr>
          <w:rFonts w:ascii="Cambria" w:eastAsia="Calibri" w:hAnsi="Cambria" w:cs="Times New Roman"/>
          <w:sz w:val="20"/>
          <w:szCs w:val="20"/>
          <w:lang w:val="en-IE"/>
        </w:rPr>
        <w:t xml:space="preserve"> (2022) demonstrated that gender-diverse audit partners constrain unethical earnings management behavior in a French mandatory joint audit setting. Thus, Oussii &amp; Klibi (2019) demonstrated that IAFs led by female Chief Internal Auditors in Tunisian listed companies tend to be more effective than those led by male Chief Internal Auditors.</w:t>
      </w:r>
      <w:r w:rsidRPr="009460DA">
        <w:rPr>
          <w:rFonts w:ascii="Cambria" w:hAnsi="Cambria" w:cstheme="majorBidi"/>
          <w:b/>
          <w:bCs/>
          <w:sz w:val="20"/>
          <w:szCs w:val="20"/>
          <w:lang w:val="en-ZA"/>
        </w:rPr>
        <w:t xml:space="preserve"> </w:t>
      </w:r>
      <w:r w:rsidRPr="009460DA">
        <w:rPr>
          <w:rFonts w:ascii="Cambria" w:eastAsia="Calibri" w:hAnsi="Cambria" w:cs="Times New Roman"/>
          <w:sz w:val="20"/>
          <w:szCs w:val="20"/>
          <w:lang w:val="en-IE"/>
        </w:rPr>
        <w:t>In summary, most studies have demonstrated that gender differences affect the quality of financial reporting and auditing, as well as firm performance; however, no prior research has specifically investigated the potential impact of internal audit gender on firm performance.</w:t>
      </w:r>
      <w:r w:rsidRPr="009460DA">
        <w:rPr>
          <w:rFonts w:ascii="Cambria" w:hAnsi="Cambria" w:cstheme="majorBidi"/>
          <w:b/>
          <w:bCs/>
          <w:sz w:val="20"/>
          <w:szCs w:val="20"/>
          <w:lang w:val="en-ZA"/>
        </w:rPr>
        <w:t xml:space="preserve"> </w:t>
      </w:r>
      <w:r w:rsidRPr="009460DA">
        <w:rPr>
          <w:rFonts w:ascii="Cambria" w:eastAsia="Calibri" w:hAnsi="Cambria" w:cs="Times New Roman"/>
          <w:sz w:val="20"/>
          <w:szCs w:val="20"/>
          <w:lang w:val="en-IE"/>
        </w:rPr>
        <w:t>Therefore, this study expands upon this line of research and explores whether the presence of female internal auditors affects the firm's performance. Thus, we hypothesize that:</w:t>
      </w:r>
      <w:r w:rsidRPr="009460DA">
        <w:rPr>
          <w:rFonts w:ascii="Cambria" w:hAnsi="Cambria" w:cstheme="majorBidi"/>
          <w:b/>
          <w:bCs/>
          <w:sz w:val="20"/>
          <w:szCs w:val="20"/>
          <w:lang w:val="en-ZA"/>
        </w:rPr>
        <w:t xml:space="preserve"> </w:t>
      </w:r>
    </w:p>
    <w:p w:rsidR="00653982" w:rsidRPr="009460DA" w:rsidRDefault="00653982" w:rsidP="009460DA">
      <w:pPr>
        <w:spacing w:after="0" w:line="240" w:lineRule="auto"/>
        <w:jc w:val="both"/>
        <w:rPr>
          <w:rFonts w:ascii="Cambria" w:hAnsi="Cambria" w:cstheme="majorBidi"/>
          <w:sz w:val="20"/>
          <w:szCs w:val="20"/>
          <w:lang w:val="en-ZA"/>
        </w:rPr>
      </w:pPr>
      <w:r w:rsidRPr="009460DA">
        <w:rPr>
          <w:rFonts w:ascii="Cambria" w:hAnsi="Cambria" w:cstheme="majorBidi"/>
          <w:b/>
          <w:bCs/>
          <w:sz w:val="20"/>
          <w:szCs w:val="20"/>
          <w:lang w:val="en-ZA"/>
        </w:rPr>
        <w:t>Hypothesis 2:</w:t>
      </w:r>
      <w:r w:rsidRPr="009460DA">
        <w:rPr>
          <w:rFonts w:ascii="Cambria" w:hAnsi="Cambria" w:cstheme="majorBidi"/>
          <w:sz w:val="20"/>
          <w:szCs w:val="20"/>
          <w:lang w:val="en-ZA"/>
        </w:rPr>
        <w:t xml:space="preserve"> Internal audit gender diversity moderates the relationship between IAF and firm performance.</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3. Research Design</w:t>
      </w: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Sample Selection and Data Collection:</w:t>
      </w:r>
      <w:r w:rsidRPr="009460DA">
        <w:rPr>
          <w:rFonts w:ascii="Cambria" w:hAnsi="Cambria" w:cstheme="majorBidi"/>
          <w:b/>
          <w:bCs/>
          <w:sz w:val="20"/>
          <w:szCs w:val="20"/>
          <w:rtl/>
          <w:lang w:val="en-ZA"/>
        </w:rPr>
        <w:t xml:space="preserve"> </w:t>
      </w:r>
      <w:r w:rsidRPr="009460DA">
        <w:rPr>
          <w:rFonts w:ascii="Cambria" w:eastAsia="Calibri" w:hAnsi="Cambria" w:cs="Times New Roman"/>
          <w:sz w:val="20"/>
          <w:szCs w:val="20"/>
          <w:lang w:val="en-IE"/>
        </w:rPr>
        <w:t>Our initial sample included 80 Tunisian companies that were listed on the Tunis Stock Exchange (TSE) between 2015 and 2019. We manually collected the data for this study from financial reporting and the "Stock Guide" published by TSE. Thus, data related to the IA functions, CAE gender, and other governance attributes were collected from a survey questionnaire sent to Chief Internal Auditors (CIAs) pertaining to 80 Tunisian firms listed on TSE. Between January 2020 and April 2020, we received 75 usable responses, giving a response rate of 93.75</w:t>
      </w:r>
      <w:r w:rsidRPr="009460DA">
        <w:rPr>
          <w:rFonts w:ascii="Cambria" w:hAnsi="Cambria" w:cstheme="majorBidi"/>
          <w:sz w:val="20"/>
          <w:szCs w:val="20"/>
          <w:lang w:val="en-IE"/>
        </w:rPr>
        <w:t xml:space="preserve"> </w:t>
      </w:r>
      <w:r w:rsidRPr="009460DA">
        <w:rPr>
          <w:rFonts w:ascii="Cambria" w:eastAsia="Calibri" w:hAnsi="Cambria" w:cs="Times New Roman"/>
          <w:sz w:val="20"/>
          <w:szCs w:val="20"/>
          <w:lang w:val="en-IE"/>
        </w:rPr>
        <w:t>percent. So, the final sample contains 75 listed companies and 375 yearly observations. Panel B in Table 1 presents the sector classifications of the sample, from which it is seen that above 33 percent of firms in our sample belong to the industrial sector and almost 30 percent of firms are in the financial services sector. Just over 10 percent of companies are in the telecommunications sector, and few firms (less than 5 percent) are in the energy, health care, and construction sectors.</w:t>
      </w:r>
    </w:p>
    <w:p w:rsidR="00653982" w:rsidRPr="009460DA" w:rsidRDefault="00653982" w:rsidP="009460DA">
      <w:pPr>
        <w:spacing w:after="0" w:line="240" w:lineRule="auto"/>
        <w:jc w:val="both"/>
        <w:rPr>
          <w:rFonts w:ascii="Cambria" w:eastAsia="Calibri" w:hAnsi="Cambria" w:cs="Times New Roman"/>
          <w:sz w:val="20"/>
          <w:szCs w:val="20"/>
          <w:lang w:val="en-IE"/>
        </w:rPr>
      </w:pPr>
    </w:p>
    <w:p w:rsidR="00653982" w:rsidRPr="009460DA" w:rsidRDefault="00653982" w:rsidP="009460DA">
      <w:pPr>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Table 1: Sample Selection and Industry Breakdown</w:t>
      </w:r>
    </w:p>
    <w:tbl>
      <w:tblPr>
        <w:tblStyle w:val="TableGrid"/>
        <w:tblW w:w="4915" w:type="pct"/>
        <w:jc w:val="center"/>
        <w:tblInd w:w="55" w:type="dxa"/>
        <w:tblBorders>
          <w:left w:val="none" w:sz="0" w:space="0" w:color="auto"/>
          <w:right w:val="none" w:sz="0" w:space="0" w:color="auto"/>
          <w:insideH w:val="none" w:sz="0" w:space="0" w:color="auto"/>
          <w:insideV w:val="none" w:sz="0" w:space="0" w:color="auto"/>
        </w:tblBorders>
        <w:tblLook w:val="04A0"/>
      </w:tblPr>
      <w:tblGrid>
        <w:gridCol w:w="5915"/>
        <w:gridCol w:w="1903"/>
        <w:gridCol w:w="1595"/>
      </w:tblGrid>
      <w:tr w:rsidR="00653982" w:rsidRPr="009460DA" w:rsidTr="008471BD">
        <w:trPr>
          <w:jc w:val="center"/>
        </w:trPr>
        <w:tc>
          <w:tcPr>
            <w:tcW w:w="5000" w:type="pct"/>
            <w:gridSpan w:val="3"/>
            <w:tcBorders>
              <w:top w:val="single" w:sz="4" w:space="0" w:color="auto"/>
              <w:bottom w:val="single" w:sz="4" w:space="0" w:color="auto"/>
            </w:tcBorders>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lang w:val="en-ZA"/>
              </w:rPr>
              <w:t>Panel A. Sample Selection</w:t>
            </w:r>
          </w:p>
        </w:tc>
      </w:tr>
      <w:tr w:rsidR="00653982" w:rsidRPr="009460DA" w:rsidTr="008471BD">
        <w:trPr>
          <w:jc w:val="center"/>
        </w:trPr>
        <w:tc>
          <w:tcPr>
            <w:tcW w:w="4152" w:type="pct"/>
            <w:gridSpan w:val="2"/>
            <w:tcBorders>
              <w:top w:val="single" w:sz="4" w:space="0" w:color="auto"/>
            </w:tcBorders>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Initial sample</w:t>
            </w:r>
          </w:p>
        </w:tc>
        <w:tc>
          <w:tcPr>
            <w:tcW w:w="848" w:type="pct"/>
            <w:tcBorders>
              <w:top w:val="single" w:sz="4" w:space="0" w:color="auto"/>
            </w:tcBorders>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80</w:t>
            </w:r>
          </w:p>
        </w:tc>
      </w:tr>
      <w:tr w:rsidR="00653982" w:rsidRPr="009460DA" w:rsidTr="008471BD">
        <w:trPr>
          <w:jc w:val="center"/>
        </w:trPr>
        <w:tc>
          <w:tcPr>
            <w:tcW w:w="4152" w:type="pct"/>
            <w:gridSpan w:val="2"/>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Less:  Firms deleted because of nonresponses to the survey</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(5)</w:t>
            </w:r>
          </w:p>
        </w:tc>
      </w:tr>
      <w:tr w:rsidR="00653982" w:rsidRPr="009460DA" w:rsidTr="008471BD">
        <w:trPr>
          <w:jc w:val="center"/>
        </w:trPr>
        <w:tc>
          <w:tcPr>
            <w:tcW w:w="4152" w:type="pct"/>
            <w:gridSpan w:val="2"/>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Final sample</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75</w:t>
            </w:r>
          </w:p>
        </w:tc>
      </w:tr>
      <w:tr w:rsidR="00653982" w:rsidRPr="009460DA" w:rsidTr="008471BD">
        <w:trPr>
          <w:jc w:val="center"/>
        </w:trPr>
        <w:tc>
          <w:tcPr>
            <w:tcW w:w="4152" w:type="pct"/>
            <w:gridSpan w:val="2"/>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Study duration</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5</w:t>
            </w:r>
          </w:p>
        </w:tc>
      </w:tr>
      <w:tr w:rsidR="00653982" w:rsidRPr="009460DA" w:rsidTr="008471BD">
        <w:trPr>
          <w:jc w:val="center"/>
        </w:trPr>
        <w:tc>
          <w:tcPr>
            <w:tcW w:w="4152" w:type="pct"/>
            <w:gridSpan w:val="2"/>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Total observations</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375</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lang w:val="en-ZA"/>
              </w:rPr>
              <w:t>Panel B. Sample distribution across the industry</w:t>
            </w:r>
            <w:r w:rsidRPr="009460DA">
              <w:rPr>
                <w:rFonts w:ascii="Cambria" w:hAnsi="Cambria" w:cstheme="majorBidi"/>
                <w:b/>
                <w:bCs/>
                <w:sz w:val="20"/>
                <w:szCs w:val="20"/>
                <w:lang w:val="en-IE"/>
              </w:rPr>
              <w:t xml:space="preserve">                    </w:t>
            </w:r>
          </w:p>
        </w:tc>
        <w:tc>
          <w:tcPr>
            <w:tcW w:w="1011" w:type="pct"/>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rPr>
              <w:t>N</w:t>
            </w:r>
          </w:p>
        </w:tc>
        <w:tc>
          <w:tcPr>
            <w:tcW w:w="848" w:type="pct"/>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rPr>
              <w:t xml:space="preserve">% </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Industrials</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25</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33.33</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rPr>
            </w:pPr>
            <w:r w:rsidRPr="009460DA">
              <w:rPr>
                <w:rFonts w:ascii="Cambria" w:hAnsi="Cambria" w:cstheme="majorBidi"/>
                <w:sz w:val="20"/>
                <w:szCs w:val="20"/>
              </w:rPr>
              <w:t>Distributors</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6</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8</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Oil and gas</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3</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4</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Health care</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3</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4</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Construction and building</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3</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4</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Telecommunication services</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8</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10.66</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rPr>
            </w:pPr>
            <w:r w:rsidRPr="009460DA">
              <w:rPr>
                <w:rFonts w:ascii="Cambria" w:hAnsi="Cambria" w:cstheme="majorBidi"/>
                <w:sz w:val="20"/>
                <w:szCs w:val="20"/>
              </w:rPr>
              <w:t>Transport</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5</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6.66</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Financial services</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22</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29.33</w:t>
            </w:r>
          </w:p>
        </w:tc>
      </w:tr>
      <w:tr w:rsidR="00653982" w:rsidRPr="009460DA" w:rsidTr="008471BD">
        <w:trPr>
          <w:jc w:val="center"/>
        </w:trPr>
        <w:tc>
          <w:tcPr>
            <w:tcW w:w="3142"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rPr>
              <w:t>Total</w:t>
            </w:r>
          </w:p>
        </w:tc>
        <w:tc>
          <w:tcPr>
            <w:tcW w:w="1011"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75</w:t>
            </w:r>
          </w:p>
        </w:tc>
        <w:tc>
          <w:tcPr>
            <w:tcW w:w="848" w:type="pct"/>
          </w:tcPr>
          <w:p w:rsidR="00653982" w:rsidRPr="009460DA" w:rsidRDefault="00653982" w:rsidP="009460DA">
            <w:pPr>
              <w:pStyle w:val="ListParagraph"/>
              <w:ind w:left="0"/>
              <w:jc w:val="both"/>
              <w:rPr>
                <w:rFonts w:ascii="Cambria" w:hAnsi="Cambria" w:cstheme="majorBidi"/>
                <w:sz w:val="20"/>
                <w:szCs w:val="20"/>
                <w:lang w:val="en-ZA"/>
              </w:rPr>
            </w:pPr>
            <w:r w:rsidRPr="009460DA">
              <w:rPr>
                <w:rFonts w:ascii="Cambria" w:hAnsi="Cambria" w:cstheme="majorBidi"/>
                <w:sz w:val="20"/>
                <w:szCs w:val="20"/>
                <w:lang w:val="en-ZA"/>
              </w:rPr>
              <w:t>100</w:t>
            </w:r>
          </w:p>
        </w:tc>
      </w:tr>
    </w:tbl>
    <w:p w:rsidR="00653982" w:rsidRPr="009460DA" w:rsidRDefault="00653982" w:rsidP="009460DA">
      <w:pPr>
        <w:spacing w:after="0" w:line="240" w:lineRule="auto"/>
        <w:jc w:val="both"/>
        <w:rPr>
          <w:rFonts w:ascii="Cambria" w:hAnsi="Cambria" w:cstheme="majorBidi"/>
          <w:b/>
          <w:bCs/>
          <w:sz w:val="20"/>
          <w:szCs w:val="20"/>
          <w:lang w:val="en-ZA"/>
        </w:rPr>
      </w:pPr>
    </w:p>
    <w:p w:rsidR="00653982" w:rsidRPr="009460DA" w:rsidRDefault="00653982" w:rsidP="009460DA">
      <w:pPr>
        <w:spacing w:after="0" w:line="240" w:lineRule="auto"/>
        <w:jc w:val="both"/>
        <w:rPr>
          <w:rFonts w:ascii="Cambria" w:hAnsi="Cambria" w:cstheme="majorBidi"/>
          <w:b/>
          <w:bCs/>
          <w:sz w:val="20"/>
          <w:szCs w:val="20"/>
          <w:lang w:val="en-IE"/>
        </w:rPr>
      </w:pPr>
      <w:r w:rsidRPr="009460DA">
        <w:rPr>
          <w:rFonts w:ascii="Cambria" w:hAnsi="Cambria" w:cstheme="majorBidi"/>
          <w:b/>
          <w:bCs/>
          <w:sz w:val="20"/>
          <w:szCs w:val="20"/>
          <w:lang w:val="en-IE"/>
        </w:rPr>
        <w:t xml:space="preserve">Research Model and Variables Definition: </w:t>
      </w:r>
      <w:r w:rsidRPr="009460DA">
        <w:rPr>
          <w:rFonts w:ascii="Cambria" w:hAnsi="Cambria" w:cstheme="majorBidi"/>
          <w:sz w:val="20"/>
          <w:szCs w:val="20"/>
          <w:lang w:val="en-IE"/>
        </w:rPr>
        <w:t>To test empirically the association between internal audit quality and firm performance specified in our first hypothesis, we use the following GLS regression model:</w:t>
      </w:r>
    </w:p>
    <w:p w:rsidR="00653982" w:rsidRPr="009460DA" w:rsidRDefault="00902FB4" w:rsidP="009460DA">
      <w:pPr>
        <w:pStyle w:val="ListParagraph"/>
        <w:spacing w:after="0" w:line="240" w:lineRule="auto"/>
        <w:ind w:left="0"/>
        <w:jc w:val="both"/>
        <w:rPr>
          <w:rFonts w:ascii="Cambria" w:hAnsi="Cambria" w:cstheme="majorBidi"/>
          <w:sz w:val="20"/>
          <w:szCs w:val="20"/>
          <w:lang w:val="en-ZA"/>
        </w:rPr>
      </w:pPr>
      <m:oMath>
        <m:sSub>
          <m:sSubPr>
            <m:ctrlPr>
              <w:rPr>
                <w:rFonts w:ascii="Cambria Math" w:hAnsi="Cambria Math" w:cstheme="majorBidi"/>
                <w:i/>
                <w:sz w:val="20"/>
                <w:szCs w:val="20"/>
                <w:lang w:val="en-ZA"/>
              </w:rPr>
            </m:ctrlPr>
          </m:sSubPr>
          <m:e>
            <m:r>
              <m:rPr>
                <m:sty m:val="p"/>
              </m:rPr>
              <w:rPr>
                <w:rFonts w:ascii="Cambria Math" w:hAnsi="Cambria Math" w:cstheme="majorBidi"/>
                <w:sz w:val="20"/>
                <w:szCs w:val="20"/>
                <w:lang w:val="en-ZA"/>
              </w:rPr>
              <m:t>TQ</m:t>
            </m:r>
          </m:e>
          <m:sub>
            <m: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0</m:t>
            </m:r>
          </m:sub>
        </m:sSub>
        <m:r>
          <w:rPr>
            <w:rFonts w:ascii="Cambria Math" w:hAnsi="Cambria Math" w:cstheme="majorBidi"/>
            <w:sz w:val="20"/>
            <w:szCs w:val="20"/>
            <w:lang w:val="en-ZA"/>
          </w:rPr>
          <m:t xml:space="preserve">+ </m:t>
        </m:r>
        <m:sSub>
          <m:sSubPr>
            <m:ctrlPr>
              <w:rPr>
                <w:rFonts w:ascii="Cambria Math" w:hAnsi="Cambria Math" w:cstheme="majorBidi"/>
                <w:i/>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1</m:t>
            </m:r>
          </m:sub>
        </m:sSub>
        <m:r>
          <w:rPr>
            <w:rFonts w:ascii="Cambria Math" w:hAnsi="Cambria Math" w:cstheme="majorBidi"/>
            <w:sz w:val="20"/>
            <w:szCs w:val="20"/>
            <w:lang w:val="en-ZA"/>
          </w:rPr>
          <m:t xml:space="preserve"> </m:t>
        </m:r>
        <m:sSub>
          <m:sSubPr>
            <m:ctrlPr>
              <w:rPr>
                <w:rFonts w:ascii="Cambria Math" w:hAnsi="Cambria Math" w:cstheme="majorBidi"/>
                <w:iCs/>
                <w:sz w:val="20"/>
                <w:szCs w:val="20"/>
                <w:lang w:val="en-ZA"/>
              </w:rPr>
            </m:ctrlPr>
          </m:sSubPr>
          <m:e>
            <m:r>
              <m:rPr>
                <m:sty m:val="p"/>
              </m:rPr>
              <w:rPr>
                <w:rFonts w:ascii="Cambria Math" w:hAnsi="Cambria Math" w:cstheme="majorBidi"/>
                <w:sz w:val="20"/>
                <w:szCs w:val="20"/>
                <w:lang w:val="en-ZA"/>
              </w:rPr>
              <m:t>IAFQ</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 xml:space="preserve">2 </m:t>
            </m:r>
          </m:sub>
        </m:sSub>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FSIZE</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3</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FAGE</m:t>
            </m:r>
          </m:e>
          <m:sub>
            <m:r>
              <m:rPr>
                <m:sty m:val="p"/>
              </m:rPr>
              <w:rPr>
                <w:rFonts w:ascii="Cambria Math" w:hAnsi="Cambria Math" w:cstheme="majorBidi"/>
                <w:sz w:val="20"/>
                <w:szCs w:val="20"/>
                <w:lang w:val="en-ZA"/>
              </w:rPr>
              <m:t>it</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i/>
                <w:iCs/>
                <w:sz w:val="20"/>
                <w:szCs w:val="20"/>
                <w:lang w:val="en-ZA"/>
              </w:rPr>
            </m:ctrlPr>
          </m:sSubPr>
          <m:e>
            <m:r>
              <w:rPr>
                <w:rFonts w:ascii="Cambria Math" w:eastAsiaTheme="minorEastAsia" w:hAnsi="Cambria Math" w:cstheme="majorBidi"/>
                <w:sz w:val="20"/>
                <w:szCs w:val="20"/>
                <w:lang w:val="en-ZA"/>
              </w:rPr>
              <m:t>β</m:t>
            </m:r>
          </m:e>
          <m:sub>
            <m:r>
              <w:rPr>
                <w:rFonts w:ascii="Cambria Math" w:eastAsiaTheme="minorEastAsia" w:hAnsi="Cambria Math" w:cstheme="majorBidi"/>
                <w:sz w:val="20"/>
                <w:szCs w:val="20"/>
                <w:lang w:val="en-ZA"/>
              </w:rPr>
              <m:t>4</m:t>
            </m:r>
          </m:sub>
        </m:sSub>
        <m:r>
          <w:rPr>
            <w:rFonts w:ascii="Cambria Math" w:eastAsiaTheme="minorEastAsia" w:hAnsi="Cambria Math" w:cstheme="majorBidi"/>
            <w:sz w:val="20"/>
            <w:szCs w:val="20"/>
            <w:lang w:val="en-ZA"/>
          </w:rPr>
          <m:t xml:space="preserve"> </m:t>
        </m:r>
        <m:r>
          <m:rPr>
            <m:sty m:val="p"/>
          </m:rPr>
          <w:rPr>
            <w:rFonts w:ascii="Cambria Math" w:eastAsiaTheme="minorEastAsia" w:hAnsi="Cambria Math" w:cstheme="majorBidi"/>
            <w:sz w:val="20"/>
            <w:szCs w:val="20"/>
            <w:lang w:val="en-ZA"/>
          </w:rPr>
          <m:t>F</m:t>
        </m:r>
        <m:sSub>
          <m:sSubPr>
            <m:ctrlPr>
              <w:rPr>
                <w:rFonts w:ascii="Cambria Math" w:eastAsiaTheme="minorEastAsia" w:hAnsi="Cambria Math" w:cstheme="majorBidi"/>
                <w:sz w:val="20"/>
                <w:szCs w:val="20"/>
                <w:lang w:val="en-ZA"/>
              </w:rPr>
            </m:ctrlPr>
          </m:sSubPr>
          <m:e>
            <m:r>
              <m:rPr>
                <m:sty m:val="p"/>
              </m:rPr>
              <w:rPr>
                <w:rFonts w:ascii="Cambria Math" w:eastAsiaTheme="minorEastAsia" w:hAnsi="Cambria Math" w:cstheme="majorBidi"/>
                <w:sz w:val="20"/>
                <w:szCs w:val="20"/>
                <w:lang w:val="en-ZA"/>
              </w:rPr>
              <m:t>IND</m:t>
            </m:r>
          </m:e>
          <m:sub>
            <m:r>
              <m:rPr>
                <m:sty m:val="p"/>
              </m:rPr>
              <w:rPr>
                <w:rFonts w:ascii="Cambria Math" w:eastAsiaTheme="minorEastAsia" w:hAnsi="Cambria Math" w:cstheme="majorBidi"/>
                <w:sz w:val="20"/>
                <w:szCs w:val="20"/>
                <w:lang w:val="en-ZA"/>
              </w:rPr>
              <m:t>it</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i/>
                <w:iCs/>
                <w:sz w:val="20"/>
                <w:szCs w:val="20"/>
                <w:lang w:val="en-ZA"/>
              </w:rPr>
            </m:ctrlPr>
          </m:sSubPr>
          <m:e>
            <m:r>
              <w:rPr>
                <w:rFonts w:ascii="Cambria Math" w:eastAsiaTheme="minorEastAsia" w:hAnsi="Cambria Math" w:cstheme="majorBidi"/>
                <w:sz w:val="20"/>
                <w:szCs w:val="20"/>
                <w:lang w:val="en-ZA"/>
              </w:rPr>
              <m:t>β</m:t>
            </m:r>
          </m:e>
          <m:sub>
            <m:r>
              <w:rPr>
                <w:rFonts w:ascii="Cambria Math" w:eastAsiaTheme="minorEastAsia" w:hAnsi="Cambria Math" w:cstheme="majorBidi"/>
                <w:sz w:val="20"/>
                <w:szCs w:val="20"/>
                <w:lang w:val="en-ZA"/>
              </w:rPr>
              <m:t>5</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sz w:val="20"/>
                <w:szCs w:val="20"/>
                <w:lang w:val="en-ZA"/>
              </w:rPr>
            </m:ctrlPr>
          </m:sSubPr>
          <m:e>
            <m:r>
              <m:rPr>
                <m:sty m:val="p"/>
              </m:rPr>
              <w:rPr>
                <w:rFonts w:ascii="Cambria Math" w:eastAsiaTheme="minorEastAsia" w:hAnsi="Cambria Math" w:cstheme="majorBidi"/>
                <w:sz w:val="20"/>
                <w:szCs w:val="20"/>
                <w:lang w:val="en-ZA"/>
              </w:rPr>
              <m:t>BIG4</m:t>
            </m:r>
          </m:e>
          <m:sub>
            <m:r>
              <m:rPr>
                <m:sty m:val="p"/>
              </m:rPr>
              <w:rPr>
                <w:rFonts w:ascii="Cambria Math" w:eastAsiaTheme="minorEastAsia" w:hAnsi="Cambria Math" w:cstheme="majorBidi"/>
                <w:sz w:val="20"/>
                <w:szCs w:val="20"/>
                <w:lang w:val="en-ZA"/>
              </w:rPr>
              <m:t>it</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i/>
                <w:iCs/>
                <w:sz w:val="20"/>
                <w:szCs w:val="20"/>
                <w:lang w:val="en-ZA"/>
              </w:rPr>
            </m:ctrlPr>
          </m:sSubPr>
          <m:e>
            <m:r>
              <w:rPr>
                <w:rFonts w:ascii="Cambria Math" w:eastAsiaTheme="minorEastAsia" w:hAnsi="Cambria Math" w:cstheme="majorBidi"/>
                <w:sz w:val="20"/>
                <w:szCs w:val="20"/>
                <w:lang w:val="en-ZA"/>
              </w:rPr>
              <m:t>β</m:t>
            </m:r>
          </m:e>
          <m:sub>
            <m:r>
              <w:rPr>
                <w:rFonts w:ascii="Cambria Math" w:eastAsiaTheme="minorEastAsia" w:hAnsi="Cambria Math" w:cstheme="majorBidi"/>
                <w:sz w:val="20"/>
                <w:szCs w:val="20"/>
                <w:lang w:val="en-ZA"/>
              </w:rPr>
              <m:t>6</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sz w:val="20"/>
                <w:szCs w:val="20"/>
                <w:lang w:val="en-ZA"/>
              </w:rPr>
            </m:ctrlPr>
          </m:sSubPr>
          <m:e>
            <m:r>
              <m:rPr>
                <m:sty m:val="p"/>
              </m:rPr>
              <w:rPr>
                <w:rFonts w:ascii="Cambria Math" w:eastAsiaTheme="minorEastAsia" w:hAnsi="Cambria Math" w:cstheme="majorBidi"/>
                <w:sz w:val="20"/>
                <w:szCs w:val="20"/>
                <w:lang w:val="en-ZA"/>
              </w:rPr>
              <m:t>BIND</m:t>
            </m:r>
          </m:e>
          <m:sub>
            <m:r>
              <m:rPr>
                <m:sty m:val="p"/>
              </m:rPr>
              <w:rPr>
                <w:rFonts w:ascii="Cambria Math" w:eastAsiaTheme="minorEastAsia" w:hAnsi="Cambria Math" w:cstheme="majorBidi"/>
                <w:sz w:val="20"/>
                <w:szCs w:val="20"/>
                <w:lang w:val="en-ZA"/>
              </w:rPr>
              <m:t>it</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i/>
                <w:iCs/>
                <w:sz w:val="20"/>
                <w:szCs w:val="20"/>
                <w:lang w:val="en-ZA"/>
              </w:rPr>
            </m:ctrlPr>
          </m:sSubPr>
          <m:e>
            <m:r>
              <w:rPr>
                <w:rFonts w:ascii="Cambria Math" w:eastAsiaTheme="minorEastAsia" w:hAnsi="Cambria Math" w:cstheme="majorBidi"/>
                <w:sz w:val="20"/>
                <w:szCs w:val="20"/>
                <w:lang w:val="en-ZA"/>
              </w:rPr>
              <m:t>β</m:t>
            </m:r>
          </m:e>
          <m:sub>
            <m:r>
              <w:rPr>
                <w:rFonts w:ascii="Cambria Math" w:eastAsiaTheme="minorEastAsia" w:hAnsi="Cambria Math" w:cstheme="majorBidi"/>
                <w:sz w:val="20"/>
                <w:szCs w:val="20"/>
                <w:lang w:val="en-ZA"/>
              </w:rPr>
              <m:t>7</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sz w:val="20"/>
                <w:szCs w:val="20"/>
                <w:lang w:val="en-ZA"/>
              </w:rPr>
            </m:ctrlPr>
          </m:sSubPr>
          <m:e>
            <m:r>
              <m:rPr>
                <m:sty m:val="p"/>
              </m:rPr>
              <w:rPr>
                <w:rFonts w:ascii="Cambria Math" w:eastAsiaTheme="minorEastAsia" w:hAnsi="Cambria Math" w:cstheme="majorBidi"/>
                <w:sz w:val="20"/>
                <w:szCs w:val="20"/>
                <w:lang w:val="en-ZA"/>
              </w:rPr>
              <m:t>ACEXP</m:t>
            </m:r>
          </m:e>
          <m:sub>
            <m:r>
              <m:rPr>
                <m:sty m:val="p"/>
              </m:rPr>
              <w:rPr>
                <w:rFonts w:ascii="Cambria Math" w:eastAsiaTheme="minorEastAsia" w:hAnsi="Cambria Math" w:cstheme="majorBidi"/>
                <w:sz w:val="20"/>
                <w:szCs w:val="20"/>
                <w:lang w:val="en-ZA"/>
              </w:rPr>
              <m:t>it</m:t>
            </m:r>
          </m:sub>
        </m:sSub>
        <m:r>
          <w:rPr>
            <w:rFonts w:ascii="Cambria Math" w:eastAsiaTheme="minorEastAsia" w:hAnsi="Cambria Math" w:cstheme="majorBidi"/>
            <w:sz w:val="20"/>
            <w:szCs w:val="20"/>
            <w:lang w:val="en-ZA"/>
          </w:rPr>
          <m:t xml:space="preserve">+ </m:t>
        </m:r>
        <m:sSub>
          <m:sSubPr>
            <m:ctrlPr>
              <w:rPr>
                <w:rFonts w:ascii="Cambria Math" w:eastAsiaTheme="minorEastAsia" w:hAnsi="Cambria Math" w:cstheme="majorBidi"/>
                <w:i/>
                <w:iCs/>
                <w:sz w:val="20"/>
                <w:szCs w:val="20"/>
                <w:lang w:val="en-ZA"/>
              </w:rPr>
            </m:ctrlPr>
          </m:sSubPr>
          <m:e>
            <m:r>
              <w:rPr>
                <w:rFonts w:ascii="Cambria Math" w:eastAsiaTheme="minorEastAsia" w:hAnsi="Cambria Math" w:cstheme="majorBidi"/>
                <w:sz w:val="20"/>
                <w:szCs w:val="20"/>
                <w:lang w:val="en-ZA"/>
              </w:rPr>
              <m:t>ε</m:t>
            </m:r>
          </m:e>
          <m:sub>
            <m:r>
              <w:rPr>
                <w:rFonts w:ascii="Cambria Math" w:eastAsiaTheme="minorEastAsia" w:hAnsi="Cambria Math" w:cstheme="majorBidi"/>
                <w:sz w:val="20"/>
                <w:szCs w:val="20"/>
                <w:lang w:val="en-ZA"/>
              </w:rPr>
              <m:t>it</m:t>
            </m:r>
          </m:sub>
        </m:sSub>
        <m:r>
          <w:rPr>
            <w:rFonts w:ascii="Cambria Math" w:eastAsiaTheme="minorEastAsia" w:hAnsi="Cambria Math" w:cstheme="majorBidi"/>
            <w:sz w:val="20"/>
            <w:szCs w:val="20"/>
            <w:lang w:val="en-ZA"/>
          </w:rPr>
          <m:t xml:space="preserve">                                                                               </m:t>
        </m:r>
        <m:d>
          <m:dPr>
            <m:ctrlPr>
              <w:rPr>
                <w:rFonts w:ascii="Cambria Math" w:eastAsiaTheme="minorEastAsia" w:hAnsi="Cambria Math" w:cstheme="majorBidi"/>
                <w:i/>
                <w:iCs/>
                <w:sz w:val="20"/>
                <w:szCs w:val="20"/>
                <w:lang w:val="en-ZA"/>
              </w:rPr>
            </m:ctrlPr>
          </m:dPr>
          <m:e>
            <m:r>
              <w:rPr>
                <w:rFonts w:ascii="Cambria Math" w:eastAsiaTheme="minorEastAsia" w:hAnsi="Cambria Math" w:cstheme="majorBidi"/>
                <w:sz w:val="20"/>
                <w:szCs w:val="20"/>
                <w:lang w:val="en-ZA"/>
              </w:rPr>
              <m:t>1</m:t>
            </m:r>
          </m:e>
        </m:d>
      </m:oMath>
      <w:r w:rsidR="00653982" w:rsidRPr="009460DA">
        <w:rPr>
          <w:rFonts w:ascii="Cambria" w:eastAsiaTheme="minorEastAsia" w:hAnsi="Cambria" w:cstheme="majorBidi"/>
          <w:iCs/>
          <w:sz w:val="20"/>
          <w:szCs w:val="20"/>
          <w:lang w:val="en-ZA"/>
        </w:rPr>
        <w:t xml:space="preserve"> </w:t>
      </w:r>
    </w:p>
    <w:p w:rsidR="00653982" w:rsidRPr="009460DA" w:rsidRDefault="00653982" w:rsidP="009460DA">
      <w:pPr>
        <w:spacing w:after="0" w:line="240" w:lineRule="auto"/>
        <w:jc w:val="both"/>
        <w:rPr>
          <w:rFonts w:ascii="Cambria" w:hAnsi="Cambria" w:cstheme="majorBidi"/>
          <w:sz w:val="20"/>
          <w:szCs w:val="20"/>
          <w:lang w:val="en-IE"/>
        </w:rPr>
      </w:pPr>
      <w:r w:rsidRPr="009460DA">
        <w:rPr>
          <w:rFonts w:ascii="Cambria" w:hAnsi="Cambria" w:cstheme="majorBidi"/>
          <w:sz w:val="20"/>
          <w:szCs w:val="20"/>
          <w:lang w:val="en-IE"/>
        </w:rPr>
        <w:t>Moreover, this study examines the moderating effect of internal audit gender diversity on the relationship between IAF quality and the firm’s financial performance by using the following GLS regression model:</w:t>
      </w:r>
    </w:p>
    <w:p w:rsidR="00653982" w:rsidRPr="009460DA" w:rsidRDefault="00902FB4" w:rsidP="009460DA">
      <w:pPr>
        <w:pStyle w:val="ListParagraph"/>
        <w:spacing w:after="0" w:line="240" w:lineRule="auto"/>
        <w:ind w:left="0"/>
        <w:jc w:val="both"/>
        <w:rPr>
          <w:rFonts w:ascii="Cambria" w:hAnsi="Cambria" w:cstheme="majorBidi"/>
          <w:sz w:val="20"/>
          <w:szCs w:val="20"/>
          <w:lang w:val="en-ZA"/>
        </w:rPr>
      </w:pPr>
      <m:oMath>
        <m:sSub>
          <m:sSubPr>
            <m:ctrlPr>
              <w:rPr>
                <w:rFonts w:ascii="Cambria Math" w:hAnsi="Cambria Math" w:cstheme="majorBidi"/>
                <w:i/>
                <w:sz w:val="20"/>
                <w:szCs w:val="20"/>
                <w:lang w:val="en-ZA"/>
              </w:rPr>
            </m:ctrlPr>
          </m:sSubPr>
          <m:e>
            <m:r>
              <m:rPr>
                <m:sty m:val="p"/>
              </m:rPr>
              <w:rPr>
                <w:rFonts w:ascii="Cambria Math" w:hAnsi="Cambria Math" w:cstheme="majorBidi"/>
                <w:sz w:val="20"/>
                <w:szCs w:val="20"/>
                <w:lang w:val="en-ZA"/>
              </w:rPr>
              <m:t>TQ</m:t>
            </m:r>
          </m:e>
          <m:sub>
            <m: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0</m:t>
            </m:r>
          </m:sub>
        </m:sSub>
        <m:r>
          <w:rPr>
            <w:rFonts w:ascii="Cambria Math" w:hAnsi="Cambria Math" w:cstheme="majorBidi"/>
            <w:sz w:val="20"/>
            <w:szCs w:val="20"/>
            <w:lang w:val="en-ZA"/>
          </w:rPr>
          <m:t xml:space="preserve">+ </m:t>
        </m:r>
        <m:sSub>
          <m:sSubPr>
            <m:ctrlPr>
              <w:rPr>
                <w:rFonts w:ascii="Cambria Math" w:hAnsi="Cambria Math" w:cstheme="majorBidi"/>
                <w:i/>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1</m:t>
            </m:r>
          </m:sub>
        </m:sSub>
        <m:r>
          <w:rPr>
            <w:rFonts w:ascii="Cambria Math" w:hAnsi="Cambria Math" w:cstheme="majorBidi"/>
            <w:sz w:val="20"/>
            <w:szCs w:val="20"/>
            <w:lang w:val="en-ZA"/>
          </w:rPr>
          <m:t xml:space="preserve"> </m:t>
        </m:r>
        <m:sSub>
          <m:sSubPr>
            <m:ctrlPr>
              <w:rPr>
                <w:rFonts w:ascii="Cambria Math" w:hAnsi="Cambria Math" w:cstheme="majorBidi"/>
                <w:iCs/>
                <w:sz w:val="20"/>
                <w:szCs w:val="20"/>
                <w:lang w:val="en-ZA"/>
              </w:rPr>
            </m:ctrlPr>
          </m:sSubPr>
          <m:e>
            <m:r>
              <m:rPr>
                <m:sty m:val="p"/>
              </m:rPr>
              <w:rPr>
                <w:rFonts w:ascii="Cambria Math" w:hAnsi="Cambria Math" w:cstheme="majorBidi"/>
                <w:sz w:val="20"/>
                <w:szCs w:val="20"/>
                <w:lang w:val="en-ZA"/>
              </w:rPr>
              <m:t>IAFQ</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2</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FCAE</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3</m:t>
            </m:r>
          </m:sub>
        </m:sSub>
        <m:r>
          <w:rPr>
            <w:rFonts w:ascii="Cambria Math" w:hAnsi="Cambria Math" w:cstheme="majorBidi"/>
            <w:sz w:val="20"/>
            <w:szCs w:val="20"/>
            <w:lang w:val="en-ZA"/>
          </w:rPr>
          <m:t xml:space="preserve">  </m:t>
        </m:r>
        <m:d>
          <m:dPr>
            <m:ctrlPr>
              <w:rPr>
                <w:rFonts w:ascii="Cambria Math" w:hAnsi="Cambria Math" w:cstheme="majorBidi"/>
                <w:sz w:val="20"/>
                <w:szCs w:val="20"/>
                <w:lang w:val="en-ZA"/>
              </w:rPr>
            </m:ctrlPr>
          </m:dPr>
          <m:e>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FCAE</m:t>
                </m:r>
              </m:e>
              <m:sub>
                <m:r>
                  <m:rPr>
                    <m:sty m:val="p"/>
                  </m:rPr>
                  <w:rPr>
                    <w:rFonts w:ascii="Cambria Math" w:hAnsi="Cambria Math" w:cstheme="majorBidi"/>
                    <w:sz w:val="20"/>
                    <w:szCs w:val="20"/>
                    <w:lang w:val="en-ZA"/>
                  </w:rPr>
                  <m:t>it</m:t>
                </m:r>
              </m:sub>
            </m:sSub>
            <m:r>
              <m:rPr>
                <m:sty m:val="p"/>
              </m:rPr>
              <w:rPr>
                <w:rFonts w:ascii="Cambria Math" w:hAnsi="Cambria Math" w:cstheme="majorBidi"/>
                <w:sz w:val="20"/>
                <w:szCs w:val="20"/>
                <w:lang w:val="en-ZA"/>
              </w:rPr>
              <m:t>*</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IAFQ</m:t>
                </m:r>
              </m:e>
              <m:sub>
                <m:r>
                  <m:rPr>
                    <m:sty m:val="p"/>
                  </m:rPr>
                  <w:rPr>
                    <w:rFonts w:ascii="Cambria Math" w:hAnsi="Cambria Math" w:cstheme="majorBidi"/>
                    <w:sz w:val="20"/>
                    <w:szCs w:val="20"/>
                    <w:lang w:val="en-ZA"/>
                  </w:rPr>
                  <m:t>it</m:t>
                </m:r>
              </m:sub>
            </m:sSub>
          </m:e>
        </m:d>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 xml:space="preserve">4 </m:t>
            </m:r>
          </m:sub>
        </m:sSub>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FSIZE</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5</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FAGE</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6</m:t>
            </m:r>
          </m:sub>
        </m:sSub>
        <m:r>
          <w:rPr>
            <w:rFonts w:ascii="Cambria Math" w:hAnsi="Cambria Math" w:cstheme="majorBidi"/>
            <w:sz w:val="20"/>
            <w:szCs w:val="20"/>
            <w:lang w:val="en-ZA"/>
          </w:rPr>
          <m:t xml:space="preserve"> </m:t>
        </m:r>
        <m:r>
          <m:rPr>
            <m:sty m:val="p"/>
          </m:rPr>
          <w:rPr>
            <w:rFonts w:ascii="Cambria Math" w:hAnsi="Cambria Math" w:cstheme="majorBidi"/>
            <w:sz w:val="20"/>
            <w:szCs w:val="20"/>
            <w:lang w:val="en-ZA"/>
          </w:rPr>
          <m:t>F</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IND</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7</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BIG4</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8</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BIND</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β</m:t>
            </m:r>
          </m:e>
          <m:sub>
            <m:r>
              <w:rPr>
                <w:rFonts w:ascii="Cambria Math" w:hAnsi="Cambria Math" w:cstheme="majorBidi"/>
                <w:sz w:val="20"/>
                <w:szCs w:val="20"/>
                <w:lang w:val="en-ZA"/>
              </w:rPr>
              <m:t>9</m:t>
            </m:r>
          </m:sub>
        </m:sSub>
        <m:r>
          <w:rPr>
            <w:rFonts w:ascii="Cambria Math" w:hAnsi="Cambria Math" w:cstheme="majorBidi"/>
            <w:sz w:val="20"/>
            <w:szCs w:val="20"/>
            <w:lang w:val="en-ZA"/>
          </w:rPr>
          <m:t xml:space="preserve">  </m:t>
        </m:r>
        <m:sSub>
          <m:sSubPr>
            <m:ctrlPr>
              <w:rPr>
                <w:rFonts w:ascii="Cambria Math" w:hAnsi="Cambria Math" w:cstheme="majorBidi"/>
                <w:sz w:val="20"/>
                <w:szCs w:val="20"/>
                <w:lang w:val="en-ZA"/>
              </w:rPr>
            </m:ctrlPr>
          </m:sSubPr>
          <m:e>
            <m:r>
              <m:rPr>
                <m:sty m:val="p"/>
              </m:rPr>
              <w:rPr>
                <w:rFonts w:ascii="Cambria Math" w:hAnsi="Cambria Math" w:cstheme="majorBidi"/>
                <w:sz w:val="20"/>
                <w:szCs w:val="20"/>
                <w:lang w:val="en-ZA"/>
              </w:rPr>
              <m:t>ACEXP</m:t>
            </m:r>
          </m:e>
          <m:sub>
            <m:r>
              <m:rPr>
                <m:sty m:val="p"/>
              </m:rPr>
              <w:rPr>
                <w:rFonts w:ascii="Cambria Math" w:hAnsi="Cambria Math" w:cstheme="majorBidi"/>
                <w:sz w:val="20"/>
                <w:szCs w:val="20"/>
                <w:lang w:val="en-ZA"/>
              </w:rPr>
              <m:t>it</m:t>
            </m:r>
          </m:sub>
        </m:sSub>
        <m:r>
          <w:rPr>
            <w:rFonts w:ascii="Cambria Math" w:hAnsi="Cambria Math" w:cstheme="majorBidi"/>
            <w:sz w:val="20"/>
            <w:szCs w:val="20"/>
            <w:lang w:val="en-ZA"/>
          </w:rPr>
          <m:t xml:space="preserve">+                 </m:t>
        </m:r>
        <m:sSub>
          <m:sSubPr>
            <m:ctrlPr>
              <w:rPr>
                <w:rFonts w:ascii="Cambria Math" w:hAnsi="Cambria Math" w:cstheme="majorBidi"/>
                <w:i/>
                <w:iCs/>
                <w:sz w:val="20"/>
                <w:szCs w:val="20"/>
                <w:lang w:val="en-ZA"/>
              </w:rPr>
            </m:ctrlPr>
          </m:sSubPr>
          <m:e>
            <m:r>
              <w:rPr>
                <w:rFonts w:ascii="Cambria Math" w:hAnsi="Cambria Math" w:cstheme="majorBidi"/>
                <w:sz w:val="20"/>
                <w:szCs w:val="20"/>
                <w:lang w:val="en-ZA"/>
              </w:rPr>
              <m:t>ε</m:t>
            </m:r>
          </m:e>
          <m:sub>
            <m:r>
              <w:rPr>
                <w:rFonts w:ascii="Cambria Math" w:hAnsi="Cambria Math" w:cstheme="majorBidi"/>
                <w:sz w:val="20"/>
                <w:szCs w:val="20"/>
                <w:lang w:val="en-ZA"/>
              </w:rPr>
              <m:t>it</m:t>
            </m:r>
          </m:sub>
        </m:sSub>
        <m:r>
          <w:rPr>
            <w:rFonts w:ascii="Cambria Math" w:hAnsi="Cambria Math" w:cstheme="majorBidi"/>
            <w:sz w:val="20"/>
            <w:szCs w:val="20"/>
            <w:lang w:val="en-ZA"/>
          </w:rPr>
          <m:t xml:space="preserve">                                                                                                                                  </m:t>
        </m:r>
        <m:d>
          <m:dPr>
            <m:ctrlPr>
              <w:rPr>
                <w:rFonts w:ascii="Cambria Math" w:hAnsi="Cambria Math" w:cstheme="majorBidi"/>
                <w:i/>
                <w:iCs/>
                <w:sz w:val="20"/>
                <w:szCs w:val="20"/>
                <w:lang w:val="en-ZA"/>
              </w:rPr>
            </m:ctrlPr>
          </m:dPr>
          <m:e>
            <m:r>
              <w:rPr>
                <w:rFonts w:ascii="Cambria Math" w:hAnsi="Cambria Math" w:cstheme="majorBidi"/>
                <w:sz w:val="20"/>
                <w:szCs w:val="20"/>
                <w:lang w:val="en-ZA"/>
              </w:rPr>
              <m:t>2</m:t>
            </m:r>
          </m:e>
        </m:d>
      </m:oMath>
      <w:r w:rsidR="00653982" w:rsidRPr="009460DA">
        <w:rPr>
          <w:rFonts w:ascii="Cambria" w:hAnsi="Cambria" w:cstheme="majorBidi"/>
          <w:iCs/>
          <w:sz w:val="20"/>
          <w:szCs w:val="20"/>
          <w:lang w:val="en-ZA"/>
        </w:rPr>
        <w:t xml:space="preserve"> </w:t>
      </w:r>
    </w:p>
    <w:p w:rsidR="00653982" w:rsidRDefault="00653982" w:rsidP="009460DA">
      <w:pPr>
        <w:spacing w:after="0" w:line="240" w:lineRule="auto"/>
        <w:jc w:val="both"/>
        <w:rPr>
          <w:rFonts w:ascii="Cambria" w:hAnsi="Cambria" w:cstheme="majorBidi"/>
          <w:sz w:val="20"/>
          <w:szCs w:val="20"/>
          <w:lang w:val="en-IE"/>
        </w:rPr>
      </w:pPr>
    </w:p>
    <w:p w:rsidR="008471BD" w:rsidRDefault="008471BD" w:rsidP="009460DA">
      <w:pPr>
        <w:spacing w:after="0" w:line="240" w:lineRule="auto"/>
        <w:jc w:val="both"/>
        <w:rPr>
          <w:rFonts w:ascii="Cambria" w:hAnsi="Cambria" w:cstheme="majorBidi"/>
          <w:sz w:val="20"/>
          <w:szCs w:val="20"/>
          <w:lang w:val="en-IE"/>
        </w:rPr>
      </w:pPr>
    </w:p>
    <w:p w:rsidR="008471BD" w:rsidRPr="009460DA" w:rsidRDefault="008471BD" w:rsidP="009460DA">
      <w:pPr>
        <w:spacing w:after="0" w:line="240" w:lineRule="auto"/>
        <w:jc w:val="both"/>
        <w:rPr>
          <w:rFonts w:ascii="Cambria" w:hAnsi="Cambria" w:cstheme="majorBidi"/>
          <w:sz w:val="20"/>
          <w:szCs w:val="20"/>
          <w:lang w:val="en-IE"/>
        </w:rPr>
      </w:pPr>
    </w:p>
    <w:p w:rsidR="00653982" w:rsidRPr="009460DA" w:rsidRDefault="00653982" w:rsidP="009460DA">
      <w:pPr>
        <w:spacing w:after="0" w:line="240" w:lineRule="auto"/>
        <w:jc w:val="both"/>
        <w:rPr>
          <w:rFonts w:ascii="Cambria" w:hAnsi="Cambria" w:cstheme="majorBidi"/>
          <w:sz w:val="20"/>
          <w:szCs w:val="20"/>
          <w:rtl/>
          <w:lang w:val="en-IE"/>
        </w:rPr>
      </w:pPr>
      <w:r w:rsidRPr="009460DA">
        <w:rPr>
          <w:rFonts w:ascii="Cambria" w:hAnsi="Cambria" w:cstheme="majorBidi"/>
          <w:sz w:val="20"/>
          <w:szCs w:val="20"/>
          <w:lang w:val="en-IE"/>
        </w:rPr>
        <w:lastRenderedPageBreak/>
        <w:t>Table 2 below summarises all variables used in the models above:</w:t>
      </w: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p>
    <w:p w:rsidR="00653982" w:rsidRPr="009460DA" w:rsidRDefault="00653982" w:rsidP="009460DA">
      <w:pPr>
        <w:pStyle w:val="ListParagraph"/>
        <w:spacing w:after="0" w:line="240" w:lineRule="auto"/>
        <w:ind w:left="0"/>
        <w:jc w:val="both"/>
        <w:rPr>
          <w:rFonts w:ascii="Cambria" w:hAnsi="Cambria" w:cstheme="majorBidi"/>
          <w:b/>
          <w:bCs/>
          <w:sz w:val="20"/>
          <w:szCs w:val="20"/>
          <w:lang w:val="en-ZA"/>
        </w:rPr>
      </w:pPr>
      <w:r w:rsidRPr="009460DA">
        <w:rPr>
          <w:rFonts w:ascii="Cambria" w:hAnsi="Cambria" w:cstheme="majorBidi"/>
          <w:b/>
          <w:bCs/>
          <w:sz w:val="20"/>
          <w:szCs w:val="20"/>
          <w:lang w:val="en-ZA"/>
        </w:rPr>
        <w:t>Table 2: Variables Measures</w:t>
      </w:r>
    </w:p>
    <w:tbl>
      <w:tblPr>
        <w:tblStyle w:val="TableGrid"/>
        <w:tblW w:w="4887" w:type="pct"/>
        <w:tblInd w:w="108" w:type="dxa"/>
        <w:tblBorders>
          <w:left w:val="none" w:sz="0" w:space="0" w:color="auto"/>
          <w:right w:val="none" w:sz="0" w:space="0" w:color="auto"/>
          <w:insideH w:val="none" w:sz="0" w:space="0" w:color="auto"/>
          <w:insideV w:val="none" w:sz="0" w:space="0" w:color="auto"/>
        </w:tblBorders>
        <w:tblLayout w:type="fixed"/>
        <w:tblLook w:val="04A0"/>
      </w:tblPr>
      <w:tblGrid>
        <w:gridCol w:w="1576"/>
        <w:gridCol w:w="133"/>
        <w:gridCol w:w="1172"/>
        <w:gridCol w:w="90"/>
        <w:gridCol w:w="3959"/>
        <w:gridCol w:w="2430"/>
      </w:tblGrid>
      <w:tr w:rsidR="00653982" w:rsidRPr="009460DA" w:rsidTr="008B2F5A">
        <w:trPr>
          <w:trHeight w:val="405"/>
        </w:trPr>
        <w:tc>
          <w:tcPr>
            <w:tcW w:w="842" w:type="pct"/>
            <w:tcBorders>
              <w:top w:val="single" w:sz="4" w:space="0" w:color="auto"/>
              <w:bottom w:val="nil"/>
            </w:tcBorders>
          </w:tcPr>
          <w:p w:rsidR="00653982" w:rsidRPr="009460DA" w:rsidRDefault="00653982" w:rsidP="009460DA">
            <w:pPr>
              <w:jc w:val="both"/>
              <w:rPr>
                <w:rFonts w:ascii="Cambria" w:hAnsi="Cambria" w:cstheme="majorBidi"/>
                <w:b/>
                <w:bCs/>
                <w:sz w:val="20"/>
                <w:szCs w:val="20"/>
                <w:lang w:val="en-ZA"/>
              </w:rPr>
            </w:pPr>
            <w:r w:rsidRPr="009460DA">
              <w:rPr>
                <w:rFonts w:ascii="Cambria" w:hAnsi="Cambria" w:cstheme="majorBidi"/>
                <w:b/>
                <w:bCs/>
                <w:sz w:val="20"/>
                <w:szCs w:val="20"/>
                <w:lang w:val="en-ZA"/>
              </w:rPr>
              <w:t>Variable</w:t>
            </w:r>
          </w:p>
        </w:tc>
        <w:tc>
          <w:tcPr>
            <w:tcW w:w="697" w:type="pct"/>
            <w:gridSpan w:val="2"/>
            <w:tcBorders>
              <w:top w:val="single" w:sz="4" w:space="0" w:color="auto"/>
              <w:bottom w:val="nil"/>
            </w:tcBorders>
          </w:tcPr>
          <w:p w:rsidR="00653982" w:rsidRPr="009460DA" w:rsidRDefault="00653982" w:rsidP="009460DA">
            <w:pPr>
              <w:jc w:val="both"/>
              <w:rPr>
                <w:rFonts w:ascii="Cambria" w:hAnsi="Cambria" w:cstheme="majorBidi"/>
                <w:b/>
                <w:bCs/>
                <w:sz w:val="20"/>
                <w:szCs w:val="20"/>
                <w:lang w:val="en-ZA"/>
              </w:rPr>
            </w:pPr>
            <w:r w:rsidRPr="009460DA">
              <w:rPr>
                <w:rFonts w:ascii="Cambria" w:hAnsi="Cambria" w:cstheme="majorBidi"/>
                <w:b/>
                <w:bCs/>
                <w:sz w:val="20"/>
                <w:szCs w:val="20"/>
                <w:lang w:val="en-ZA"/>
              </w:rPr>
              <w:t>Symbols</w:t>
            </w:r>
          </w:p>
        </w:tc>
        <w:tc>
          <w:tcPr>
            <w:tcW w:w="2163" w:type="pct"/>
            <w:gridSpan w:val="2"/>
            <w:tcBorders>
              <w:top w:val="single" w:sz="4" w:space="0" w:color="auto"/>
              <w:bottom w:val="nil"/>
            </w:tcBorders>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lang w:val="en-ZA"/>
              </w:rPr>
              <w:t>Definition</w:t>
            </w:r>
          </w:p>
        </w:tc>
        <w:tc>
          <w:tcPr>
            <w:tcW w:w="1298" w:type="pct"/>
            <w:tcBorders>
              <w:top w:val="single" w:sz="4" w:space="0" w:color="auto"/>
              <w:bottom w:val="nil"/>
            </w:tcBorders>
          </w:tcPr>
          <w:p w:rsidR="00653982" w:rsidRPr="009460DA" w:rsidRDefault="00653982" w:rsidP="009460DA">
            <w:pPr>
              <w:pStyle w:val="ListParagraph"/>
              <w:ind w:left="0"/>
              <w:jc w:val="both"/>
              <w:rPr>
                <w:rFonts w:ascii="Cambria" w:hAnsi="Cambria" w:cstheme="majorBidi"/>
                <w:b/>
                <w:bCs/>
                <w:sz w:val="20"/>
                <w:szCs w:val="20"/>
                <w:lang w:val="en-ZA"/>
              </w:rPr>
            </w:pPr>
            <w:r w:rsidRPr="009460DA">
              <w:rPr>
                <w:rFonts w:ascii="Cambria" w:hAnsi="Cambria" w:cstheme="majorBidi"/>
                <w:b/>
                <w:bCs/>
                <w:sz w:val="20"/>
                <w:szCs w:val="20"/>
                <w:lang w:val="en-ZA"/>
              </w:rPr>
              <w:t>Authors</w:t>
            </w:r>
          </w:p>
        </w:tc>
      </w:tr>
      <w:tr w:rsidR="00653982" w:rsidRPr="009460DA" w:rsidTr="008B2F5A">
        <w:trPr>
          <w:trHeight w:val="435"/>
        </w:trPr>
        <w:tc>
          <w:tcPr>
            <w:tcW w:w="5000" w:type="pct"/>
            <w:gridSpan w:val="6"/>
            <w:tcBorders>
              <w:top w:val="nil"/>
              <w:bottom w:val="single" w:sz="4" w:space="0" w:color="auto"/>
            </w:tcBorders>
          </w:tcPr>
          <w:p w:rsidR="00653982" w:rsidRPr="009460DA" w:rsidRDefault="00653982" w:rsidP="009460DA">
            <w:pPr>
              <w:jc w:val="both"/>
              <w:rPr>
                <w:rFonts w:ascii="Cambria" w:hAnsi="Cambria" w:cstheme="majorBidi"/>
                <w:b/>
                <w:bCs/>
                <w:sz w:val="20"/>
                <w:szCs w:val="20"/>
                <w:lang w:val="en-ZA"/>
              </w:rPr>
            </w:pPr>
            <w:r w:rsidRPr="009460DA">
              <w:rPr>
                <w:rFonts w:ascii="Cambria" w:hAnsi="Cambria" w:cstheme="majorBidi"/>
                <w:b/>
                <w:bCs/>
                <w:sz w:val="20"/>
                <w:szCs w:val="20"/>
                <w:lang w:val="en-ZA"/>
              </w:rPr>
              <w:t>Dependent Variable:</w:t>
            </w:r>
          </w:p>
          <w:p w:rsidR="00653982" w:rsidRPr="009460DA" w:rsidRDefault="00653982" w:rsidP="009460DA">
            <w:pPr>
              <w:jc w:val="both"/>
              <w:rPr>
                <w:rFonts w:ascii="Cambria" w:hAnsi="Cambria" w:cstheme="majorBidi"/>
                <w:b/>
                <w:bCs/>
                <w:sz w:val="20"/>
                <w:szCs w:val="20"/>
                <w:lang w:val="en-ZA"/>
              </w:rPr>
            </w:pPr>
          </w:p>
        </w:tc>
      </w:tr>
      <w:tr w:rsidR="00653982" w:rsidRPr="009460DA" w:rsidTr="008B2F5A">
        <w:trPr>
          <w:trHeight w:val="626"/>
        </w:trPr>
        <w:tc>
          <w:tcPr>
            <w:tcW w:w="842" w:type="pct"/>
            <w:tcBorders>
              <w:top w:val="single" w:sz="4" w:space="0" w:color="auto"/>
            </w:tcBorders>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Firm performance</w:t>
            </w:r>
          </w:p>
        </w:tc>
        <w:tc>
          <w:tcPr>
            <w:tcW w:w="697" w:type="pct"/>
            <w:gridSpan w:val="2"/>
            <w:tcBorders>
              <w:top w:val="single" w:sz="4" w:space="0" w:color="auto"/>
            </w:tcBorders>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TQ</w:t>
            </w:r>
          </w:p>
        </w:tc>
        <w:tc>
          <w:tcPr>
            <w:tcW w:w="2163" w:type="pct"/>
            <w:gridSpan w:val="2"/>
            <w:tcBorders>
              <w:top w:val="single" w:sz="4" w:space="0" w:color="auto"/>
            </w:tcBorders>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Tobin’s Q = (Market Value of Equity + Book Value of Debt)/Total Assets.</w:t>
            </w:r>
          </w:p>
        </w:tc>
        <w:tc>
          <w:tcPr>
            <w:tcW w:w="1298" w:type="pct"/>
            <w:tcBorders>
              <w:top w:val="single" w:sz="4" w:space="0" w:color="auto"/>
            </w:tcBorders>
          </w:tcPr>
          <w:p w:rsidR="00653982" w:rsidRPr="009460DA" w:rsidRDefault="00653982" w:rsidP="009460DA">
            <w:pPr>
              <w:jc w:val="both"/>
              <w:rPr>
                <w:rFonts w:ascii="Cambria" w:hAnsi="Cambria" w:cstheme="majorBidi"/>
                <w:sz w:val="20"/>
                <w:szCs w:val="20"/>
                <w:lang w:val="en-IE"/>
              </w:rPr>
            </w:pPr>
            <w:r w:rsidRPr="009460DA">
              <w:rPr>
                <w:rFonts w:ascii="Cambria" w:hAnsi="Cambria" w:cstheme="majorBidi"/>
                <w:sz w:val="20"/>
                <w:szCs w:val="20"/>
              </w:rPr>
              <w:t>Chung &amp; Pruitt (1994)</w:t>
            </w:r>
          </w:p>
        </w:tc>
      </w:tr>
      <w:tr w:rsidR="00653982" w:rsidRPr="009460DA" w:rsidTr="008B2F5A">
        <w:trPr>
          <w:trHeight w:val="459"/>
        </w:trPr>
        <w:tc>
          <w:tcPr>
            <w:tcW w:w="5000" w:type="pct"/>
            <w:gridSpan w:val="6"/>
          </w:tcPr>
          <w:p w:rsidR="00653982" w:rsidRPr="009460DA" w:rsidRDefault="00653982" w:rsidP="009460DA">
            <w:pPr>
              <w:jc w:val="both"/>
              <w:rPr>
                <w:rFonts w:ascii="Cambria" w:hAnsi="Cambria" w:cstheme="majorBidi"/>
                <w:b/>
                <w:bCs/>
                <w:sz w:val="20"/>
                <w:szCs w:val="20"/>
                <w:lang w:val="en-ZA"/>
              </w:rPr>
            </w:pPr>
            <w:r w:rsidRPr="009460DA">
              <w:rPr>
                <w:rFonts w:ascii="Cambria" w:hAnsi="Cambria" w:cstheme="majorBidi"/>
                <w:b/>
                <w:bCs/>
                <w:sz w:val="20"/>
                <w:szCs w:val="20"/>
                <w:lang w:val="en-ZA"/>
              </w:rPr>
              <w:t>Independent variables:</w:t>
            </w:r>
          </w:p>
        </w:tc>
      </w:tr>
      <w:tr w:rsidR="00653982" w:rsidRPr="009460DA" w:rsidTr="008B2F5A">
        <w:trPr>
          <w:trHeight w:val="1789"/>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Internal audit quality</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IAFQ</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 xml:space="preserve">A single composite number measuring the quality of the IAF. The variable can range from 0 to 6 with 0 representing the lowest quality and 6 representing the highest quality. The score is formed by assigning a value of 1 to scores above the median for </w:t>
            </w:r>
            <w:r w:rsidRPr="009460DA">
              <w:rPr>
                <w:rFonts w:ascii="Cambria" w:hAnsi="Cambria" w:cstheme="majorBidi"/>
                <w:i/>
                <w:iCs/>
                <w:sz w:val="20"/>
                <w:szCs w:val="20"/>
                <w:lang w:val="en-ZA"/>
              </w:rPr>
              <w:t xml:space="preserve">Experience, Certification, Training, Objectivity, IASize, </w:t>
            </w:r>
            <w:r w:rsidRPr="009460DA">
              <w:rPr>
                <w:rFonts w:ascii="Cambria" w:hAnsi="Cambria" w:cstheme="majorBidi"/>
                <w:sz w:val="20"/>
                <w:szCs w:val="20"/>
                <w:lang w:val="en-ZA"/>
              </w:rPr>
              <w:t>and</w:t>
            </w:r>
            <w:r w:rsidRPr="009460DA">
              <w:rPr>
                <w:rFonts w:ascii="Cambria" w:hAnsi="Cambria" w:cstheme="majorBidi"/>
                <w:i/>
                <w:iCs/>
                <w:sz w:val="20"/>
                <w:szCs w:val="20"/>
                <w:lang w:val="en-ZA"/>
              </w:rPr>
              <w:t xml:space="preserve"> FieldworkQA, </w:t>
            </w:r>
            <w:r w:rsidRPr="009460DA">
              <w:rPr>
                <w:rFonts w:ascii="Cambria" w:hAnsi="Cambria" w:cstheme="majorBidi"/>
                <w:sz w:val="20"/>
                <w:szCs w:val="20"/>
                <w:lang w:val="en-ZA"/>
              </w:rPr>
              <w:t>and summing them together.</w:t>
            </w:r>
          </w:p>
        </w:tc>
        <w:tc>
          <w:tcPr>
            <w:tcW w:w="1298" w:type="pct"/>
            <w:vMerge w:val="restart"/>
          </w:tcPr>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Prawitt et al. (2009)</w:t>
            </w:r>
          </w:p>
          <w:p w:rsidR="00653982" w:rsidRPr="009460DA" w:rsidRDefault="00653982" w:rsidP="009460DA">
            <w:pPr>
              <w:jc w:val="both"/>
              <w:rPr>
                <w:rFonts w:ascii="Cambria" w:hAnsi="Cambria" w:cstheme="majorBidi"/>
                <w:sz w:val="20"/>
                <w:szCs w:val="20"/>
                <w:lang w:val="en-IE"/>
              </w:rPr>
            </w:pPr>
            <w:r w:rsidRPr="009460DA">
              <w:rPr>
                <w:rFonts w:ascii="Cambria" w:hAnsi="Cambria" w:cstheme="majorBidi"/>
                <w:sz w:val="20"/>
                <w:szCs w:val="20"/>
              </w:rPr>
              <w:t xml:space="preserve">Pizzini et al. </w:t>
            </w:r>
            <w:r w:rsidRPr="009460DA">
              <w:rPr>
                <w:rFonts w:ascii="Cambria" w:hAnsi="Cambria" w:cstheme="majorBidi"/>
                <w:sz w:val="20"/>
                <w:szCs w:val="20"/>
                <w:lang w:val="en-IE"/>
              </w:rPr>
              <w:t>(2015)</w:t>
            </w:r>
          </w:p>
          <w:p w:rsidR="00653982" w:rsidRPr="009460DA" w:rsidRDefault="00653982" w:rsidP="009460DA">
            <w:pPr>
              <w:jc w:val="both"/>
              <w:rPr>
                <w:rFonts w:ascii="Cambria" w:hAnsi="Cambria" w:cstheme="majorBidi"/>
                <w:sz w:val="20"/>
                <w:szCs w:val="20"/>
                <w:lang w:val="en-IE"/>
              </w:rPr>
            </w:pPr>
            <w:r w:rsidRPr="009460DA">
              <w:rPr>
                <w:rFonts w:ascii="Cambria" w:hAnsi="Cambria" w:cstheme="majorBidi"/>
                <w:sz w:val="20"/>
                <w:szCs w:val="20"/>
                <w:lang w:val="en-IE"/>
              </w:rPr>
              <w:t>Abidin (2021)</w:t>
            </w:r>
          </w:p>
          <w:p w:rsidR="00653982" w:rsidRPr="009460DA" w:rsidRDefault="00653982" w:rsidP="009460DA">
            <w:pPr>
              <w:jc w:val="both"/>
              <w:rPr>
                <w:rFonts w:ascii="Cambria" w:hAnsi="Cambria" w:cstheme="majorBidi"/>
                <w:sz w:val="20"/>
                <w:szCs w:val="20"/>
                <w:lang w:val="en-IE"/>
              </w:rPr>
            </w:pPr>
            <w:r w:rsidRPr="009460DA">
              <w:rPr>
                <w:rFonts w:ascii="Cambria" w:hAnsi="Cambria" w:cstheme="majorBidi"/>
                <w:sz w:val="20"/>
                <w:szCs w:val="20"/>
                <w:lang w:val="en-ZA"/>
              </w:rPr>
              <w:t>Vadasi et al. (2021)</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Experience</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Average number of years of internal audit experience.</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Certification</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The percentage of internal auditors who have the CIA or CPA certification.</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Training</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The average number of training hours per internal auditor during the year.</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Objectivity</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Dummy variable equals one if the CAE reports functionally to the audit committee, and 0 if not.</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IASize</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Number of internal auditors in the staff.</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i/>
                <w:iCs/>
                <w:sz w:val="20"/>
                <w:szCs w:val="20"/>
                <w:lang w:val="en-ZA"/>
              </w:rPr>
              <w:t>FieldworkQA</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Dummy variable that equals 1 if the firm’s IAF has a formal quality assurance program and 0 if otherwise.</w:t>
            </w:r>
          </w:p>
        </w:tc>
        <w:tc>
          <w:tcPr>
            <w:tcW w:w="1298" w:type="pct"/>
            <w:vMerge/>
          </w:tcPr>
          <w:p w:rsidR="00653982" w:rsidRPr="009460DA" w:rsidRDefault="00653982" w:rsidP="009460DA">
            <w:pPr>
              <w:pStyle w:val="ListParagraph"/>
              <w:ind w:left="0"/>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Gender diversity</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FCAE</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Dummy variable is equal to 1 if the CAE is female, and 0 if not.</w:t>
            </w:r>
          </w:p>
        </w:tc>
        <w:tc>
          <w:tcPr>
            <w:tcW w:w="1298"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Oussii &amp; Klibi (2019)</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FCAE × IAFQ</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Interaction term between gender diversity and IAF quality</w:t>
            </w:r>
          </w:p>
        </w:tc>
        <w:tc>
          <w:tcPr>
            <w:tcW w:w="1298" w:type="pct"/>
          </w:tcPr>
          <w:p w:rsidR="00653982" w:rsidRPr="009460DA" w:rsidRDefault="00653982" w:rsidP="009460DA">
            <w:pPr>
              <w:jc w:val="both"/>
              <w:rPr>
                <w:rFonts w:ascii="Cambria" w:hAnsi="Cambria" w:cstheme="majorBidi"/>
                <w:sz w:val="20"/>
                <w:szCs w:val="20"/>
                <w:lang w:val="en-ZA"/>
              </w:rPr>
            </w:pP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Firm size</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FSIZE</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Natural logarithm of total assets.</w:t>
            </w:r>
          </w:p>
        </w:tc>
        <w:tc>
          <w:tcPr>
            <w:tcW w:w="1298" w:type="pct"/>
          </w:tcPr>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 xml:space="preserve">Haniff &amp; Hudaib (2006) </w:t>
            </w:r>
          </w:p>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rPr>
              <w:t xml:space="preserve">Richardson et al. </w:t>
            </w:r>
            <w:r w:rsidRPr="009460DA">
              <w:rPr>
                <w:rFonts w:ascii="Cambria" w:hAnsi="Cambria" w:cstheme="majorBidi"/>
                <w:sz w:val="20"/>
                <w:szCs w:val="20"/>
                <w:lang w:val="en-ZA"/>
              </w:rPr>
              <w:t>(2013)</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Firm age</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FAGE</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The number of years since the company was founded.</w:t>
            </w:r>
          </w:p>
        </w:tc>
        <w:tc>
          <w:tcPr>
            <w:tcW w:w="1298"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Qian &amp; Li (2003)</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Firm’s industrial sector</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FIND</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Dummy variable is equal to 1 if the firm is in the financial industry and 0 otherwise.</w:t>
            </w:r>
          </w:p>
        </w:tc>
        <w:tc>
          <w:tcPr>
            <w:tcW w:w="1298"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rPr>
              <w:t>Oussii &amp; Klibi (2019)</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Audit quality</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BIG4</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Dummy variable is equal to 1 if the firm has a Big4 auditor and 0 otherwise.</w:t>
            </w:r>
          </w:p>
        </w:tc>
        <w:tc>
          <w:tcPr>
            <w:tcW w:w="1298" w:type="pct"/>
          </w:tcPr>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Davidson et al</w:t>
            </w:r>
            <w:r w:rsidRPr="009460DA">
              <w:rPr>
                <w:rFonts w:ascii="Cambria" w:hAnsi="Cambria" w:cstheme="majorBidi"/>
                <w:i/>
                <w:iCs/>
                <w:sz w:val="20"/>
                <w:szCs w:val="20"/>
              </w:rPr>
              <w:t>.</w:t>
            </w:r>
            <w:r w:rsidRPr="009460DA">
              <w:rPr>
                <w:rFonts w:ascii="Cambria" w:hAnsi="Cambria" w:cstheme="majorBidi"/>
                <w:sz w:val="20"/>
                <w:szCs w:val="20"/>
              </w:rPr>
              <w:t xml:space="preserve"> (2005)</w:t>
            </w:r>
          </w:p>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Ifurueze et al. (2022)</w:t>
            </w:r>
          </w:p>
        </w:tc>
      </w:tr>
      <w:tr w:rsidR="00653982" w:rsidRPr="009460DA" w:rsidTr="008B2F5A">
        <w:trPr>
          <w:trHeight w:val="992"/>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Board independence</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BIND</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Percentage of independent directors.</w:t>
            </w:r>
          </w:p>
        </w:tc>
        <w:tc>
          <w:tcPr>
            <w:tcW w:w="1298" w:type="pct"/>
          </w:tcPr>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 xml:space="preserve">Abdul Rahman &amp; Mohamed Ali (2006) </w:t>
            </w:r>
          </w:p>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Liu et al. (2014)</w:t>
            </w:r>
          </w:p>
          <w:p w:rsidR="00653982" w:rsidRPr="009460DA" w:rsidRDefault="00653982" w:rsidP="009460DA">
            <w:pPr>
              <w:jc w:val="both"/>
              <w:rPr>
                <w:rFonts w:ascii="Cambria" w:hAnsi="Cambria" w:cstheme="majorBidi"/>
                <w:sz w:val="20"/>
                <w:szCs w:val="20"/>
              </w:rPr>
            </w:pPr>
            <w:r w:rsidRPr="009460DA">
              <w:rPr>
                <w:rFonts w:ascii="Cambria" w:hAnsi="Cambria" w:cstheme="majorBidi"/>
                <w:sz w:val="20"/>
                <w:szCs w:val="20"/>
              </w:rPr>
              <w:t>Qian et al. (2019)</w:t>
            </w:r>
          </w:p>
        </w:tc>
      </w:tr>
      <w:tr w:rsidR="00653982" w:rsidRPr="009460DA" w:rsidTr="008B2F5A">
        <w:trPr>
          <w:trHeight w:val="405"/>
        </w:trPr>
        <w:tc>
          <w:tcPr>
            <w:tcW w:w="913"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Financial expertise on the audit committee</w:t>
            </w:r>
          </w:p>
        </w:tc>
        <w:tc>
          <w:tcPr>
            <w:tcW w:w="674" w:type="pct"/>
            <w:gridSpan w:val="2"/>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ACEXP</w:t>
            </w:r>
          </w:p>
        </w:tc>
        <w:tc>
          <w:tcPr>
            <w:tcW w:w="2115"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lang w:val="en-ZA"/>
              </w:rPr>
              <w:t>Percentage of accounting and financial experts on the audit committee.</w:t>
            </w:r>
          </w:p>
        </w:tc>
        <w:tc>
          <w:tcPr>
            <w:tcW w:w="1298" w:type="pct"/>
          </w:tcPr>
          <w:p w:rsidR="00653982" w:rsidRPr="009460DA" w:rsidRDefault="00653982" w:rsidP="009460DA">
            <w:pPr>
              <w:jc w:val="both"/>
              <w:rPr>
                <w:rFonts w:ascii="Cambria" w:hAnsi="Cambria" w:cstheme="majorBidi"/>
                <w:sz w:val="20"/>
                <w:szCs w:val="20"/>
                <w:lang w:val="en-ZA"/>
              </w:rPr>
            </w:pPr>
            <w:r w:rsidRPr="009460DA">
              <w:rPr>
                <w:rFonts w:ascii="Cambria" w:hAnsi="Cambria" w:cstheme="majorBidi"/>
                <w:sz w:val="20"/>
                <w:szCs w:val="20"/>
              </w:rPr>
              <w:t>Oussii &amp; Klibi (2019)</w:t>
            </w:r>
          </w:p>
        </w:tc>
      </w:tr>
    </w:tbl>
    <w:p w:rsidR="00653982" w:rsidRPr="009460DA" w:rsidRDefault="00653982" w:rsidP="009460DA">
      <w:pPr>
        <w:spacing w:after="0" w:line="240" w:lineRule="auto"/>
        <w:jc w:val="both"/>
        <w:rPr>
          <w:rFonts w:ascii="Cambria" w:hAnsi="Cambria" w:cstheme="majorBidi"/>
          <w:sz w:val="20"/>
          <w:szCs w:val="20"/>
          <w:lang w:val="en-ZA"/>
        </w:rPr>
      </w:pPr>
    </w:p>
    <w:p w:rsidR="00653982" w:rsidRPr="009460DA" w:rsidRDefault="00653982" w:rsidP="009460DA">
      <w:pPr>
        <w:pStyle w:val="ListParagraph"/>
        <w:tabs>
          <w:tab w:val="left" w:pos="709"/>
        </w:tabs>
        <w:spacing w:after="0" w:line="240" w:lineRule="auto"/>
        <w:ind w:left="0"/>
        <w:jc w:val="both"/>
        <w:rPr>
          <w:rFonts w:ascii="Cambria" w:hAnsi="Cambria" w:cstheme="majorBidi"/>
          <w:b/>
          <w:bCs/>
          <w:sz w:val="20"/>
          <w:szCs w:val="20"/>
          <w:lang w:val="en-ZA"/>
        </w:rPr>
      </w:pPr>
      <w:r w:rsidRPr="009460DA">
        <w:rPr>
          <w:rFonts w:ascii="Cambria" w:hAnsi="Cambria" w:cstheme="majorBidi"/>
          <w:b/>
          <w:bCs/>
          <w:sz w:val="20"/>
          <w:szCs w:val="20"/>
          <w:lang w:val="en-ZA"/>
        </w:rPr>
        <w:lastRenderedPageBreak/>
        <w:t xml:space="preserve">4. Results </w:t>
      </w:r>
    </w:p>
    <w:p w:rsidR="00653982" w:rsidRPr="009460DA" w:rsidRDefault="00653982" w:rsidP="009460DA">
      <w:pPr>
        <w:pStyle w:val="ListParagraph"/>
        <w:tabs>
          <w:tab w:val="left" w:pos="709"/>
        </w:tabs>
        <w:spacing w:after="0" w:line="240" w:lineRule="auto"/>
        <w:ind w:left="0"/>
        <w:jc w:val="both"/>
        <w:rPr>
          <w:rFonts w:ascii="Cambria" w:hAnsi="Cambria" w:cstheme="majorBidi"/>
          <w:b/>
          <w:bCs/>
          <w:sz w:val="20"/>
          <w:szCs w:val="20"/>
          <w:rtl/>
          <w:lang w:val="en-ZA"/>
        </w:rPr>
      </w:pPr>
    </w:p>
    <w:p w:rsidR="00653982" w:rsidRPr="009460DA" w:rsidRDefault="00653982" w:rsidP="009460DA">
      <w:pPr>
        <w:tabs>
          <w:tab w:val="left" w:pos="709"/>
        </w:tabs>
        <w:spacing w:after="0" w:line="240" w:lineRule="auto"/>
        <w:jc w:val="both"/>
        <w:rPr>
          <w:rFonts w:ascii="Cambria" w:hAnsi="Cambria" w:cstheme="majorBidi"/>
          <w:b/>
          <w:bCs/>
          <w:sz w:val="20"/>
          <w:szCs w:val="20"/>
          <w:rtl/>
          <w:lang w:val="en-ZA"/>
        </w:rPr>
      </w:pPr>
      <w:r w:rsidRPr="009460DA">
        <w:rPr>
          <w:rFonts w:ascii="Cambria" w:hAnsi="Cambria" w:cstheme="majorBidi"/>
          <w:b/>
          <w:bCs/>
          <w:sz w:val="20"/>
          <w:szCs w:val="20"/>
          <w:lang w:val="en-ZA"/>
        </w:rPr>
        <w:t xml:space="preserve">Descriptive Statistics and Correlations: </w:t>
      </w:r>
      <w:r w:rsidRPr="009460DA">
        <w:rPr>
          <w:rFonts w:ascii="Cambria" w:hAnsi="Cambria" w:cstheme="majorBidi"/>
          <w:sz w:val="20"/>
          <w:szCs w:val="20"/>
          <w:lang w:val="en-IE"/>
        </w:rPr>
        <w:t>Table 3 reports the descriptive statistics of the variables used in this study. It shows that the average value of Tobin’s Q is 10.31, greater than 1, which means that the firm is worth more than the cost of its assets.</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Our IAF quality composite score is formed from the sum of six variables: Experience, Certification, Training, Objectivity, IA size, and Formal quality assurance program. Following Prawitt et al. (2009) approach, each variable is standardized, and the IAF quality score is then calculated by taking the sum of the six variables mentioned above. This variable has an average score of 2.14, which ranges from 0 to 5. This result refers to an adequate quality of IAF in the sampled firms.</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The findings also reveal that 28 percent of the CAEs in our sample are female. Early 81 percent of audit committee members are financial experts and the board is characterized by a mean proportion of independent directors of 23.21 percent.</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Regarding the firms' characteristics, the descriptive statistics reveal that the mean natural log of the sample firms is 18.26, corresponding to around TND 49 million. Additionally, companies in the finance sector constitute approximately 31 percent of the study's sample. The average age of our sample firms is 40 years. Almost 41 percent of Tunisian listed firms are audited by one of the four largest international audit firms.</w:t>
      </w:r>
    </w:p>
    <w:p w:rsidR="00653982" w:rsidRPr="009460DA" w:rsidRDefault="00653982" w:rsidP="009460DA">
      <w:pPr>
        <w:tabs>
          <w:tab w:val="left" w:pos="709"/>
        </w:tabs>
        <w:spacing w:after="0" w:line="240" w:lineRule="auto"/>
        <w:jc w:val="both"/>
        <w:rPr>
          <w:rFonts w:ascii="Cambria" w:hAnsi="Cambria" w:cstheme="majorBidi"/>
          <w:b/>
          <w:bCs/>
          <w:sz w:val="20"/>
          <w:szCs w:val="20"/>
          <w:lang w:val="en-ZA"/>
        </w:rPr>
      </w:pPr>
    </w:p>
    <w:p w:rsidR="00653982" w:rsidRPr="009460DA" w:rsidRDefault="00653982" w:rsidP="009460DA">
      <w:pPr>
        <w:tabs>
          <w:tab w:val="left" w:pos="709"/>
        </w:tabs>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 xml:space="preserve">Table 3: </w:t>
      </w:r>
      <w:r w:rsidRPr="009460DA">
        <w:rPr>
          <w:rFonts w:ascii="Cambria" w:hAnsi="Cambria" w:cstheme="majorBidi"/>
          <w:b/>
          <w:bCs/>
          <w:sz w:val="20"/>
          <w:szCs w:val="20"/>
        </w:rPr>
        <w:t>Descriptive Statistics</w:t>
      </w:r>
    </w:p>
    <w:tbl>
      <w:tblPr>
        <w:tblStyle w:val="TableGrid"/>
        <w:tblW w:w="4916"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1826"/>
        <w:gridCol w:w="1885"/>
        <w:gridCol w:w="1823"/>
        <w:gridCol w:w="1964"/>
        <w:gridCol w:w="1917"/>
      </w:tblGrid>
      <w:tr w:rsidR="00653982" w:rsidRPr="009460DA" w:rsidTr="008B2F5A">
        <w:trPr>
          <w:trHeight w:val="256"/>
          <w:jc w:val="center"/>
        </w:trPr>
        <w:tc>
          <w:tcPr>
            <w:tcW w:w="970" w:type="pct"/>
            <w:tcBorders>
              <w:top w:val="single" w:sz="4" w:space="0" w:color="auto"/>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Variable</w:t>
            </w:r>
          </w:p>
        </w:tc>
        <w:tc>
          <w:tcPr>
            <w:tcW w:w="1001" w:type="pct"/>
            <w:tcBorders>
              <w:top w:val="single" w:sz="4" w:space="0" w:color="auto"/>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Mean</w:t>
            </w:r>
          </w:p>
        </w:tc>
        <w:tc>
          <w:tcPr>
            <w:tcW w:w="968" w:type="pct"/>
            <w:tcBorders>
              <w:top w:val="single" w:sz="4" w:space="0" w:color="auto"/>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SD</w:t>
            </w:r>
          </w:p>
        </w:tc>
        <w:tc>
          <w:tcPr>
            <w:tcW w:w="1043" w:type="pct"/>
            <w:tcBorders>
              <w:top w:val="single" w:sz="4" w:space="0" w:color="auto"/>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Minimum</w:t>
            </w:r>
          </w:p>
        </w:tc>
        <w:tc>
          <w:tcPr>
            <w:tcW w:w="1019" w:type="pct"/>
            <w:tcBorders>
              <w:top w:val="single" w:sz="4" w:space="0" w:color="auto"/>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Maximum</w:t>
            </w:r>
          </w:p>
        </w:tc>
      </w:tr>
      <w:tr w:rsidR="00653982" w:rsidRPr="009460DA" w:rsidTr="008B2F5A">
        <w:trPr>
          <w:trHeight w:val="288"/>
          <w:jc w:val="center"/>
        </w:trPr>
        <w:tc>
          <w:tcPr>
            <w:tcW w:w="970"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TQ</w:t>
            </w:r>
          </w:p>
        </w:tc>
        <w:tc>
          <w:tcPr>
            <w:tcW w:w="1001"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10.3146</w:t>
            </w:r>
          </w:p>
        </w:tc>
        <w:tc>
          <w:tcPr>
            <w:tcW w:w="968"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13.7653</w:t>
            </w:r>
          </w:p>
        </w:tc>
        <w:tc>
          <w:tcPr>
            <w:tcW w:w="1043"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0.0013</w:t>
            </w:r>
          </w:p>
        </w:tc>
        <w:tc>
          <w:tcPr>
            <w:tcW w:w="1019"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58.1432</w:t>
            </w:r>
          </w:p>
        </w:tc>
      </w:tr>
      <w:tr w:rsidR="00653982" w:rsidRPr="009460DA" w:rsidTr="008B2F5A">
        <w:trPr>
          <w:trHeight w:val="275"/>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IAFQ</w:t>
            </w:r>
          </w:p>
        </w:tc>
        <w:tc>
          <w:tcPr>
            <w:tcW w:w="1001"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2.1466</w:t>
            </w:r>
          </w:p>
        </w:tc>
        <w:tc>
          <w:tcPr>
            <w:tcW w:w="96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1.4959</w:t>
            </w:r>
          </w:p>
        </w:tc>
        <w:tc>
          <w:tcPr>
            <w:tcW w:w="10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w:t>
            </w:r>
          </w:p>
        </w:tc>
        <w:tc>
          <w:tcPr>
            <w:tcW w:w="1019"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5</w:t>
            </w:r>
          </w:p>
        </w:tc>
      </w:tr>
      <w:tr w:rsidR="00653982" w:rsidRPr="009460DA" w:rsidTr="008B2F5A">
        <w:trPr>
          <w:trHeight w:val="268"/>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FSIZE</w:t>
            </w:r>
          </w:p>
        </w:tc>
        <w:tc>
          <w:tcPr>
            <w:tcW w:w="1001"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18.2651</w:t>
            </w:r>
          </w:p>
        </w:tc>
        <w:tc>
          <w:tcPr>
            <w:tcW w:w="96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1.6904</w:t>
            </w:r>
          </w:p>
        </w:tc>
        <w:tc>
          <w:tcPr>
            <w:tcW w:w="10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13.7573</w:t>
            </w:r>
          </w:p>
        </w:tc>
        <w:tc>
          <w:tcPr>
            <w:tcW w:w="1019"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22.0244</w:t>
            </w:r>
          </w:p>
        </w:tc>
      </w:tr>
      <w:tr w:rsidR="00653982" w:rsidRPr="009460DA" w:rsidTr="008B2F5A">
        <w:trPr>
          <w:trHeight w:val="273"/>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FAGE</w:t>
            </w:r>
          </w:p>
        </w:tc>
        <w:tc>
          <w:tcPr>
            <w:tcW w:w="1001"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40.7733</w:t>
            </w:r>
          </w:p>
        </w:tc>
        <w:tc>
          <w:tcPr>
            <w:tcW w:w="96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24.3210</w:t>
            </w:r>
          </w:p>
        </w:tc>
        <w:tc>
          <w:tcPr>
            <w:tcW w:w="10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8</w:t>
            </w:r>
          </w:p>
        </w:tc>
        <w:tc>
          <w:tcPr>
            <w:tcW w:w="1019"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167</w:t>
            </w:r>
          </w:p>
        </w:tc>
      </w:tr>
      <w:tr w:rsidR="00653982" w:rsidRPr="009460DA" w:rsidTr="008B2F5A">
        <w:trPr>
          <w:trHeight w:val="262"/>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BIND</w:t>
            </w:r>
          </w:p>
        </w:tc>
        <w:tc>
          <w:tcPr>
            <w:tcW w:w="1001"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0.2321</w:t>
            </w:r>
          </w:p>
        </w:tc>
        <w:tc>
          <w:tcPr>
            <w:tcW w:w="96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0.1529</w:t>
            </w:r>
          </w:p>
        </w:tc>
        <w:tc>
          <w:tcPr>
            <w:tcW w:w="10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w:t>
            </w:r>
          </w:p>
        </w:tc>
        <w:tc>
          <w:tcPr>
            <w:tcW w:w="1019"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6</w:t>
            </w:r>
          </w:p>
        </w:tc>
      </w:tr>
      <w:tr w:rsidR="00653982" w:rsidRPr="009460DA" w:rsidTr="008B2F5A">
        <w:trPr>
          <w:trHeight w:val="280"/>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ACEXP</w:t>
            </w:r>
          </w:p>
        </w:tc>
        <w:tc>
          <w:tcPr>
            <w:tcW w:w="1001"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0.8159</w:t>
            </w:r>
          </w:p>
        </w:tc>
        <w:tc>
          <w:tcPr>
            <w:tcW w:w="96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0.1543</w:t>
            </w:r>
          </w:p>
        </w:tc>
        <w:tc>
          <w:tcPr>
            <w:tcW w:w="10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0.5833</w:t>
            </w:r>
          </w:p>
        </w:tc>
        <w:tc>
          <w:tcPr>
            <w:tcW w:w="1019"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w:t>
            </w:r>
          </w:p>
        </w:tc>
      </w:tr>
      <w:tr w:rsidR="00653982" w:rsidRPr="009460DA" w:rsidTr="008B2F5A">
        <w:trPr>
          <w:trHeight w:val="200"/>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i/>
                <w:iCs/>
                <w:sz w:val="20"/>
                <w:szCs w:val="20"/>
                <w:lang w:val="en-ZA"/>
              </w:rPr>
            </w:pPr>
            <w:r w:rsidRPr="009460DA">
              <w:rPr>
                <w:rFonts w:ascii="Cambria" w:hAnsi="Cambria" w:cstheme="majorBidi"/>
                <w:i/>
                <w:iCs/>
                <w:sz w:val="20"/>
                <w:szCs w:val="20"/>
              </w:rPr>
              <w:t>Frequency</w:t>
            </w:r>
          </w:p>
        </w:tc>
        <w:tc>
          <w:tcPr>
            <w:tcW w:w="1968"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 xml:space="preserve">      0</w:t>
            </w:r>
          </w:p>
        </w:tc>
        <w:tc>
          <w:tcPr>
            <w:tcW w:w="2062"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 xml:space="preserve">      1</w:t>
            </w:r>
          </w:p>
        </w:tc>
      </w:tr>
      <w:tr w:rsidR="00653982" w:rsidRPr="009460DA" w:rsidTr="008B2F5A">
        <w:trPr>
          <w:trHeight w:val="318"/>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 xml:space="preserve">FCAE </w:t>
            </w:r>
          </w:p>
        </w:tc>
        <w:tc>
          <w:tcPr>
            <w:tcW w:w="1968"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270 (72%)</w:t>
            </w:r>
          </w:p>
        </w:tc>
        <w:tc>
          <w:tcPr>
            <w:tcW w:w="2062"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105 (28%)</w:t>
            </w:r>
          </w:p>
        </w:tc>
      </w:tr>
      <w:tr w:rsidR="00653982" w:rsidRPr="009460DA" w:rsidTr="008B2F5A">
        <w:trPr>
          <w:trHeight w:val="283"/>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FIND</w:t>
            </w:r>
          </w:p>
        </w:tc>
        <w:tc>
          <w:tcPr>
            <w:tcW w:w="1968"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260 (69.33%)</w:t>
            </w:r>
          </w:p>
        </w:tc>
        <w:tc>
          <w:tcPr>
            <w:tcW w:w="2062"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115 (30.67%)</w:t>
            </w:r>
          </w:p>
        </w:tc>
      </w:tr>
      <w:tr w:rsidR="00653982" w:rsidRPr="009460DA" w:rsidTr="008B2F5A">
        <w:trPr>
          <w:trHeight w:val="147"/>
          <w:jc w:val="center"/>
        </w:trPr>
        <w:tc>
          <w:tcPr>
            <w:tcW w:w="970"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BIG4</w:t>
            </w:r>
          </w:p>
        </w:tc>
        <w:tc>
          <w:tcPr>
            <w:tcW w:w="1968"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222 (59.2%)</w:t>
            </w:r>
          </w:p>
        </w:tc>
        <w:tc>
          <w:tcPr>
            <w:tcW w:w="2062"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153 (40.8%)</w:t>
            </w:r>
          </w:p>
        </w:tc>
      </w:tr>
    </w:tbl>
    <w:p w:rsidR="00653982" w:rsidRPr="009460DA" w:rsidRDefault="00653982" w:rsidP="009460DA">
      <w:pPr>
        <w:tabs>
          <w:tab w:val="left" w:pos="709"/>
        </w:tabs>
        <w:spacing w:after="0" w:line="240" w:lineRule="auto"/>
        <w:jc w:val="both"/>
        <w:rPr>
          <w:rFonts w:ascii="Cambria" w:hAnsi="Cambria" w:cstheme="majorBidi"/>
          <w:sz w:val="20"/>
          <w:szCs w:val="20"/>
        </w:rPr>
      </w:pPr>
    </w:p>
    <w:p w:rsidR="00653982" w:rsidRPr="009460DA" w:rsidRDefault="00653982" w:rsidP="009460DA">
      <w:pPr>
        <w:tabs>
          <w:tab w:val="left" w:pos="709"/>
        </w:tabs>
        <w:spacing w:after="0" w:line="240" w:lineRule="auto"/>
        <w:jc w:val="both"/>
        <w:rPr>
          <w:rFonts w:ascii="Cambria" w:hAnsi="Cambria" w:cstheme="majorBidi"/>
          <w:sz w:val="20"/>
          <w:szCs w:val="20"/>
          <w:rtl/>
          <w:lang w:val="en-IE"/>
        </w:rPr>
      </w:pPr>
      <w:r w:rsidRPr="009460DA">
        <w:rPr>
          <w:rFonts w:ascii="Cambria" w:hAnsi="Cambria" w:cstheme="majorBidi"/>
          <w:sz w:val="20"/>
          <w:szCs w:val="20"/>
          <w:lang w:val="en-IE"/>
        </w:rPr>
        <w:t xml:space="preserve">The Pearson correlation values reported in Table 4 show that firm performance (TQ) is positively and significantly correlated to the internal audit quality (IAFQ), the firm’s age (FAGE), </w:t>
      </w:r>
      <w:r w:rsidRPr="009460DA">
        <w:rPr>
          <w:rFonts w:ascii="Cambria" w:hAnsi="Cambria" w:cstheme="majorBidi"/>
          <w:sz w:val="20"/>
          <w:szCs w:val="20"/>
          <w:lang w:val="en-ZA"/>
        </w:rPr>
        <w:t>the firm’s industrial sector</w:t>
      </w:r>
      <w:r w:rsidRPr="009460DA">
        <w:rPr>
          <w:rFonts w:ascii="Cambria" w:hAnsi="Cambria" w:cstheme="majorBidi"/>
          <w:sz w:val="20"/>
          <w:szCs w:val="20"/>
          <w:lang w:val="en-IE"/>
        </w:rPr>
        <w:t xml:space="preserve"> (FIND), and the </w:t>
      </w:r>
      <w:r w:rsidRPr="009460DA">
        <w:rPr>
          <w:rFonts w:ascii="Cambria" w:eastAsia="Calibri" w:hAnsi="Cambria" w:cs="Times New Roman"/>
          <w:sz w:val="20"/>
          <w:szCs w:val="20"/>
          <w:lang w:val="en-ZA"/>
        </w:rPr>
        <w:t>financial expertise on the audit committee</w:t>
      </w:r>
      <w:r w:rsidRPr="009460DA">
        <w:rPr>
          <w:rFonts w:ascii="Cambria" w:hAnsi="Cambria" w:cstheme="majorBidi"/>
          <w:sz w:val="20"/>
          <w:szCs w:val="20"/>
          <w:lang w:val="en-IE"/>
        </w:rPr>
        <w:t xml:space="preserve"> (ACEXP). Furthermore, we observed a significant negative correlation between the dependent variable and variables such as firm size (FSIZE), gender diversity (FCAE), and board independence (BIND). The table shows that there are no signs of a multicollinearity problem because none of the variables correlates over 0.8. Gujarati and Porter (2009) recommend 0.8 at the start at which multicollinearity concerns may hurt the regression analysis. The results of the variance inflation factor (VIF) test have confirmed that the highest VIF is 2.41, which is well below the recommended threshold (Gujarati, 2004).</w:t>
      </w:r>
    </w:p>
    <w:p w:rsidR="00653982" w:rsidRPr="009460DA" w:rsidRDefault="00653982" w:rsidP="009460DA">
      <w:pPr>
        <w:tabs>
          <w:tab w:val="left" w:pos="709"/>
        </w:tabs>
        <w:spacing w:after="0" w:line="240" w:lineRule="auto"/>
        <w:jc w:val="both"/>
        <w:rPr>
          <w:rFonts w:ascii="Cambria" w:hAnsi="Cambria" w:cstheme="majorBidi"/>
          <w:sz w:val="20"/>
          <w:szCs w:val="20"/>
          <w:rtl/>
          <w:lang w:val="en-IE"/>
        </w:rPr>
      </w:pPr>
    </w:p>
    <w:p w:rsidR="00653982" w:rsidRPr="009460DA" w:rsidRDefault="00653982" w:rsidP="009460DA">
      <w:pPr>
        <w:tabs>
          <w:tab w:val="left" w:pos="709"/>
        </w:tabs>
        <w:spacing w:after="0" w:line="240" w:lineRule="auto"/>
        <w:jc w:val="both"/>
        <w:rPr>
          <w:rFonts w:ascii="Cambria" w:hAnsi="Cambria" w:cstheme="majorBidi"/>
          <w:sz w:val="20"/>
          <w:szCs w:val="20"/>
          <w:lang w:val="en-IE"/>
        </w:rPr>
      </w:pPr>
      <w:r w:rsidRPr="009460DA">
        <w:rPr>
          <w:rFonts w:ascii="Cambria" w:hAnsi="Cambria" w:cstheme="majorBidi"/>
          <w:b/>
          <w:bCs/>
          <w:sz w:val="20"/>
          <w:szCs w:val="20"/>
        </w:rPr>
        <w:t>Table 4: Correlation Matrix</w:t>
      </w:r>
    </w:p>
    <w:tbl>
      <w:tblPr>
        <w:tblStyle w:val="TableGrid"/>
        <w:tblW w:w="4944"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916"/>
        <w:gridCol w:w="1016"/>
        <w:gridCol w:w="987"/>
        <w:gridCol w:w="963"/>
        <w:gridCol w:w="1102"/>
        <w:gridCol w:w="983"/>
        <w:gridCol w:w="964"/>
        <w:gridCol w:w="1051"/>
        <w:gridCol w:w="807"/>
        <w:gridCol w:w="680"/>
      </w:tblGrid>
      <w:tr w:rsidR="00653982" w:rsidRPr="008471BD" w:rsidTr="008B2F5A">
        <w:trPr>
          <w:trHeight w:val="340"/>
          <w:jc w:val="center"/>
        </w:trPr>
        <w:tc>
          <w:tcPr>
            <w:tcW w:w="464"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Variables</w:t>
            </w:r>
          </w:p>
        </w:tc>
        <w:tc>
          <w:tcPr>
            <w:tcW w:w="539"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TQ</w:t>
            </w:r>
          </w:p>
        </w:tc>
        <w:tc>
          <w:tcPr>
            <w:tcW w:w="524"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IAFQ</w:t>
            </w:r>
          </w:p>
        </w:tc>
        <w:tc>
          <w:tcPr>
            <w:tcW w:w="511"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FCAE</w:t>
            </w:r>
          </w:p>
        </w:tc>
        <w:tc>
          <w:tcPr>
            <w:tcW w:w="584"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FSIZE</w:t>
            </w:r>
          </w:p>
        </w:tc>
        <w:tc>
          <w:tcPr>
            <w:tcW w:w="521"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FAGE</w:t>
            </w:r>
          </w:p>
        </w:tc>
        <w:tc>
          <w:tcPr>
            <w:tcW w:w="511"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FIND</w:t>
            </w:r>
          </w:p>
        </w:tc>
        <w:tc>
          <w:tcPr>
            <w:tcW w:w="557"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BIG4</w:t>
            </w:r>
          </w:p>
        </w:tc>
        <w:tc>
          <w:tcPr>
            <w:tcW w:w="428"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ACEXP</w:t>
            </w:r>
          </w:p>
        </w:tc>
        <w:tc>
          <w:tcPr>
            <w:tcW w:w="362" w:type="pct"/>
            <w:tcBorders>
              <w:top w:val="single" w:sz="4" w:space="0" w:color="auto"/>
              <w:bottom w:val="single" w:sz="4" w:space="0" w:color="auto"/>
            </w:tcBorders>
          </w:tcPr>
          <w:p w:rsidR="00653982" w:rsidRPr="008471BD" w:rsidRDefault="00653982" w:rsidP="009460DA">
            <w:pPr>
              <w:pStyle w:val="ListParagraph"/>
              <w:tabs>
                <w:tab w:val="left" w:pos="709"/>
              </w:tabs>
              <w:ind w:left="0"/>
              <w:jc w:val="both"/>
              <w:rPr>
                <w:rFonts w:ascii="Cambria" w:hAnsi="Cambria" w:cstheme="majorBidi"/>
                <w:b/>
                <w:bCs/>
                <w:sz w:val="16"/>
                <w:szCs w:val="16"/>
              </w:rPr>
            </w:pPr>
            <w:r w:rsidRPr="008471BD">
              <w:rPr>
                <w:rFonts w:ascii="Cambria" w:hAnsi="Cambria" w:cstheme="majorBidi"/>
                <w:b/>
                <w:bCs/>
                <w:sz w:val="16"/>
                <w:szCs w:val="16"/>
              </w:rPr>
              <w:t>BIND</w:t>
            </w:r>
          </w:p>
        </w:tc>
      </w:tr>
      <w:tr w:rsidR="00653982" w:rsidRPr="008471BD" w:rsidTr="008B2F5A">
        <w:trPr>
          <w:trHeight w:val="337"/>
          <w:jc w:val="center"/>
        </w:trPr>
        <w:tc>
          <w:tcPr>
            <w:tcW w:w="464"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TQ</w:t>
            </w:r>
          </w:p>
        </w:tc>
        <w:tc>
          <w:tcPr>
            <w:tcW w:w="539"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24"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11"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84"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21"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11"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57"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Borders>
              <w:top w:val="single" w:sz="4" w:space="0" w:color="auto"/>
            </w:tcBorders>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218"/>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IAFQ</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0.4627***</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208"/>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FCAE</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-0.1000*</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0.0620</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228"/>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FSIZE</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-0.4988***</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-0.1094**</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0.1722***</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234"/>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FAGE</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0.4587***</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0.2530***</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-0.0296</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-0.1970****</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187"/>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FIND</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0.4530***</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0.6122***</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0.2808***</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-0.1074**</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0.1693***</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187"/>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BIG4</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0.0393</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0.2091***</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0.0624</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0.0522</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0.1087**</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0.0009</w:t>
            </w: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187"/>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ACEXP</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0.1313**</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0.5167***</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0.2628***</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0.1315**</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0.1000*</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0.6376***</w:t>
            </w: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0.1620****</w:t>
            </w: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r>
      <w:tr w:rsidR="00653982" w:rsidRPr="008471BD" w:rsidTr="008B2F5A">
        <w:trPr>
          <w:trHeight w:val="187"/>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BIND</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-0.1001*</w:t>
            </w: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-0.0566</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0.0453</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0.2093***</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-0.0521</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-0.0982*</w:t>
            </w: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0.0720</w:t>
            </w: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0.0322</w:t>
            </w: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w:t>
            </w:r>
          </w:p>
        </w:tc>
      </w:tr>
      <w:tr w:rsidR="00653982" w:rsidRPr="008471BD" w:rsidTr="008B2F5A">
        <w:trPr>
          <w:trHeight w:val="187"/>
          <w:jc w:val="center"/>
        </w:trPr>
        <w:tc>
          <w:tcPr>
            <w:tcW w:w="46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VIF</w:t>
            </w:r>
          </w:p>
        </w:tc>
        <w:tc>
          <w:tcPr>
            <w:tcW w:w="539" w:type="pct"/>
          </w:tcPr>
          <w:p w:rsidR="00653982" w:rsidRPr="008471BD" w:rsidRDefault="00653982" w:rsidP="009460DA">
            <w:pPr>
              <w:pStyle w:val="ListParagraph"/>
              <w:tabs>
                <w:tab w:val="left" w:pos="709"/>
              </w:tabs>
              <w:ind w:left="0"/>
              <w:jc w:val="both"/>
              <w:rPr>
                <w:rFonts w:ascii="Cambria" w:hAnsi="Cambria" w:cstheme="majorBidi"/>
                <w:sz w:val="16"/>
                <w:szCs w:val="16"/>
              </w:rPr>
            </w:pPr>
          </w:p>
        </w:tc>
        <w:tc>
          <w:tcPr>
            <w:tcW w:w="52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1.89</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1.18</w:t>
            </w:r>
          </w:p>
        </w:tc>
        <w:tc>
          <w:tcPr>
            <w:tcW w:w="584"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1.20</w:t>
            </w:r>
          </w:p>
        </w:tc>
        <w:tc>
          <w:tcPr>
            <w:tcW w:w="52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1.11</w:t>
            </w:r>
          </w:p>
        </w:tc>
        <w:tc>
          <w:tcPr>
            <w:tcW w:w="511"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2.41</w:t>
            </w:r>
          </w:p>
        </w:tc>
        <w:tc>
          <w:tcPr>
            <w:tcW w:w="557"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1.12</w:t>
            </w:r>
          </w:p>
        </w:tc>
        <w:tc>
          <w:tcPr>
            <w:tcW w:w="428"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1.98</w:t>
            </w:r>
          </w:p>
        </w:tc>
        <w:tc>
          <w:tcPr>
            <w:tcW w:w="362" w:type="pct"/>
          </w:tcPr>
          <w:p w:rsidR="00653982" w:rsidRPr="008471BD" w:rsidRDefault="00653982" w:rsidP="009460DA">
            <w:pPr>
              <w:pStyle w:val="ListParagraph"/>
              <w:tabs>
                <w:tab w:val="left" w:pos="709"/>
              </w:tabs>
              <w:ind w:left="0"/>
              <w:jc w:val="both"/>
              <w:rPr>
                <w:rFonts w:ascii="Cambria" w:hAnsi="Cambria" w:cstheme="majorBidi"/>
                <w:sz w:val="16"/>
                <w:szCs w:val="16"/>
              </w:rPr>
            </w:pPr>
            <w:r w:rsidRPr="008471BD">
              <w:rPr>
                <w:rFonts w:ascii="Cambria" w:hAnsi="Cambria" w:cstheme="majorBidi"/>
                <w:sz w:val="16"/>
                <w:szCs w:val="16"/>
              </w:rPr>
              <w:t>1.06</w:t>
            </w:r>
          </w:p>
        </w:tc>
      </w:tr>
    </w:tbl>
    <w:p w:rsidR="00653982" w:rsidRPr="009460DA" w:rsidRDefault="00653982" w:rsidP="009460DA">
      <w:pPr>
        <w:tabs>
          <w:tab w:val="left" w:pos="709"/>
        </w:tabs>
        <w:spacing w:after="0" w:line="240" w:lineRule="auto"/>
        <w:jc w:val="both"/>
        <w:rPr>
          <w:rFonts w:ascii="Cambria" w:hAnsi="Cambria" w:cstheme="majorBidi"/>
          <w:sz w:val="20"/>
          <w:szCs w:val="20"/>
          <w:lang w:val="en-IE"/>
        </w:rPr>
      </w:pPr>
      <w:r w:rsidRPr="009460DA">
        <w:rPr>
          <w:rFonts w:ascii="Cambria" w:hAnsi="Cambria" w:cstheme="majorBidi"/>
          <w:sz w:val="20"/>
          <w:szCs w:val="20"/>
          <w:lang w:val="en-IE"/>
        </w:rPr>
        <w:t xml:space="preserve">Notes: *. **. *** Denote significance levels of 10%, 5%, </w:t>
      </w:r>
      <w:proofErr w:type="gramStart"/>
      <w:r w:rsidRPr="009460DA">
        <w:rPr>
          <w:rFonts w:ascii="Cambria" w:hAnsi="Cambria" w:cstheme="majorBidi"/>
          <w:sz w:val="20"/>
          <w:szCs w:val="20"/>
          <w:lang w:val="en-IE"/>
        </w:rPr>
        <w:t>1</w:t>
      </w:r>
      <w:proofErr w:type="gramEnd"/>
      <w:r w:rsidRPr="009460DA">
        <w:rPr>
          <w:rFonts w:ascii="Cambria" w:hAnsi="Cambria" w:cstheme="majorBidi"/>
          <w:sz w:val="20"/>
          <w:szCs w:val="20"/>
          <w:lang w:val="en-IE"/>
        </w:rPr>
        <w:t>%, respectively</w:t>
      </w:r>
    </w:p>
    <w:p w:rsidR="00653982" w:rsidRPr="009460DA" w:rsidRDefault="00653982" w:rsidP="009460DA">
      <w:pPr>
        <w:tabs>
          <w:tab w:val="left" w:pos="709"/>
        </w:tabs>
        <w:spacing w:after="0" w:line="240" w:lineRule="auto"/>
        <w:jc w:val="both"/>
        <w:rPr>
          <w:rFonts w:ascii="Cambria" w:hAnsi="Cambria" w:cstheme="majorBidi"/>
          <w:sz w:val="20"/>
          <w:szCs w:val="20"/>
          <w:lang w:val="en-IE"/>
        </w:rPr>
      </w:pPr>
      <w:r w:rsidRPr="009460DA">
        <w:rPr>
          <w:rFonts w:ascii="Cambria" w:hAnsi="Cambria" w:cstheme="majorBidi"/>
          <w:b/>
          <w:bCs/>
          <w:sz w:val="20"/>
          <w:szCs w:val="20"/>
          <w:lang w:val="en-ZA"/>
        </w:rPr>
        <w:lastRenderedPageBreak/>
        <w:t xml:space="preserve">Multivariate Analysis: </w:t>
      </w:r>
      <w:r w:rsidRPr="009460DA">
        <w:rPr>
          <w:rFonts w:ascii="Cambria" w:hAnsi="Cambria" w:cstheme="majorBidi"/>
          <w:sz w:val="20"/>
          <w:szCs w:val="20"/>
          <w:lang w:val="en-IE"/>
        </w:rPr>
        <w:t>Table 5 shows the results of the GLS regressions. Model 1 and Model 2 are both significant at p</w:t>
      </w:r>
      <w:r w:rsidRPr="009460DA">
        <w:rPr>
          <w:rFonts w:ascii="Cambria" w:hAnsi="Cambria" w:cstheme="majorBidi"/>
          <w:sz w:val="20"/>
          <w:szCs w:val="20"/>
          <w:rtl/>
          <w:lang w:val="en-IE"/>
        </w:rPr>
        <w:t xml:space="preserve"> </w:t>
      </w:r>
      <w:r w:rsidRPr="009460DA">
        <w:rPr>
          <w:rFonts w:ascii="Cambria" w:hAnsi="Cambria" w:cstheme="majorBidi"/>
          <w:sz w:val="20"/>
          <w:szCs w:val="20"/>
          <w:lang w:val="en-IE"/>
        </w:rPr>
        <w:t>&lt;0.01 with an adjusted R</w:t>
      </w:r>
      <w:r w:rsidRPr="009460DA">
        <w:rPr>
          <w:rFonts w:ascii="Cambria" w:hAnsi="Cambria" w:cstheme="majorBidi"/>
          <w:sz w:val="20"/>
          <w:szCs w:val="20"/>
          <w:vertAlign w:val="superscript"/>
          <w:lang w:val="en-IE"/>
        </w:rPr>
        <w:t>2</w:t>
      </w:r>
      <w:r w:rsidRPr="009460DA">
        <w:rPr>
          <w:rFonts w:ascii="Cambria" w:hAnsi="Cambria" w:cstheme="majorBidi"/>
          <w:sz w:val="20"/>
          <w:szCs w:val="20"/>
          <w:lang w:val="en-IE"/>
        </w:rPr>
        <w:t xml:space="preserve"> of 0.561 and 582, respectively.</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Model 1 in Table 5 demonstrates a significant and positive association between IAFQ and TQ (p&lt;0.05). This result supports our first hypothesis, implying that internal audit quality enhances firm performance. This outcome is consistent with the findings of several prior studies (</w:t>
      </w:r>
      <w:r w:rsidRPr="009460DA">
        <w:rPr>
          <w:rFonts w:ascii="Cambria" w:eastAsia="Calibri" w:hAnsi="Cambria" w:cs="Times New Roman"/>
          <w:sz w:val="20"/>
          <w:szCs w:val="20"/>
          <w:lang w:val="en-ZA"/>
        </w:rPr>
        <w:t>Hutchinson &amp; Zain, 2009; Alflahat, 2017;</w:t>
      </w:r>
      <w:r w:rsidRPr="009460DA">
        <w:rPr>
          <w:rFonts w:ascii="Cambria" w:eastAsia="Calibri" w:hAnsi="Cambria" w:cs="Arial"/>
          <w:sz w:val="20"/>
          <w:szCs w:val="20"/>
          <w:lang w:val="en-IE"/>
        </w:rPr>
        <w:t xml:space="preserve"> </w:t>
      </w:r>
      <w:r w:rsidRPr="009460DA">
        <w:rPr>
          <w:rFonts w:ascii="Cambria" w:eastAsia="Calibri" w:hAnsi="Cambria" w:cs="Times New Roman"/>
          <w:sz w:val="20"/>
          <w:szCs w:val="20"/>
          <w:lang w:val="en-ZA"/>
        </w:rPr>
        <w:t>Bengrich &amp; El Ghadouia, 2020;</w:t>
      </w:r>
      <w:r w:rsidRPr="009460DA">
        <w:rPr>
          <w:rFonts w:ascii="Cambria" w:eastAsia="Calibri" w:hAnsi="Cambria" w:cstheme="majorBidi"/>
          <w:sz w:val="20"/>
          <w:szCs w:val="20"/>
          <w:lang w:val="en-ZA"/>
        </w:rPr>
        <w:t xml:space="preserve"> Alsurayyi &amp; Alsughayer, 2021).</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The results of model 2 show that internal audit gender moderation with internal audit quality (FCAE*IAFQ) has a positive and significant effect on firm performance (TQ) at the 1% level, implying that the presence of female CAE moderates with the IAF to strengthen Tunisian listed companies' financial performance.</w:t>
      </w:r>
    </w:p>
    <w:p w:rsidR="00653982" w:rsidRPr="009460DA" w:rsidRDefault="00653982" w:rsidP="009460DA">
      <w:pPr>
        <w:tabs>
          <w:tab w:val="left" w:pos="709"/>
        </w:tabs>
        <w:spacing w:after="0" w:line="240" w:lineRule="auto"/>
        <w:jc w:val="both"/>
        <w:rPr>
          <w:rFonts w:ascii="Cambria" w:hAnsi="Cambria" w:cstheme="majorBidi"/>
          <w:sz w:val="20"/>
          <w:szCs w:val="20"/>
          <w:lang w:val="en-IE"/>
        </w:rPr>
      </w:pPr>
    </w:p>
    <w:p w:rsidR="00653982" w:rsidRPr="009460DA" w:rsidRDefault="00653982" w:rsidP="009460DA">
      <w:pPr>
        <w:tabs>
          <w:tab w:val="left" w:pos="709"/>
        </w:tabs>
        <w:spacing w:after="0" w:line="240" w:lineRule="auto"/>
        <w:jc w:val="both"/>
        <w:rPr>
          <w:rFonts w:ascii="Cambria" w:hAnsi="Cambria" w:cstheme="majorBidi"/>
          <w:b/>
          <w:bCs/>
          <w:sz w:val="20"/>
          <w:szCs w:val="20"/>
          <w:lang w:val="en-ZA"/>
        </w:rPr>
      </w:pPr>
      <w:r w:rsidRPr="009460DA">
        <w:rPr>
          <w:rFonts w:ascii="Cambria" w:hAnsi="Cambria" w:cstheme="majorBidi"/>
          <w:sz w:val="20"/>
          <w:szCs w:val="20"/>
          <w:lang w:val="en-IE"/>
        </w:rPr>
        <w:t>Hence, our second hypothesis is supported.</w:t>
      </w:r>
      <w:r w:rsidRPr="009460DA">
        <w:rPr>
          <w:rFonts w:ascii="Cambria" w:hAnsi="Cambria" w:cstheme="majorBidi"/>
          <w:b/>
          <w:bCs/>
          <w:sz w:val="20"/>
          <w:szCs w:val="20"/>
          <w:lang w:val="en-ZA"/>
        </w:rPr>
        <w:t xml:space="preserve"> </w:t>
      </w:r>
      <w:r w:rsidRPr="009460DA">
        <w:rPr>
          <w:rFonts w:ascii="Cambria" w:hAnsi="Cambria" w:cstheme="majorBidi"/>
          <w:sz w:val="20"/>
          <w:szCs w:val="20"/>
          <w:lang w:val="en-IE"/>
        </w:rPr>
        <w:t>With respect to the control variables, the results show that the association between firm size (FSIZE) and firm performance (TQ) is significantly negative. This result is not consistent with previous studies (Core et al., 2006;</w:t>
      </w:r>
      <w:hyperlink r:id="rId14" w:history="1">
        <w:r w:rsidRPr="009460DA">
          <w:rPr>
            <w:rFonts w:ascii="Cambria" w:hAnsi="Cambria" w:cstheme="majorBidi"/>
            <w:sz w:val="20"/>
            <w:szCs w:val="20"/>
            <w:lang w:val="en-IE"/>
          </w:rPr>
          <w:t xml:space="preserve"> Jiang</w:t>
        </w:r>
      </w:hyperlink>
      <w:r w:rsidRPr="009460DA">
        <w:rPr>
          <w:rFonts w:ascii="Cambria" w:hAnsi="Cambria" w:cstheme="majorBidi"/>
          <w:sz w:val="20"/>
          <w:szCs w:val="20"/>
          <w:lang w:val="en-IE"/>
        </w:rPr>
        <w:t xml:space="preserve"> et al., 2020; Alzeban, 2021). The results also indicate that companies operating in the financial services sector (FIND) are more likely to have better financial performance. Moreover, findings reveal a positive and significant relationship between firm age (FAGE) and the firm’s financial performance (TQ). This result is consistent with our expectations.</w:t>
      </w:r>
      <w:r w:rsidRPr="009460DA">
        <w:rPr>
          <w:rFonts w:ascii="Cambria" w:hAnsi="Cambria" w:cstheme="majorBidi"/>
          <w:b/>
          <w:bCs/>
          <w:sz w:val="20"/>
          <w:szCs w:val="20"/>
          <w:rtl/>
          <w:lang w:val="en-ZA"/>
        </w:rPr>
        <w:t xml:space="preserve"> </w:t>
      </w:r>
      <w:r w:rsidRPr="009460DA">
        <w:rPr>
          <w:rFonts w:ascii="Cambria" w:hAnsi="Cambria" w:cstheme="majorBidi"/>
          <w:sz w:val="20"/>
          <w:szCs w:val="20"/>
          <w:lang w:val="en-IE"/>
        </w:rPr>
        <w:t>According to the results, the regression coefficients of BIG4, ACEXP, and BIND were not statistically significant, indicating that firm performance is not affected by audit quality, the percentage of accounting and financial experts on the audit committee, or board independence.</w:t>
      </w:r>
    </w:p>
    <w:p w:rsidR="00653982" w:rsidRPr="009460DA" w:rsidRDefault="00653982" w:rsidP="009460DA">
      <w:pPr>
        <w:tabs>
          <w:tab w:val="left" w:pos="709"/>
        </w:tabs>
        <w:spacing w:after="0" w:line="240" w:lineRule="auto"/>
        <w:jc w:val="both"/>
        <w:rPr>
          <w:rFonts w:ascii="Cambria" w:hAnsi="Cambria" w:cstheme="majorBidi"/>
          <w:b/>
          <w:bCs/>
          <w:sz w:val="20"/>
          <w:szCs w:val="20"/>
          <w:lang w:val="en-ZA"/>
        </w:rPr>
      </w:pPr>
    </w:p>
    <w:p w:rsidR="00653982" w:rsidRPr="009460DA" w:rsidRDefault="00653982" w:rsidP="009460DA">
      <w:pPr>
        <w:tabs>
          <w:tab w:val="left" w:pos="709"/>
        </w:tabs>
        <w:spacing w:after="0" w:line="240" w:lineRule="auto"/>
        <w:jc w:val="both"/>
        <w:rPr>
          <w:rFonts w:ascii="Cambria" w:hAnsi="Cambria" w:cstheme="majorBidi"/>
          <w:b/>
          <w:bCs/>
          <w:sz w:val="20"/>
          <w:szCs w:val="20"/>
          <w:lang w:val="en-ZA"/>
        </w:rPr>
      </w:pPr>
      <w:r w:rsidRPr="009460DA">
        <w:rPr>
          <w:rFonts w:ascii="Cambria" w:hAnsi="Cambria" w:cstheme="majorBidi"/>
          <w:b/>
          <w:bCs/>
          <w:sz w:val="20"/>
          <w:szCs w:val="20"/>
          <w:lang w:val="en-ZA"/>
        </w:rPr>
        <w:t>Table 5: Regression Results</w:t>
      </w:r>
    </w:p>
    <w:tbl>
      <w:tblPr>
        <w:tblStyle w:val="TableGrid"/>
        <w:tblW w:w="4916"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1803"/>
        <w:gridCol w:w="1776"/>
        <w:gridCol w:w="1576"/>
        <w:gridCol w:w="1418"/>
        <w:gridCol w:w="1418"/>
        <w:gridCol w:w="1424"/>
      </w:tblGrid>
      <w:tr w:rsidR="00653982" w:rsidRPr="009460DA" w:rsidTr="008471BD">
        <w:trPr>
          <w:trHeight w:val="329"/>
          <w:jc w:val="center"/>
        </w:trPr>
        <w:tc>
          <w:tcPr>
            <w:tcW w:w="5000" w:type="pct"/>
            <w:gridSpan w:val="6"/>
            <w:tcBorders>
              <w:top w:val="single" w:sz="4" w:space="0" w:color="auto"/>
              <w:bottom w:val="nil"/>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rPr>
              <w:t xml:space="preserve">                                                              Dependant variable: TQ</w:t>
            </w:r>
          </w:p>
        </w:tc>
      </w:tr>
      <w:tr w:rsidR="00653982" w:rsidRPr="009460DA" w:rsidTr="008471BD">
        <w:trPr>
          <w:trHeight w:val="263"/>
          <w:jc w:val="center"/>
        </w:trPr>
        <w:tc>
          <w:tcPr>
            <w:tcW w:w="1901" w:type="pct"/>
            <w:gridSpan w:val="2"/>
            <w:tcBorders>
              <w:top w:val="nil"/>
              <w:bottom w:val="nil"/>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p>
        </w:tc>
        <w:tc>
          <w:tcPr>
            <w:tcW w:w="1590" w:type="pct"/>
            <w:gridSpan w:val="2"/>
            <w:tcBorders>
              <w:top w:val="nil"/>
              <w:bottom w:val="nil"/>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Model 1</w:t>
            </w:r>
          </w:p>
        </w:tc>
        <w:tc>
          <w:tcPr>
            <w:tcW w:w="1509" w:type="pct"/>
            <w:gridSpan w:val="2"/>
            <w:tcBorders>
              <w:top w:val="nil"/>
              <w:bottom w:val="nil"/>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Model 2</w:t>
            </w:r>
          </w:p>
        </w:tc>
      </w:tr>
      <w:tr w:rsidR="00653982" w:rsidRPr="009460DA" w:rsidTr="008471BD">
        <w:trPr>
          <w:trHeight w:val="281"/>
          <w:jc w:val="center"/>
        </w:trPr>
        <w:tc>
          <w:tcPr>
            <w:tcW w:w="958"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Variables</w:t>
            </w:r>
          </w:p>
        </w:tc>
        <w:tc>
          <w:tcPr>
            <w:tcW w:w="943"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Sign expected</w:t>
            </w:r>
          </w:p>
        </w:tc>
        <w:tc>
          <w:tcPr>
            <w:tcW w:w="837"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Coeff</w:t>
            </w:r>
          </w:p>
        </w:tc>
        <w:tc>
          <w:tcPr>
            <w:tcW w:w="753"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P&gt;Z</w:t>
            </w:r>
          </w:p>
        </w:tc>
        <w:tc>
          <w:tcPr>
            <w:tcW w:w="753"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Coeff</w:t>
            </w:r>
          </w:p>
        </w:tc>
        <w:tc>
          <w:tcPr>
            <w:tcW w:w="756" w:type="pct"/>
            <w:tcBorders>
              <w:top w:val="nil"/>
              <w:bottom w:val="single" w:sz="4" w:space="0" w:color="auto"/>
            </w:tcBorders>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b/>
                <w:bCs/>
                <w:sz w:val="20"/>
                <w:szCs w:val="20"/>
                <w:lang w:val="en-ZA"/>
              </w:rPr>
              <w:t>P&gt;Z</w:t>
            </w:r>
          </w:p>
        </w:tc>
      </w:tr>
      <w:tr w:rsidR="00653982" w:rsidRPr="009460DA" w:rsidTr="008471BD">
        <w:trPr>
          <w:trHeight w:val="271"/>
          <w:jc w:val="center"/>
        </w:trPr>
        <w:tc>
          <w:tcPr>
            <w:tcW w:w="958"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IAFQ</w:t>
            </w:r>
          </w:p>
        </w:tc>
        <w:tc>
          <w:tcPr>
            <w:tcW w:w="943"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299.2259</w:t>
            </w:r>
          </w:p>
        </w:tc>
        <w:tc>
          <w:tcPr>
            <w:tcW w:w="753"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0.032**</w:t>
            </w:r>
          </w:p>
        </w:tc>
        <w:tc>
          <w:tcPr>
            <w:tcW w:w="753"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327.6701</w:t>
            </w:r>
          </w:p>
        </w:tc>
        <w:tc>
          <w:tcPr>
            <w:tcW w:w="756" w:type="pct"/>
            <w:tcBorders>
              <w:top w:val="single" w:sz="4" w:space="0" w:color="auto"/>
            </w:tcBorders>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0.018**</w:t>
            </w:r>
          </w:p>
        </w:tc>
      </w:tr>
      <w:tr w:rsidR="00653982" w:rsidRPr="009460DA" w:rsidTr="008471BD">
        <w:trPr>
          <w:trHeight w:val="260"/>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FCAE</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582.6</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0.084*</w:t>
            </w:r>
          </w:p>
        </w:tc>
      </w:tr>
      <w:tr w:rsidR="00653982" w:rsidRPr="009460DA" w:rsidTr="008471BD">
        <w:trPr>
          <w:trHeight w:val="292"/>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FCAE *IAFQ</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 xml:space="preserve"> 365.6247</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0.006***</w:t>
            </w:r>
          </w:p>
        </w:tc>
      </w:tr>
      <w:tr w:rsidR="00653982" w:rsidRPr="009460DA" w:rsidTr="008471BD">
        <w:trPr>
          <w:trHeight w:val="269"/>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FSIZE</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-340.8418</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-333.4438</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r>
      <w:tr w:rsidR="00653982" w:rsidRPr="009460DA" w:rsidTr="008471BD">
        <w:trPr>
          <w:trHeight w:val="258"/>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FAGE</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25.9933</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25.4131</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r>
      <w:tr w:rsidR="00653982" w:rsidRPr="009460DA" w:rsidTr="008471BD">
        <w:trPr>
          <w:trHeight w:val="290"/>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FIND</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1283.237</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0.006***</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1480.124</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0.001***</w:t>
            </w:r>
          </w:p>
        </w:tc>
      </w:tr>
      <w:tr w:rsidR="00653982" w:rsidRPr="009460DA" w:rsidTr="008471BD">
        <w:trPr>
          <w:trHeight w:val="266"/>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BIG4</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19.0822</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0.872</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-1.9627</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0.987</w:t>
            </w:r>
          </w:p>
        </w:tc>
      </w:tr>
      <w:tr w:rsidR="00653982" w:rsidRPr="009460DA" w:rsidTr="008471BD">
        <w:trPr>
          <w:trHeight w:val="270"/>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ACEXP</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-1036.869</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0.241</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-979.7685</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0.262</w:t>
            </w:r>
          </w:p>
        </w:tc>
      </w:tr>
      <w:tr w:rsidR="00653982" w:rsidRPr="009460DA" w:rsidTr="008471BD">
        <w:trPr>
          <w:trHeight w:val="146"/>
          <w:jc w:val="center"/>
        </w:trPr>
        <w:tc>
          <w:tcPr>
            <w:tcW w:w="958"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BIND</w:t>
            </w:r>
          </w:p>
        </w:tc>
        <w:tc>
          <w:tcPr>
            <w:tcW w:w="94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115.9074</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0.904</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83.2275</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0.930</w:t>
            </w:r>
          </w:p>
        </w:tc>
      </w:tr>
      <w:tr w:rsidR="00653982" w:rsidRPr="009460DA" w:rsidTr="008471BD">
        <w:trPr>
          <w:trHeight w:val="178"/>
          <w:jc w:val="center"/>
        </w:trPr>
        <w:tc>
          <w:tcPr>
            <w:tcW w:w="1901"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rPr>
              <w:t>Constant</w:t>
            </w:r>
          </w:p>
        </w:tc>
        <w:tc>
          <w:tcPr>
            <w:tcW w:w="837"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5641.838</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c>
          <w:tcPr>
            <w:tcW w:w="753"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5450.356</w:t>
            </w:r>
          </w:p>
        </w:tc>
        <w:tc>
          <w:tcPr>
            <w:tcW w:w="756" w:type="pct"/>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0.000</w:t>
            </w:r>
          </w:p>
        </w:tc>
      </w:tr>
      <w:tr w:rsidR="00653982" w:rsidRPr="009460DA" w:rsidTr="008471BD">
        <w:trPr>
          <w:trHeight w:val="224"/>
          <w:jc w:val="center"/>
        </w:trPr>
        <w:tc>
          <w:tcPr>
            <w:tcW w:w="1901" w:type="pct"/>
            <w:gridSpan w:val="2"/>
          </w:tcPr>
          <w:p w:rsidR="00653982" w:rsidRPr="009460DA" w:rsidRDefault="00653982" w:rsidP="009460DA">
            <w:pPr>
              <w:pStyle w:val="ListParagraph"/>
              <w:tabs>
                <w:tab w:val="left" w:pos="709"/>
              </w:tabs>
              <w:ind w:left="0"/>
              <w:jc w:val="both"/>
              <w:rPr>
                <w:rFonts w:ascii="Cambria" w:hAnsi="Cambria" w:cstheme="majorBidi"/>
                <w:sz w:val="20"/>
                <w:szCs w:val="20"/>
              </w:rPr>
            </w:pPr>
            <w:r w:rsidRPr="009460DA">
              <w:rPr>
                <w:rFonts w:ascii="Cambria" w:hAnsi="Cambria" w:cstheme="majorBidi"/>
                <w:sz w:val="20"/>
                <w:szCs w:val="20"/>
              </w:rPr>
              <w:t>R</w:t>
            </w:r>
            <w:r w:rsidRPr="009460DA">
              <w:rPr>
                <w:rFonts w:ascii="Cambria" w:hAnsi="Cambria" w:cstheme="majorBidi"/>
                <w:sz w:val="20"/>
                <w:szCs w:val="20"/>
                <w:vertAlign w:val="superscript"/>
              </w:rPr>
              <w:t>2</w:t>
            </w:r>
          </w:p>
        </w:tc>
        <w:tc>
          <w:tcPr>
            <w:tcW w:w="1590"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0.561***</w:t>
            </w:r>
          </w:p>
        </w:tc>
        <w:tc>
          <w:tcPr>
            <w:tcW w:w="1509"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0.582***</w:t>
            </w:r>
          </w:p>
        </w:tc>
      </w:tr>
      <w:tr w:rsidR="00653982" w:rsidRPr="009460DA" w:rsidTr="008471BD">
        <w:trPr>
          <w:trHeight w:val="114"/>
          <w:jc w:val="center"/>
        </w:trPr>
        <w:tc>
          <w:tcPr>
            <w:tcW w:w="1901"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N</w:t>
            </w:r>
          </w:p>
        </w:tc>
        <w:tc>
          <w:tcPr>
            <w:tcW w:w="1590" w:type="pct"/>
            <w:gridSpan w:val="2"/>
          </w:tcPr>
          <w:p w:rsidR="00653982" w:rsidRPr="009460DA" w:rsidRDefault="00653982" w:rsidP="009460DA">
            <w:pPr>
              <w:pStyle w:val="ListParagraph"/>
              <w:tabs>
                <w:tab w:val="left" w:pos="709"/>
              </w:tabs>
              <w:ind w:left="0"/>
              <w:jc w:val="both"/>
              <w:rPr>
                <w:rFonts w:ascii="Cambria" w:hAnsi="Cambria" w:cstheme="majorBidi"/>
                <w:b/>
                <w:bCs/>
                <w:sz w:val="20"/>
                <w:szCs w:val="20"/>
                <w:lang w:val="en-ZA"/>
              </w:rPr>
            </w:pPr>
            <w:r w:rsidRPr="009460DA">
              <w:rPr>
                <w:rFonts w:ascii="Cambria" w:hAnsi="Cambria" w:cstheme="majorBidi"/>
                <w:sz w:val="20"/>
                <w:szCs w:val="20"/>
                <w:lang w:val="en-ZA"/>
              </w:rPr>
              <w:t>375</w:t>
            </w:r>
          </w:p>
        </w:tc>
        <w:tc>
          <w:tcPr>
            <w:tcW w:w="1509" w:type="pct"/>
            <w:gridSpan w:val="2"/>
          </w:tcPr>
          <w:p w:rsidR="00653982" w:rsidRPr="009460DA" w:rsidRDefault="00653982" w:rsidP="009460DA">
            <w:pPr>
              <w:pStyle w:val="ListParagraph"/>
              <w:tabs>
                <w:tab w:val="left" w:pos="709"/>
              </w:tabs>
              <w:ind w:left="0"/>
              <w:jc w:val="both"/>
              <w:rPr>
                <w:rFonts w:ascii="Cambria" w:hAnsi="Cambria" w:cstheme="majorBidi"/>
                <w:sz w:val="20"/>
                <w:szCs w:val="20"/>
                <w:lang w:val="en-ZA"/>
              </w:rPr>
            </w:pPr>
            <w:r w:rsidRPr="009460DA">
              <w:rPr>
                <w:rFonts w:ascii="Cambria" w:hAnsi="Cambria" w:cstheme="majorBidi"/>
                <w:sz w:val="20"/>
                <w:szCs w:val="20"/>
                <w:lang w:val="en-ZA"/>
              </w:rPr>
              <w:t>375</w:t>
            </w:r>
          </w:p>
        </w:tc>
      </w:tr>
    </w:tbl>
    <w:p w:rsidR="00653982" w:rsidRPr="009460DA" w:rsidRDefault="00653982" w:rsidP="009460DA">
      <w:pPr>
        <w:tabs>
          <w:tab w:val="left" w:pos="709"/>
        </w:tabs>
        <w:spacing w:after="0" w:line="240" w:lineRule="auto"/>
        <w:jc w:val="both"/>
        <w:rPr>
          <w:rFonts w:ascii="Cambria" w:hAnsi="Cambria" w:cstheme="majorBidi"/>
          <w:sz w:val="20"/>
          <w:szCs w:val="20"/>
          <w:lang w:val="en-IE"/>
        </w:rPr>
      </w:pPr>
      <w:r w:rsidRPr="009460DA">
        <w:rPr>
          <w:rFonts w:ascii="Cambria" w:hAnsi="Cambria" w:cstheme="majorBidi"/>
          <w:sz w:val="20"/>
          <w:szCs w:val="20"/>
          <w:lang w:val="en-IE"/>
        </w:rPr>
        <w:t xml:space="preserve">Notes: *. **. *** Denote significance levels of 10%, 5%, </w:t>
      </w:r>
      <w:proofErr w:type="gramStart"/>
      <w:r w:rsidRPr="009460DA">
        <w:rPr>
          <w:rFonts w:ascii="Cambria" w:hAnsi="Cambria" w:cstheme="majorBidi"/>
          <w:sz w:val="20"/>
          <w:szCs w:val="20"/>
          <w:lang w:val="en-IE"/>
        </w:rPr>
        <w:t>1</w:t>
      </w:r>
      <w:proofErr w:type="gramEnd"/>
      <w:r w:rsidRPr="009460DA">
        <w:rPr>
          <w:rFonts w:ascii="Cambria" w:hAnsi="Cambria" w:cstheme="majorBidi"/>
          <w:sz w:val="20"/>
          <w:szCs w:val="20"/>
          <w:lang w:val="en-IE"/>
        </w:rPr>
        <w:t>%, respectively.</w:t>
      </w:r>
    </w:p>
    <w:p w:rsidR="00653982" w:rsidRPr="009460DA" w:rsidRDefault="00653982" w:rsidP="009460DA">
      <w:pPr>
        <w:tabs>
          <w:tab w:val="left" w:pos="709"/>
        </w:tabs>
        <w:spacing w:after="0" w:line="240" w:lineRule="auto"/>
        <w:jc w:val="both"/>
        <w:rPr>
          <w:rFonts w:ascii="Cambria" w:hAnsi="Cambria" w:cstheme="majorBidi"/>
          <w:sz w:val="20"/>
          <w:szCs w:val="20"/>
          <w:lang w:val="en-IE"/>
        </w:rPr>
      </w:pPr>
    </w:p>
    <w:p w:rsidR="00653982" w:rsidRPr="009460DA" w:rsidRDefault="00653982" w:rsidP="009460DA">
      <w:pPr>
        <w:tabs>
          <w:tab w:val="left" w:pos="709"/>
        </w:tabs>
        <w:spacing w:after="0" w:line="240" w:lineRule="auto"/>
        <w:jc w:val="both"/>
        <w:rPr>
          <w:rFonts w:ascii="Cambria" w:hAnsi="Cambria" w:cstheme="majorBidi"/>
          <w:b/>
          <w:sz w:val="20"/>
          <w:szCs w:val="20"/>
          <w:lang w:val="en-IE"/>
        </w:rPr>
      </w:pPr>
      <w:r w:rsidRPr="009460DA">
        <w:rPr>
          <w:rFonts w:ascii="Cambria" w:hAnsi="Cambria" w:cstheme="majorBidi"/>
          <w:b/>
          <w:sz w:val="20"/>
          <w:szCs w:val="20"/>
          <w:lang w:val="en-IE"/>
        </w:rPr>
        <w:t xml:space="preserve">5. </w:t>
      </w:r>
      <w:r w:rsidRPr="009460DA">
        <w:rPr>
          <w:rFonts w:ascii="Cambria" w:hAnsi="Cambria" w:cstheme="majorBidi"/>
          <w:b/>
          <w:bCs/>
          <w:sz w:val="20"/>
          <w:szCs w:val="20"/>
          <w:lang w:val="en-ZA"/>
        </w:rPr>
        <w:t>Conclusion and Recommendations</w:t>
      </w:r>
    </w:p>
    <w:p w:rsidR="00653982" w:rsidRPr="009460DA" w:rsidRDefault="00653982" w:rsidP="009460DA">
      <w:pPr>
        <w:pStyle w:val="ListParagraph"/>
        <w:tabs>
          <w:tab w:val="left" w:pos="709"/>
        </w:tabs>
        <w:spacing w:after="0" w:line="240" w:lineRule="auto"/>
        <w:ind w:left="0"/>
        <w:jc w:val="both"/>
        <w:rPr>
          <w:rFonts w:ascii="Cambria" w:hAnsi="Cambria" w:cstheme="majorBidi"/>
          <w:b/>
          <w:bCs/>
          <w:sz w:val="20"/>
          <w:szCs w:val="20"/>
          <w:lang w:val="en-ZA"/>
        </w:rPr>
      </w:pPr>
    </w:p>
    <w:p w:rsidR="00653982" w:rsidRPr="009460DA" w:rsidRDefault="00653982" w:rsidP="009460DA">
      <w:pPr>
        <w:tabs>
          <w:tab w:val="left" w:pos="709"/>
        </w:tabs>
        <w:spacing w:after="0" w:line="240" w:lineRule="auto"/>
        <w:jc w:val="both"/>
        <w:rPr>
          <w:rFonts w:ascii="Cambria" w:hAnsi="Cambria" w:cstheme="majorBidi"/>
          <w:sz w:val="20"/>
          <w:szCs w:val="20"/>
          <w:lang w:val="en-ZA"/>
        </w:rPr>
      </w:pPr>
      <w:r w:rsidRPr="009460DA">
        <w:rPr>
          <w:rFonts w:ascii="Cambria" w:hAnsi="Cambria" w:cstheme="majorBidi"/>
          <w:sz w:val="20"/>
          <w:szCs w:val="20"/>
          <w:lang w:val="en-ZA"/>
        </w:rPr>
        <w:t>This study extends the existing literature on gender diversity by examining how female CAEs play a moderating role between the internal audit quality and the financial performance of 80 Tunisian-listed firms from 2015 to 2019. In our analysis, we used Tobin's Q as a proxy for firm performance and found that the quality of internal audit functions had a positive and significant impact on financial performance. This finding is consistent with prior studies suggesting that higher-quality internal auditing improves firm performance (Sarens &amp; Abdolmohammadi, 2011; Newman &amp; Comfort, 2018; Al-Matari &amp; Mgammal, 2019; Jiang et al., 2020; Alzeban, 2021). Our results also indicate that female heads of internal audit positively moderate the effect of IA quality on firm performance. This finding is in line with empirical evidence by Oussii &amp; Klibi (2019) who found internal audit departments managed by women are more effective in the Tunisian context.</w:t>
      </w:r>
    </w:p>
    <w:p w:rsidR="00653982" w:rsidRPr="009460DA" w:rsidRDefault="00653982" w:rsidP="009460DA">
      <w:pPr>
        <w:tabs>
          <w:tab w:val="left" w:pos="709"/>
        </w:tabs>
        <w:spacing w:after="0" w:line="240" w:lineRule="auto"/>
        <w:jc w:val="both"/>
        <w:rPr>
          <w:rFonts w:ascii="Cambria" w:hAnsi="Cambria" w:cstheme="majorBidi"/>
          <w:sz w:val="20"/>
          <w:szCs w:val="20"/>
          <w:lang w:val="en-IE"/>
        </w:rPr>
      </w:pPr>
    </w:p>
    <w:p w:rsidR="00653982" w:rsidRPr="009460DA" w:rsidRDefault="00653982" w:rsidP="009460DA">
      <w:pPr>
        <w:tabs>
          <w:tab w:val="left" w:pos="709"/>
        </w:tabs>
        <w:spacing w:after="0" w:line="240" w:lineRule="auto"/>
        <w:jc w:val="both"/>
        <w:rPr>
          <w:rFonts w:ascii="Cambria" w:hAnsi="Cambria" w:cstheme="majorBidi"/>
          <w:sz w:val="20"/>
          <w:szCs w:val="20"/>
          <w:lang w:val="en-ZA"/>
        </w:rPr>
      </w:pPr>
      <w:r w:rsidRPr="009460DA">
        <w:rPr>
          <w:rFonts w:ascii="Cambria" w:hAnsi="Cambria" w:cstheme="majorBidi"/>
          <w:sz w:val="20"/>
          <w:szCs w:val="20"/>
          <w:lang w:val="en-IE"/>
        </w:rPr>
        <w:t xml:space="preserve">This study contributes to the existing literature on internal auditing and gender diversity by examining the link between the attributes of internal audit quality, the appointment of female Chief Audit Executives (CAEs), and firm performance in Tunisia. Moreover, the paper's findings carry significant implications for regulators </w:t>
      </w:r>
      <w:r w:rsidRPr="009460DA">
        <w:rPr>
          <w:rFonts w:ascii="Cambria" w:hAnsi="Cambria" w:cstheme="majorBidi"/>
          <w:sz w:val="20"/>
          <w:szCs w:val="20"/>
          <w:lang w:val="en-IE"/>
        </w:rPr>
        <w:lastRenderedPageBreak/>
        <w:t>and policymakers, since the presence of female CAEs within internal audit departments could bring potential benefits, thereby leading to better corporate governance practices. Therefore, emphasizing the appointment of more females in the internal audit function is highly recommended.</w:t>
      </w:r>
    </w:p>
    <w:p w:rsidR="00653982" w:rsidRPr="009460DA" w:rsidRDefault="00653982" w:rsidP="009460DA">
      <w:pPr>
        <w:tabs>
          <w:tab w:val="left" w:pos="709"/>
        </w:tabs>
        <w:spacing w:after="0" w:line="240" w:lineRule="auto"/>
        <w:jc w:val="both"/>
        <w:rPr>
          <w:rFonts w:ascii="Cambria" w:hAnsi="Cambria" w:cstheme="majorBidi"/>
          <w:sz w:val="20"/>
          <w:szCs w:val="20"/>
          <w:lang w:val="en-ZA"/>
        </w:rPr>
      </w:pPr>
    </w:p>
    <w:p w:rsidR="00653982" w:rsidRPr="009460DA" w:rsidRDefault="00653982" w:rsidP="009460DA">
      <w:pPr>
        <w:tabs>
          <w:tab w:val="left" w:pos="709"/>
        </w:tabs>
        <w:spacing w:after="0" w:line="240" w:lineRule="auto"/>
        <w:jc w:val="both"/>
        <w:rPr>
          <w:rFonts w:ascii="Cambria" w:hAnsi="Cambria" w:cstheme="majorBidi"/>
          <w:sz w:val="20"/>
          <w:szCs w:val="20"/>
          <w:lang w:val="en-ZA"/>
        </w:rPr>
      </w:pPr>
      <w:r w:rsidRPr="009460DA">
        <w:rPr>
          <w:rFonts w:ascii="Cambria" w:hAnsi="Cambria" w:cstheme="majorBidi"/>
          <w:sz w:val="20"/>
          <w:szCs w:val="20"/>
          <w:lang w:val="en-ZA"/>
        </w:rPr>
        <w:t>The findings of our study suggest several potential areas for future research. It may be worthwhile to apply the same research framework to similar emerging markets to compare results. Additionally, future research could expand the sample size and utilize alternative measures to assess the quality of the IAF and the performance of the firm.</w:t>
      </w:r>
    </w:p>
    <w:p w:rsidR="00653982" w:rsidRPr="009460DA" w:rsidRDefault="00653982" w:rsidP="009460DA">
      <w:pPr>
        <w:tabs>
          <w:tab w:val="left" w:pos="709"/>
        </w:tabs>
        <w:spacing w:after="0" w:line="240" w:lineRule="auto"/>
        <w:jc w:val="both"/>
        <w:rPr>
          <w:rFonts w:ascii="Cambria" w:hAnsi="Cambria" w:cstheme="majorBidi"/>
          <w:sz w:val="20"/>
          <w:szCs w:val="20"/>
          <w:lang w:val="en-ZA"/>
        </w:rPr>
      </w:pPr>
    </w:p>
    <w:p w:rsidR="00653982" w:rsidRPr="009460DA" w:rsidRDefault="00653982" w:rsidP="009460DA">
      <w:pPr>
        <w:tabs>
          <w:tab w:val="left" w:pos="709"/>
        </w:tabs>
        <w:spacing w:after="0" w:line="240" w:lineRule="auto"/>
        <w:jc w:val="both"/>
        <w:rPr>
          <w:rFonts w:ascii="Cambria" w:hAnsi="Cambria" w:cstheme="majorBidi"/>
          <w:sz w:val="20"/>
          <w:szCs w:val="20"/>
          <w:lang w:val="en-IE"/>
        </w:rPr>
      </w:pPr>
      <w:r w:rsidRPr="009460DA">
        <w:rPr>
          <w:rFonts w:ascii="Cambria" w:hAnsi="Cambria" w:cstheme="majorBidi"/>
          <w:b/>
          <w:bCs/>
          <w:sz w:val="20"/>
          <w:szCs w:val="20"/>
          <w:lang w:val="en-ZA"/>
        </w:rPr>
        <w:t>References</w:t>
      </w:r>
    </w:p>
    <w:p w:rsidR="00653982" w:rsidRPr="009460DA" w:rsidRDefault="00653982" w:rsidP="009460DA">
      <w:pPr>
        <w:pStyle w:val="Heading1"/>
        <w:spacing w:before="0" w:line="240" w:lineRule="auto"/>
        <w:jc w:val="both"/>
        <w:rPr>
          <w:rFonts w:ascii="Cambria" w:hAnsi="Cambria"/>
          <w:sz w:val="20"/>
          <w:szCs w:val="20"/>
        </w:rPr>
      </w:pPr>
    </w:p>
    <w:sdt>
      <w:sdtPr>
        <w:rPr>
          <w:rFonts w:ascii="Cambria" w:eastAsiaTheme="minorHAnsi" w:hAnsi="Cambria" w:cstheme="minorBidi"/>
          <w:sz w:val="20"/>
          <w:szCs w:val="20"/>
          <w:lang w:val="id-ID" w:eastAsia="en-US"/>
        </w:rPr>
        <w:id w:val="1701815907"/>
        <w:bibliography/>
      </w:sdtPr>
      <w:sdtContent>
        <w:p w:rsidR="00653982" w:rsidRPr="009460DA" w:rsidRDefault="00902FB4" w:rsidP="009460DA">
          <w:pPr>
            <w:pStyle w:val="Bibliography"/>
            <w:spacing w:after="0" w:line="240" w:lineRule="auto"/>
            <w:ind w:left="720" w:hanging="720"/>
            <w:jc w:val="both"/>
            <w:rPr>
              <w:rFonts w:ascii="Cambria" w:hAnsi="Cambria"/>
              <w:noProof/>
              <w:sz w:val="20"/>
              <w:szCs w:val="20"/>
              <w:lang w:val="en-ZA"/>
            </w:rPr>
          </w:pPr>
          <w:r w:rsidRPr="00902FB4">
            <w:rPr>
              <w:rFonts w:ascii="Cambria" w:hAnsi="Cambria"/>
              <w:sz w:val="20"/>
              <w:szCs w:val="20"/>
            </w:rPr>
            <w:fldChar w:fldCharType="begin"/>
          </w:r>
          <w:r w:rsidR="00653982" w:rsidRPr="009460DA">
            <w:rPr>
              <w:rFonts w:ascii="Cambria" w:hAnsi="Cambria"/>
              <w:sz w:val="20"/>
              <w:szCs w:val="20"/>
              <w:lang w:val="en-IE"/>
            </w:rPr>
            <w:instrText>BIBLIOGRAPHY</w:instrText>
          </w:r>
          <w:r w:rsidRPr="00902FB4">
            <w:rPr>
              <w:rFonts w:ascii="Cambria" w:hAnsi="Cambria"/>
              <w:sz w:val="20"/>
              <w:szCs w:val="20"/>
            </w:rPr>
            <w:fldChar w:fldCharType="separate"/>
          </w:r>
          <w:r w:rsidR="00653982" w:rsidRPr="009460DA">
            <w:rPr>
              <w:rFonts w:ascii="Cambria" w:hAnsi="Cambria"/>
              <w:noProof/>
              <w:sz w:val="20"/>
              <w:szCs w:val="20"/>
              <w:lang w:val="en-ZA"/>
            </w:rPr>
            <w:t xml:space="preserve">Abdul Rahman, R. &amp; Mohamed Ali, F. (2006). Board, audit committee, culture and earnings management: Malaysian evidence. </w:t>
          </w:r>
          <w:r w:rsidR="00653982" w:rsidRPr="009460DA">
            <w:rPr>
              <w:rFonts w:ascii="Cambria" w:hAnsi="Cambria"/>
              <w:i/>
              <w:iCs/>
              <w:noProof/>
              <w:sz w:val="20"/>
              <w:szCs w:val="20"/>
              <w:lang w:val="en-ZA"/>
            </w:rPr>
            <w:t>Managerial Auditing Journal,</w:t>
          </w:r>
          <w:r w:rsidR="00653982" w:rsidRPr="009460DA">
            <w:rPr>
              <w:rFonts w:ascii="Cambria" w:hAnsi="Cambria"/>
              <w:iCs/>
              <w:noProof/>
              <w:sz w:val="20"/>
              <w:szCs w:val="20"/>
              <w:lang w:val="en-ZA"/>
            </w:rPr>
            <w:t xml:space="preserve"> 21</w:t>
          </w:r>
          <w:r w:rsidR="00653982" w:rsidRPr="009460DA">
            <w:rPr>
              <w:rFonts w:ascii="Cambria" w:hAnsi="Cambria"/>
              <w:noProof/>
              <w:sz w:val="20"/>
              <w:szCs w:val="20"/>
              <w:lang w:val="en-ZA"/>
            </w:rPr>
            <w:t>(7), 783-804.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Abidin, N. (2021). Internal audit quality and disclosure on risk management and internal control. </w:t>
          </w:r>
          <w:r w:rsidRPr="009460DA">
            <w:rPr>
              <w:rFonts w:ascii="Cambria" w:hAnsi="Cambria"/>
              <w:i/>
              <w:iCs/>
              <w:noProof/>
              <w:sz w:val="20"/>
              <w:szCs w:val="20"/>
              <w:lang w:val="en-ZA"/>
            </w:rPr>
            <w:t>International Journal of Business, Economics and Management,</w:t>
          </w:r>
          <w:r w:rsidRPr="009460DA">
            <w:rPr>
              <w:rFonts w:ascii="Cambria" w:hAnsi="Cambria"/>
              <w:iCs/>
              <w:noProof/>
              <w:sz w:val="20"/>
              <w:szCs w:val="20"/>
              <w:lang w:val="en-ZA"/>
            </w:rPr>
            <w:t xml:space="preserve"> 8</w:t>
          </w:r>
          <w:r w:rsidRPr="009460DA">
            <w:rPr>
              <w:rFonts w:ascii="Cambria" w:hAnsi="Cambria"/>
              <w:noProof/>
              <w:sz w:val="20"/>
              <w:szCs w:val="20"/>
              <w:lang w:val="en-ZA"/>
            </w:rPr>
            <w:t>(3), 154-164.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Adams, R. &amp; Ferreira, D. (2009). Women in the boardroom and their impact on governance and performance. </w:t>
          </w:r>
          <w:r w:rsidRPr="009460DA">
            <w:rPr>
              <w:rFonts w:ascii="Cambria" w:hAnsi="Cambria"/>
              <w:i/>
              <w:iCs/>
              <w:noProof/>
              <w:sz w:val="20"/>
              <w:szCs w:val="20"/>
              <w:lang w:val="en-ZA"/>
            </w:rPr>
            <w:t>Journal of Financial Economics,</w:t>
          </w:r>
          <w:r w:rsidRPr="009460DA">
            <w:rPr>
              <w:rFonts w:ascii="Cambria" w:hAnsi="Cambria"/>
              <w:iCs/>
              <w:noProof/>
              <w:sz w:val="20"/>
              <w:szCs w:val="20"/>
              <w:lang w:val="en-ZA"/>
            </w:rPr>
            <w:t xml:space="preserve"> 94</w:t>
          </w:r>
          <w:r w:rsidRPr="009460DA">
            <w:rPr>
              <w:rFonts w:ascii="Cambria" w:hAnsi="Cambria"/>
              <w:noProof/>
              <w:sz w:val="20"/>
              <w:szCs w:val="20"/>
              <w:lang w:val="en-ZA"/>
            </w:rPr>
            <w:t>(2), 291-309.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Ahern, K. &amp; Dittmar, A. (2012). The changing of the boards: The impact on firm valuation of mandated female board representation. </w:t>
          </w:r>
          <w:r w:rsidRPr="009460DA">
            <w:rPr>
              <w:rFonts w:ascii="Cambria" w:hAnsi="Cambria"/>
              <w:i/>
              <w:iCs/>
              <w:noProof/>
              <w:sz w:val="20"/>
              <w:szCs w:val="20"/>
              <w:lang w:val="en-ZA"/>
            </w:rPr>
            <w:t>The Quarterly Journal of Economics,</w:t>
          </w:r>
          <w:r w:rsidRPr="009460DA">
            <w:rPr>
              <w:rFonts w:ascii="Cambria" w:hAnsi="Cambria"/>
              <w:iCs/>
              <w:noProof/>
              <w:sz w:val="20"/>
              <w:szCs w:val="20"/>
              <w:lang w:val="en-ZA"/>
            </w:rPr>
            <w:t xml:space="preserve"> 127</w:t>
          </w:r>
          <w:r w:rsidRPr="009460DA">
            <w:rPr>
              <w:rFonts w:ascii="Cambria" w:hAnsi="Cambria"/>
              <w:noProof/>
              <w:sz w:val="20"/>
              <w:szCs w:val="20"/>
              <w:lang w:val="en-ZA"/>
            </w:rPr>
            <w:t>(1), 137-197.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Ahmadi, A., Nakaa, N. &amp; Bouri, A. (2018). Chief Executive Officer attributes board structures, gender diversity and firm performance among French CAC 40 listed firms. </w:t>
          </w:r>
          <w:r w:rsidRPr="009460DA">
            <w:rPr>
              <w:rFonts w:ascii="Cambria" w:hAnsi="Cambria"/>
              <w:i/>
              <w:iCs/>
              <w:noProof/>
              <w:sz w:val="20"/>
              <w:szCs w:val="20"/>
              <w:lang w:val="en-ZA"/>
            </w:rPr>
            <w:t>Research in International Business and Finance,</w:t>
          </w:r>
          <w:r w:rsidRPr="009460DA">
            <w:rPr>
              <w:rFonts w:ascii="Cambria" w:hAnsi="Cambria"/>
              <w:iCs/>
              <w:noProof/>
              <w:sz w:val="20"/>
              <w:szCs w:val="20"/>
              <w:lang w:val="en-ZA"/>
            </w:rPr>
            <w:t xml:space="preserve"> 44</w:t>
          </w:r>
          <w:r w:rsidRPr="009460DA">
            <w:rPr>
              <w:rFonts w:ascii="Cambria" w:hAnsi="Cambria"/>
              <w:noProof/>
              <w:sz w:val="20"/>
              <w:szCs w:val="20"/>
              <w:lang w:val="en-ZA"/>
            </w:rPr>
            <w:t>, 218-226.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Alaswad, S. &amp; Stanisic, M. (2016). Role of internal audit in performance of Libyan financial organizations. </w:t>
          </w:r>
          <w:r w:rsidRPr="009460DA">
            <w:rPr>
              <w:rFonts w:ascii="Cambria" w:hAnsi="Cambria"/>
              <w:i/>
              <w:iCs/>
              <w:noProof/>
              <w:sz w:val="20"/>
              <w:szCs w:val="20"/>
              <w:lang w:val="en-ZA"/>
            </w:rPr>
            <w:t>International Journal of Applied Research</w:t>
          </w:r>
          <w:r w:rsidRPr="009460DA">
            <w:rPr>
              <w:rFonts w:ascii="Cambria" w:hAnsi="Cambria"/>
              <w:iCs/>
              <w:noProof/>
              <w:sz w:val="20"/>
              <w:szCs w:val="20"/>
              <w:lang w:val="en-ZA"/>
            </w:rPr>
            <w:t>, 2</w:t>
          </w:r>
          <w:r w:rsidRPr="009460DA">
            <w:rPr>
              <w:rFonts w:ascii="Cambria" w:hAnsi="Cambria"/>
              <w:noProof/>
              <w:sz w:val="20"/>
              <w:szCs w:val="20"/>
              <w:lang w:val="en-ZA"/>
            </w:rPr>
            <w:t>(2), 352-356.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Alflahat, M. (2017). The impact of internal audit on organizational performance of selected Jordanian companies. </w:t>
          </w:r>
          <w:r w:rsidRPr="009460DA">
            <w:rPr>
              <w:rFonts w:ascii="Cambria" w:hAnsi="Cambria"/>
              <w:i/>
              <w:iCs/>
              <w:noProof/>
              <w:sz w:val="20"/>
              <w:szCs w:val="20"/>
              <w:lang w:val="en-ZA"/>
            </w:rPr>
            <w:t>International Journal of Multidisciplinary Research and Development,</w:t>
          </w:r>
          <w:r w:rsidRPr="009460DA">
            <w:rPr>
              <w:rFonts w:ascii="Cambria" w:hAnsi="Cambria"/>
              <w:iCs/>
              <w:noProof/>
              <w:sz w:val="20"/>
              <w:szCs w:val="20"/>
              <w:lang w:val="en-ZA"/>
            </w:rPr>
            <w:t xml:space="preserve"> 4</w:t>
          </w:r>
          <w:r w:rsidRPr="009460DA">
            <w:rPr>
              <w:rFonts w:ascii="Cambria" w:hAnsi="Cambria"/>
              <w:noProof/>
              <w:sz w:val="20"/>
              <w:szCs w:val="20"/>
              <w:lang w:val="en-ZA"/>
            </w:rPr>
            <w:t>(8), 285-289.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Al-Matari, E. &amp; Mgammal, M. (2019). The moderating effect of internal audit on the relationship between corporate governance mechanisms and corporate performance among Saudi Arabia listed companies. </w:t>
          </w:r>
          <w:r w:rsidRPr="009460DA">
            <w:rPr>
              <w:rFonts w:ascii="Cambria" w:hAnsi="Cambria"/>
              <w:i/>
              <w:iCs/>
              <w:noProof/>
              <w:sz w:val="20"/>
              <w:szCs w:val="20"/>
              <w:lang w:val="en-ZA"/>
            </w:rPr>
            <w:t>Contaduria y Administracion,</w:t>
          </w:r>
          <w:r w:rsidRPr="009460DA">
            <w:rPr>
              <w:rFonts w:ascii="Cambria" w:hAnsi="Cambria"/>
              <w:iCs/>
              <w:noProof/>
              <w:sz w:val="20"/>
              <w:szCs w:val="20"/>
              <w:lang w:val="en-ZA"/>
            </w:rPr>
            <w:t xml:space="preserve"> 65</w:t>
          </w:r>
          <w:r w:rsidRPr="009460DA">
            <w:rPr>
              <w:rFonts w:ascii="Cambria" w:hAnsi="Cambria"/>
              <w:noProof/>
              <w:sz w:val="20"/>
              <w:szCs w:val="20"/>
              <w:lang w:val="en-ZA"/>
            </w:rPr>
            <w:t>(1), 1-36.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Alsurayyi, A. &amp; Alsughayer, S. (2021). The relationship between corporate governance and firm performance: The effect of internal audit and enterprise resource planning (ERP). </w:t>
          </w:r>
          <w:r w:rsidRPr="009460DA">
            <w:rPr>
              <w:rFonts w:ascii="Cambria" w:hAnsi="Cambria"/>
              <w:i/>
              <w:iCs/>
              <w:noProof/>
              <w:sz w:val="20"/>
              <w:szCs w:val="20"/>
              <w:lang w:val="en-ZA"/>
            </w:rPr>
            <w:t>Open Journal of Accounting,</w:t>
          </w:r>
          <w:r w:rsidRPr="009460DA">
            <w:rPr>
              <w:rFonts w:ascii="Cambria" w:hAnsi="Cambria"/>
              <w:iCs/>
              <w:noProof/>
              <w:sz w:val="20"/>
              <w:szCs w:val="20"/>
              <w:lang w:val="en-ZA"/>
            </w:rPr>
            <w:t xml:space="preserve"> 10</w:t>
          </w:r>
          <w:r w:rsidRPr="009460DA">
            <w:rPr>
              <w:rFonts w:ascii="Cambria" w:hAnsi="Cambria"/>
              <w:noProof/>
              <w:sz w:val="20"/>
              <w:szCs w:val="20"/>
              <w:lang w:val="en-ZA"/>
            </w:rPr>
            <w:t>(2), 56-76.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Alzeban, A. (2021). Internal audit findings, audit committees, and firm performance evidence from the UK. </w:t>
          </w:r>
          <w:r w:rsidRPr="009460DA">
            <w:rPr>
              <w:rFonts w:ascii="Cambria" w:hAnsi="Cambria"/>
              <w:iCs/>
              <w:noProof/>
              <w:sz w:val="20"/>
              <w:szCs w:val="20"/>
              <w:lang w:val="en-ZA"/>
            </w:rPr>
            <w:t>Asia-Pacific Journal of Accounting and Economics</w:t>
          </w:r>
          <w:r w:rsidRPr="009460DA">
            <w:rPr>
              <w:rFonts w:ascii="Cambria" w:hAnsi="Cambria"/>
              <w:noProof/>
              <w:sz w:val="20"/>
              <w:szCs w:val="20"/>
              <w:lang w:val="en-ZA"/>
            </w:rPr>
            <w:t>. doi:10.1080/16081625.2021.1908153</w:t>
          </w:r>
        </w:p>
        <w:p w:rsidR="00653982" w:rsidRPr="009460DA" w:rsidRDefault="0065398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lang w:val="en-ZA"/>
            </w:rPr>
            <w:t xml:space="preserve">Bengrich, M. &amp; El Ghadouia, M. (2020). </w:t>
          </w:r>
          <w:r w:rsidRPr="009460DA">
            <w:rPr>
              <w:rFonts w:ascii="Cambria" w:hAnsi="Cambria"/>
              <w:noProof/>
              <w:sz w:val="20"/>
              <w:szCs w:val="20"/>
            </w:rPr>
            <w:t xml:space="preserve">Etude de l'influence de l'audit interne sur la performance globale des entreprises de la région Souss Massa. </w:t>
          </w:r>
          <w:r w:rsidRPr="009460DA">
            <w:rPr>
              <w:rFonts w:ascii="Cambria" w:hAnsi="Cambria"/>
              <w:i/>
              <w:iCs/>
              <w:noProof/>
              <w:sz w:val="20"/>
              <w:szCs w:val="20"/>
            </w:rPr>
            <w:t>Revue Internationale du Chercheur,</w:t>
          </w:r>
          <w:r w:rsidRPr="009460DA">
            <w:rPr>
              <w:rFonts w:ascii="Cambria" w:hAnsi="Cambria"/>
              <w:iCs/>
              <w:noProof/>
              <w:sz w:val="20"/>
              <w:szCs w:val="20"/>
            </w:rPr>
            <w:t xml:space="preserve"> 1</w:t>
          </w:r>
          <w:r w:rsidRPr="009460DA">
            <w:rPr>
              <w:rFonts w:ascii="Cambria" w:hAnsi="Cambria"/>
              <w:noProof/>
              <w:sz w:val="20"/>
              <w:szCs w:val="20"/>
            </w:rPr>
            <w:t>(2), 98-116.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rPr>
            <w:t xml:space="preserve">Brahma, S., Nwafor, C. &amp; Boateng, A. (2021). </w:t>
          </w:r>
          <w:r w:rsidRPr="009460DA">
            <w:rPr>
              <w:rFonts w:ascii="Cambria" w:hAnsi="Cambria"/>
              <w:noProof/>
              <w:sz w:val="20"/>
              <w:szCs w:val="20"/>
              <w:lang w:val="en-ZA"/>
            </w:rPr>
            <w:t xml:space="preserve">Board gender diversity and firm performance: The UK evidence. </w:t>
          </w:r>
          <w:r w:rsidRPr="009460DA">
            <w:rPr>
              <w:rFonts w:ascii="Cambria" w:hAnsi="Cambria"/>
              <w:i/>
              <w:iCs/>
              <w:noProof/>
              <w:sz w:val="20"/>
              <w:szCs w:val="20"/>
              <w:lang w:val="en-ZA"/>
            </w:rPr>
            <w:t>International Journal of Finance and Economics,</w:t>
          </w:r>
          <w:r w:rsidRPr="009460DA">
            <w:rPr>
              <w:rFonts w:ascii="Cambria" w:hAnsi="Cambria"/>
              <w:iCs/>
              <w:noProof/>
              <w:sz w:val="20"/>
              <w:szCs w:val="20"/>
              <w:lang w:val="en-ZA"/>
            </w:rPr>
            <w:t xml:space="preserve"> 26</w:t>
          </w:r>
          <w:r w:rsidRPr="009460DA">
            <w:rPr>
              <w:rFonts w:ascii="Cambria" w:hAnsi="Cambria"/>
              <w:noProof/>
              <w:sz w:val="20"/>
              <w:szCs w:val="20"/>
              <w:lang w:val="en-ZA"/>
            </w:rPr>
            <w:t>(4), 5704-5719.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Carter, D., Simkins, B. &amp; Simpson, W. (2003). Corporate Governance, Board Diversity, and Firm Value. </w:t>
          </w:r>
          <w:r w:rsidRPr="009460DA">
            <w:rPr>
              <w:rFonts w:ascii="Cambria" w:hAnsi="Cambria"/>
              <w:i/>
              <w:iCs/>
              <w:noProof/>
              <w:sz w:val="20"/>
              <w:szCs w:val="20"/>
              <w:lang w:val="en-ZA"/>
            </w:rPr>
            <w:t>The Financial Review,</w:t>
          </w:r>
          <w:r w:rsidRPr="009460DA">
            <w:rPr>
              <w:rFonts w:ascii="Cambria" w:hAnsi="Cambria"/>
              <w:iCs/>
              <w:noProof/>
              <w:sz w:val="20"/>
              <w:szCs w:val="20"/>
              <w:lang w:val="en-ZA"/>
            </w:rPr>
            <w:t xml:space="preserve"> 38</w:t>
          </w:r>
          <w:r w:rsidRPr="009460DA">
            <w:rPr>
              <w:rFonts w:ascii="Cambria" w:hAnsi="Cambria"/>
              <w:noProof/>
              <w:sz w:val="20"/>
              <w:szCs w:val="20"/>
              <w:lang w:val="en-ZA"/>
            </w:rPr>
            <w:t>(1), 33-53.</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Chatiwong, T., Ussahawanitichakit, P. &amp; Janjarasjit, S. (2016). Proactive internal audit strategy and firm performance: Empirical evidence from Thai-listed firms. </w:t>
          </w:r>
          <w:r w:rsidRPr="009460DA">
            <w:rPr>
              <w:rFonts w:ascii="Cambria" w:hAnsi="Cambria"/>
              <w:i/>
              <w:iCs/>
              <w:noProof/>
              <w:sz w:val="20"/>
              <w:szCs w:val="20"/>
              <w:lang w:val="en-ZA"/>
            </w:rPr>
            <w:t>AU-GSB e Journal,</w:t>
          </w:r>
          <w:r w:rsidRPr="009460DA">
            <w:rPr>
              <w:rFonts w:ascii="Cambria" w:hAnsi="Cambria"/>
              <w:iCs/>
              <w:noProof/>
              <w:sz w:val="20"/>
              <w:szCs w:val="20"/>
              <w:lang w:val="en-ZA"/>
            </w:rPr>
            <w:t xml:space="preserve"> 9</w:t>
          </w:r>
          <w:r w:rsidRPr="009460DA">
            <w:rPr>
              <w:rFonts w:ascii="Cambria" w:hAnsi="Cambria"/>
              <w:noProof/>
              <w:sz w:val="20"/>
              <w:szCs w:val="20"/>
              <w:lang w:val="en-ZA"/>
            </w:rPr>
            <w:t>(1), 3-24.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Chung, K. &amp; Pruitt, S. (1994). A simple approximation of Tobin's Q. </w:t>
          </w:r>
          <w:r w:rsidRPr="009460DA">
            <w:rPr>
              <w:rFonts w:ascii="Cambria" w:hAnsi="Cambria"/>
              <w:i/>
              <w:iCs/>
              <w:noProof/>
              <w:sz w:val="20"/>
              <w:szCs w:val="20"/>
              <w:lang w:val="en-ZA"/>
            </w:rPr>
            <w:t>Financial Management,</w:t>
          </w:r>
          <w:r w:rsidRPr="009460DA">
            <w:rPr>
              <w:rFonts w:ascii="Cambria" w:hAnsi="Cambria"/>
              <w:iCs/>
              <w:noProof/>
              <w:sz w:val="20"/>
              <w:szCs w:val="20"/>
              <w:lang w:val="en-ZA"/>
            </w:rPr>
            <w:t xml:space="preserve"> 23</w:t>
          </w:r>
          <w:r w:rsidRPr="009460DA">
            <w:rPr>
              <w:rFonts w:ascii="Cambria" w:hAnsi="Cambria"/>
              <w:noProof/>
              <w:sz w:val="20"/>
              <w:szCs w:val="20"/>
              <w:lang w:val="en-ZA"/>
            </w:rPr>
            <w:t>(3), 70-74.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Core, J., Guay, W. &amp; Rusticus, T. (2006). Does weak governance cause weak stock returns? An examination of firm operating performance and investor's expectations. </w:t>
          </w:r>
          <w:r w:rsidRPr="009460DA">
            <w:rPr>
              <w:rFonts w:ascii="Cambria" w:hAnsi="Cambria"/>
              <w:i/>
              <w:iCs/>
              <w:noProof/>
              <w:sz w:val="20"/>
              <w:szCs w:val="20"/>
              <w:lang w:val="en-ZA"/>
            </w:rPr>
            <w:t>The Journal of Finance, 61</w:t>
          </w:r>
          <w:r w:rsidRPr="009460DA">
            <w:rPr>
              <w:rFonts w:ascii="Cambria" w:hAnsi="Cambria"/>
              <w:noProof/>
              <w:sz w:val="20"/>
              <w:szCs w:val="20"/>
              <w:lang w:val="en-ZA"/>
            </w:rPr>
            <w:t>(2), 655-687.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Davidson, R., Goodwin-Stewart, J. &amp; Kent, P. (2005). Internal governance structures and earnings management. </w:t>
          </w:r>
          <w:r w:rsidRPr="009460DA">
            <w:rPr>
              <w:rFonts w:ascii="Cambria" w:hAnsi="Cambria"/>
              <w:i/>
              <w:iCs/>
              <w:noProof/>
              <w:sz w:val="20"/>
              <w:szCs w:val="20"/>
              <w:lang w:val="en-ZA"/>
            </w:rPr>
            <w:t xml:space="preserve">Accounting and Finance, </w:t>
          </w:r>
          <w:r w:rsidRPr="009460DA">
            <w:rPr>
              <w:rFonts w:ascii="Cambria" w:hAnsi="Cambria"/>
              <w:iCs/>
              <w:noProof/>
              <w:sz w:val="20"/>
              <w:szCs w:val="20"/>
              <w:lang w:val="en-ZA"/>
            </w:rPr>
            <w:t>45</w:t>
          </w:r>
          <w:r w:rsidRPr="009460DA">
            <w:rPr>
              <w:rFonts w:ascii="Cambria" w:hAnsi="Cambria"/>
              <w:noProof/>
              <w:sz w:val="20"/>
              <w:szCs w:val="20"/>
              <w:lang w:val="en-ZA"/>
            </w:rPr>
            <w:t>(2), 241-267.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Deyganto, K. (2019). Internal audit quality and its impact on public sector organizational performance: Evidence from sector Bureaus of Southern Ethiopia. </w:t>
          </w:r>
          <w:r w:rsidRPr="009460DA">
            <w:rPr>
              <w:rFonts w:ascii="Cambria" w:hAnsi="Cambria"/>
              <w:i/>
              <w:iCs/>
              <w:noProof/>
              <w:sz w:val="20"/>
              <w:szCs w:val="20"/>
              <w:lang w:val="en-ZA"/>
            </w:rPr>
            <w:t>International Journal of Economy, Energy and Environment,</w:t>
          </w:r>
          <w:r w:rsidRPr="009460DA">
            <w:rPr>
              <w:rFonts w:ascii="Cambria" w:hAnsi="Cambria"/>
              <w:iCs/>
              <w:noProof/>
              <w:sz w:val="20"/>
              <w:szCs w:val="20"/>
              <w:lang w:val="en-ZA"/>
            </w:rPr>
            <w:t xml:space="preserve"> 4</w:t>
          </w:r>
          <w:r w:rsidRPr="009460DA">
            <w:rPr>
              <w:rFonts w:ascii="Cambria" w:hAnsi="Cambria"/>
              <w:noProof/>
              <w:sz w:val="20"/>
              <w:szCs w:val="20"/>
              <w:lang w:val="en-ZA"/>
            </w:rPr>
            <w:t>(6), 118-131.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Eagly, A. &amp; Carli, L. (2003). Finding gender advantage and disadvantage: Systematic research integration is the solution. </w:t>
          </w:r>
          <w:r w:rsidRPr="009460DA">
            <w:rPr>
              <w:rFonts w:ascii="Cambria" w:hAnsi="Cambria"/>
              <w:i/>
              <w:iCs/>
              <w:noProof/>
              <w:sz w:val="20"/>
              <w:szCs w:val="20"/>
              <w:lang w:val="en-ZA"/>
            </w:rPr>
            <w:t>The Leadership Quarterly,</w:t>
          </w:r>
          <w:r w:rsidRPr="009460DA">
            <w:rPr>
              <w:rFonts w:ascii="Cambria" w:hAnsi="Cambria"/>
              <w:iCs/>
              <w:noProof/>
              <w:sz w:val="20"/>
              <w:szCs w:val="20"/>
              <w:lang w:val="en-ZA"/>
            </w:rPr>
            <w:t xml:space="preserve"> 14</w:t>
          </w:r>
          <w:r w:rsidRPr="009460DA">
            <w:rPr>
              <w:rFonts w:ascii="Cambria" w:hAnsi="Cambria"/>
              <w:noProof/>
              <w:sz w:val="20"/>
              <w:szCs w:val="20"/>
              <w:lang w:val="en-ZA"/>
            </w:rPr>
            <w:t>(6), 851-859.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Eagly, A., Karau, S. &amp; Makhijani, M. (1995). Gender and the effectiveness of leaders: Ameta-analysis. </w:t>
          </w:r>
          <w:r w:rsidRPr="009460DA">
            <w:rPr>
              <w:rFonts w:ascii="Cambria" w:hAnsi="Cambria"/>
              <w:i/>
              <w:iCs/>
              <w:noProof/>
              <w:sz w:val="20"/>
              <w:szCs w:val="20"/>
              <w:lang w:val="en-ZA"/>
            </w:rPr>
            <w:t>Psychological Bulletin,</w:t>
          </w:r>
          <w:r w:rsidRPr="009460DA">
            <w:rPr>
              <w:rFonts w:ascii="Cambria" w:hAnsi="Cambria"/>
              <w:iCs/>
              <w:noProof/>
              <w:sz w:val="20"/>
              <w:szCs w:val="20"/>
              <w:lang w:val="en-ZA"/>
            </w:rPr>
            <w:t xml:space="preserve"> 117</w:t>
          </w:r>
          <w:r w:rsidRPr="009460DA">
            <w:rPr>
              <w:rFonts w:ascii="Cambria" w:hAnsi="Cambria"/>
              <w:noProof/>
              <w:sz w:val="20"/>
              <w:szCs w:val="20"/>
              <w:lang w:val="en-ZA"/>
            </w:rPr>
            <w:t>(1), 125-145.</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lastRenderedPageBreak/>
            <w:t xml:space="preserve">Ejoh, N. &amp; Ejom, P. (2014). The effect of internal audit function on the financial performance of tertiary institutions in Nigeria. </w:t>
          </w:r>
          <w:r w:rsidRPr="009460DA">
            <w:rPr>
              <w:rFonts w:ascii="Cambria" w:hAnsi="Cambria"/>
              <w:i/>
              <w:iCs/>
              <w:noProof/>
              <w:sz w:val="20"/>
              <w:szCs w:val="20"/>
              <w:lang w:val="en-ZA"/>
            </w:rPr>
            <w:t>International Journal of Economics, Commerce and Management,</w:t>
          </w:r>
          <w:r w:rsidRPr="009460DA">
            <w:rPr>
              <w:rFonts w:ascii="Cambria" w:hAnsi="Cambria"/>
              <w:iCs/>
              <w:noProof/>
              <w:sz w:val="20"/>
              <w:szCs w:val="20"/>
              <w:lang w:val="en-ZA"/>
            </w:rPr>
            <w:t xml:space="preserve"> 2</w:t>
          </w:r>
          <w:r w:rsidRPr="009460DA">
            <w:rPr>
              <w:rFonts w:ascii="Cambria" w:hAnsi="Cambria"/>
              <w:noProof/>
              <w:sz w:val="20"/>
              <w:szCs w:val="20"/>
              <w:lang w:val="en-ZA"/>
            </w:rPr>
            <w:t>(10), 1-14.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Elewa, M. &amp; El-Haddad, R. (2019). The effect of audit quality on firm performance: A panel data approach. </w:t>
          </w:r>
          <w:r w:rsidRPr="009460DA">
            <w:rPr>
              <w:rFonts w:ascii="Cambria" w:hAnsi="Cambria"/>
              <w:i/>
              <w:iCs/>
              <w:noProof/>
              <w:sz w:val="20"/>
              <w:szCs w:val="20"/>
              <w:lang w:val="en-ZA"/>
            </w:rPr>
            <w:t>International Journal of Accounting and Financial Reporting,</w:t>
          </w:r>
          <w:r w:rsidRPr="009460DA">
            <w:rPr>
              <w:rFonts w:ascii="Cambria" w:hAnsi="Cambria"/>
              <w:iCs/>
              <w:noProof/>
              <w:sz w:val="20"/>
              <w:szCs w:val="20"/>
              <w:lang w:val="en-ZA"/>
            </w:rPr>
            <w:t xml:space="preserve"> 9</w:t>
          </w:r>
          <w:r w:rsidRPr="009460DA">
            <w:rPr>
              <w:rFonts w:ascii="Cambria" w:hAnsi="Cambria"/>
              <w:noProof/>
              <w:sz w:val="20"/>
              <w:szCs w:val="20"/>
              <w:lang w:val="en-ZA"/>
            </w:rPr>
            <w:t>(1), 229-244.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Farrell, K. &amp; Hersch, P. (2005). Additions to corporate boards: The effect of gender. </w:t>
          </w:r>
          <w:r w:rsidRPr="009460DA">
            <w:rPr>
              <w:rFonts w:ascii="Cambria" w:hAnsi="Cambria"/>
              <w:i/>
              <w:iCs/>
              <w:noProof/>
              <w:sz w:val="20"/>
              <w:szCs w:val="20"/>
              <w:lang w:val="en-ZA"/>
            </w:rPr>
            <w:t>Journal of Corporate Finance,</w:t>
          </w:r>
          <w:r w:rsidRPr="009460DA">
            <w:rPr>
              <w:rFonts w:ascii="Cambria" w:hAnsi="Cambria"/>
              <w:iCs/>
              <w:noProof/>
              <w:sz w:val="20"/>
              <w:szCs w:val="20"/>
              <w:lang w:val="en-ZA"/>
            </w:rPr>
            <w:t xml:space="preserve"> 11</w:t>
          </w:r>
          <w:r w:rsidRPr="009460DA">
            <w:rPr>
              <w:rFonts w:ascii="Cambria" w:hAnsi="Cambria"/>
              <w:noProof/>
              <w:sz w:val="20"/>
              <w:szCs w:val="20"/>
              <w:lang w:val="en-ZA"/>
            </w:rPr>
            <w:t>(1/2), 85-106.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Glass, C., Cook, A. &amp; Ingersoll, A. (2016). Do women leaders promote sustainability? Analyzing the effect of corporate governance composition on. </w:t>
          </w:r>
          <w:r w:rsidRPr="009460DA">
            <w:rPr>
              <w:rFonts w:ascii="Cambria" w:hAnsi="Cambria"/>
              <w:i/>
              <w:iCs/>
              <w:noProof/>
              <w:sz w:val="20"/>
              <w:szCs w:val="20"/>
              <w:lang w:val="en-ZA"/>
            </w:rPr>
            <w:t>Business Strategy and the Environment</w:t>
          </w:r>
          <w:r w:rsidRPr="009460DA">
            <w:rPr>
              <w:rFonts w:ascii="Cambria" w:hAnsi="Cambria"/>
              <w:iCs/>
              <w:noProof/>
              <w:sz w:val="20"/>
              <w:szCs w:val="20"/>
              <w:lang w:val="en-ZA"/>
            </w:rPr>
            <w:t>, 25</w:t>
          </w:r>
          <w:r w:rsidRPr="009460DA">
            <w:rPr>
              <w:rFonts w:ascii="Cambria" w:hAnsi="Cambria"/>
              <w:noProof/>
              <w:sz w:val="20"/>
              <w:szCs w:val="20"/>
              <w:lang w:val="en-ZA"/>
            </w:rPr>
            <w:t>(7), 495-511.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Gordini, N. &amp; Rancati, E. (2017). Gender diversity in the Italian boardroom and firm financial performance. </w:t>
          </w:r>
          <w:r w:rsidRPr="009460DA">
            <w:rPr>
              <w:rFonts w:ascii="Cambria" w:hAnsi="Cambria"/>
              <w:i/>
              <w:iCs/>
              <w:noProof/>
              <w:sz w:val="20"/>
              <w:szCs w:val="20"/>
              <w:lang w:val="en-ZA"/>
            </w:rPr>
            <w:t>Management Research Review,</w:t>
          </w:r>
          <w:r w:rsidRPr="009460DA">
            <w:rPr>
              <w:rFonts w:ascii="Cambria" w:hAnsi="Cambria"/>
              <w:iCs/>
              <w:noProof/>
              <w:sz w:val="20"/>
              <w:szCs w:val="20"/>
              <w:lang w:val="en-ZA"/>
            </w:rPr>
            <w:t xml:space="preserve"> 40</w:t>
          </w:r>
          <w:r w:rsidRPr="009460DA">
            <w:rPr>
              <w:rFonts w:ascii="Cambria" w:hAnsi="Cambria"/>
              <w:noProof/>
              <w:sz w:val="20"/>
              <w:szCs w:val="20"/>
              <w:lang w:val="en-ZA"/>
            </w:rPr>
            <w:t>(1), 75-94.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Gramling, A., Maletta, M., Arnold, S. &amp; Church, B. (2004). The role of the internal audit function in corporate governance: A synthesis of the extant internal auditing literature and directions for future research. </w:t>
          </w:r>
          <w:r w:rsidRPr="009460DA">
            <w:rPr>
              <w:rFonts w:ascii="Cambria" w:hAnsi="Cambria"/>
              <w:i/>
              <w:iCs/>
              <w:noProof/>
              <w:sz w:val="20"/>
              <w:szCs w:val="20"/>
              <w:lang w:val="en-ZA"/>
            </w:rPr>
            <w:t>Journal of Accounting Literature,</w:t>
          </w:r>
          <w:r w:rsidRPr="009460DA">
            <w:rPr>
              <w:rFonts w:ascii="Cambria" w:hAnsi="Cambria"/>
              <w:iCs/>
              <w:noProof/>
              <w:sz w:val="20"/>
              <w:szCs w:val="20"/>
              <w:lang w:val="en-ZA"/>
            </w:rPr>
            <w:t xml:space="preserve"> 23</w:t>
          </w:r>
          <w:r w:rsidRPr="009460DA">
            <w:rPr>
              <w:rFonts w:ascii="Cambria" w:hAnsi="Cambria"/>
              <w:noProof/>
              <w:sz w:val="20"/>
              <w:szCs w:val="20"/>
              <w:lang w:val="en-ZA"/>
            </w:rPr>
            <w:t>(1), 194-244.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Gujarati, N. (2004). </w:t>
          </w:r>
          <w:r w:rsidRPr="009460DA">
            <w:rPr>
              <w:rFonts w:ascii="Cambria" w:hAnsi="Cambria"/>
              <w:iCs/>
              <w:noProof/>
              <w:sz w:val="20"/>
              <w:szCs w:val="20"/>
              <w:lang w:val="en-ZA"/>
            </w:rPr>
            <w:t>Basic Econometrics.</w:t>
          </w:r>
          <w:r w:rsidRPr="009460DA">
            <w:rPr>
              <w:rFonts w:ascii="Cambria" w:hAnsi="Cambria"/>
              <w:noProof/>
              <w:sz w:val="20"/>
              <w:szCs w:val="20"/>
              <w:lang w:val="en-ZA"/>
            </w:rPr>
            <w:t xml:space="preserve"> New York: The McGraw-Hill.Fourth Ed. Ltd.</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Gujarati, N. &amp; Porter, D. (2009). </w:t>
          </w:r>
          <w:r w:rsidRPr="009460DA">
            <w:rPr>
              <w:rFonts w:ascii="Cambria" w:hAnsi="Cambria"/>
              <w:iCs/>
              <w:noProof/>
              <w:sz w:val="20"/>
              <w:szCs w:val="20"/>
              <w:lang w:val="en-ZA"/>
            </w:rPr>
            <w:t>Basic Econometrics.</w:t>
          </w:r>
          <w:r w:rsidRPr="009460DA">
            <w:rPr>
              <w:rFonts w:ascii="Cambria" w:hAnsi="Cambria"/>
              <w:noProof/>
              <w:sz w:val="20"/>
              <w:szCs w:val="20"/>
              <w:lang w:val="en-ZA"/>
            </w:rPr>
            <w:t xml:space="preserve"> US: The McGraw-Hill. Third Ed. Ltd.</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Haniffa, R. &amp; Hudaib, M. (2006). Corporate governance structure and performance of Malaysian listed companies. </w:t>
          </w:r>
          <w:r w:rsidRPr="009460DA">
            <w:rPr>
              <w:rFonts w:ascii="Cambria" w:hAnsi="Cambria"/>
              <w:i/>
              <w:iCs/>
              <w:noProof/>
              <w:sz w:val="20"/>
              <w:szCs w:val="20"/>
              <w:lang w:val="en-ZA"/>
            </w:rPr>
            <w:t>Journal of Business Finance and Accounting,</w:t>
          </w:r>
          <w:r w:rsidRPr="009460DA">
            <w:rPr>
              <w:rFonts w:ascii="Cambria" w:hAnsi="Cambria"/>
              <w:iCs/>
              <w:noProof/>
              <w:sz w:val="20"/>
              <w:szCs w:val="20"/>
              <w:lang w:val="en-ZA"/>
            </w:rPr>
            <w:t xml:space="preserve"> 33</w:t>
          </w:r>
          <w:r w:rsidRPr="009460DA">
            <w:rPr>
              <w:rFonts w:ascii="Cambria" w:hAnsi="Cambria"/>
              <w:noProof/>
              <w:sz w:val="20"/>
              <w:szCs w:val="20"/>
              <w:lang w:val="en-ZA"/>
            </w:rPr>
            <w:t>(7), 1034-1062.</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Hardies, K. &amp; Khalifa, R. (2018). Gender is not"a dummy variable": a discussion of current gender research in accounting. </w:t>
          </w:r>
          <w:r w:rsidRPr="009460DA">
            <w:rPr>
              <w:rFonts w:ascii="Cambria" w:hAnsi="Cambria"/>
              <w:i/>
              <w:iCs/>
              <w:noProof/>
              <w:sz w:val="20"/>
              <w:szCs w:val="20"/>
              <w:lang w:val="en-ZA"/>
            </w:rPr>
            <w:t>Qualitative Research in Accounting and Management,</w:t>
          </w:r>
          <w:r w:rsidRPr="009460DA">
            <w:rPr>
              <w:rFonts w:ascii="Cambria" w:hAnsi="Cambria"/>
              <w:iCs/>
              <w:noProof/>
              <w:sz w:val="20"/>
              <w:szCs w:val="20"/>
              <w:lang w:val="en-ZA"/>
            </w:rPr>
            <w:t xml:space="preserve"> 15</w:t>
          </w:r>
          <w:r w:rsidRPr="009460DA">
            <w:rPr>
              <w:rFonts w:ascii="Cambria" w:hAnsi="Cambria"/>
              <w:noProof/>
              <w:sz w:val="20"/>
              <w:szCs w:val="20"/>
              <w:lang w:val="en-ZA"/>
            </w:rPr>
            <w:t>(3), 385-407.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Hazaea, S., Tabash, M., Khatib, S., Zhu, J. &amp; Al-Khuali, A. (2020). The impact of internal audit quality on the financial performance of Yemeni commercial banks: An empirical investigation. </w:t>
          </w:r>
          <w:r w:rsidRPr="009460DA">
            <w:rPr>
              <w:rFonts w:ascii="Cambria" w:hAnsi="Cambria"/>
              <w:i/>
              <w:iCs/>
              <w:noProof/>
              <w:sz w:val="20"/>
              <w:szCs w:val="20"/>
              <w:lang w:val="en-ZA"/>
            </w:rPr>
            <w:t>The Journal of Asian Finance, Economics and Business,</w:t>
          </w:r>
          <w:r w:rsidRPr="009460DA">
            <w:rPr>
              <w:rFonts w:ascii="Cambria" w:hAnsi="Cambria"/>
              <w:iCs/>
              <w:noProof/>
              <w:sz w:val="20"/>
              <w:szCs w:val="20"/>
              <w:lang w:val="en-ZA"/>
            </w:rPr>
            <w:t xml:space="preserve"> 7</w:t>
          </w:r>
          <w:r w:rsidRPr="009460DA">
            <w:rPr>
              <w:rFonts w:ascii="Cambria" w:hAnsi="Cambria"/>
              <w:noProof/>
              <w:sz w:val="20"/>
              <w:szCs w:val="20"/>
              <w:lang w:val="en-ZA"/>
            </w:rPr>
            <w:t>(11), 867-875.</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Hazaea, S., Tabash, M., Zhu, J., Khatib, S. &amp; Farhan, N. (2021). Internal audit and financial performance of Yemeni commercial banks: Empirical evidence. </w:t>
          </w:r>
          <w:r w:rsidRPr="009460DA">
            <w:rPr>
              <w:rFonts w:ascii="Cambria" w:hAnsi="Cambria"/>
              <w:i/>
              <w:iCs/>
              <w:noProof/>
              <w:sz w:val="20"/>
              <w:szCs w:val="20"/>
              <w:lang w:val="en-ZA"/>
            </w:rPr>
            <w:t>Banks and Bank Systems,</w:t>
          </w:r>
          <w:r w:rsidRPr="009460DA">
            <w:rPr>
              <w:rFonts w:ascii="Cambria" w:hAnsi="Cambria"/>
              <w:iCs/>
              <w:noProof/>
              <w:sz w:val="20"/>
              <w:szCs w:val="20"/>
              <w:lang w:val="en-ZA"/>
            </w:rPr>
            <w:t xml:space="preserve"> 16</w:t>
          </w:r>
          <w:r w:rsidRPr="009460DA">
            <w:rPr>
              <w:rFonts w:ascii="Cambria" w:hAnsi="Cambria"/>
              <w:noProof/>
              <w:sz w:val="20"/>
              <w:szCs w:val="20"/>
              <w:lang w:val="en-ZA"/>
            </w:rPr>
            <w:t>(2), 137-147.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Helfat, C., Harris, D. &amp; Wolfson, P. (2006). The pipeline to the top: Women and men in the top executive ranks of U.S corporations. </w:t>
          </w:r>
          <w:r w:rsidRPr="009460DA">
            <w:rPr>
              <w:rFonts w:ascii="Cambria" w:hAnsi="Cambria"/>
              <w:i/>
              <w:iCs/>
              <w:noProof/>
              <w:sz w:val="20"/>
              <w:szCs w:val="20"/>
              <w:lang w:val="en-ZA"/>
            </w:rPr>
            <w:t>The Academy of Management Perspectives,</w:t>
          </w:r>
          <w:r w:rsidRPr="009460DA">
            <w:rPr>
              <w:rFonts w:ascii="Cambria" w:hAnsi="Cambria"/>
              <w:iCs/>
              <w:noProof/>
              <w:sz w:val="20"/>
              <w:szCs w:val="20"/>
              <w:lang w:val="en-ZA"/>
            </w:rPr>
            <w:t xml:space="preserve"> 20</w:t>
          </w:r>
          <w:r w:rsidRPr="009460DA">
            <w:rPr>
              <w:rFonts w:ascii="Cambria" w:hAnsi="Cambria"/>
              <w:noProof/>
              <w:sz w:val="20"/>
              <w:szCs w:val="20"/>
              <w:lang w:val="en-ZA"/>
            </w:rPr>
            <w:t>(4), 42-64.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Hutchinson, M. &amp; Zain, M. (2009). Internal audit quality, audit committee independence, growth opportunities and firm performance. </w:t>
          </w:r>
          <w:r w:rsidRPr="009460DA">
            <w:rPr>
              <w:rFonts w:ascii="Cambria" w:hAnsi="Cambria"/>
              <w:i/>
              <w:iCs/>
              <w:noProof/>
              <w:sz w:val="20"/>
              <w:szCs w:val="20"/>
              <w:lang w:val="en-ZA"/>
            </w:rPr>
            <w:t>Corporate Ownership and Control,</w:t>
          </w:r>
          <w:r w:rsidRPr="009460DA">
            <w:rPr>
              <w:rFonts w:ascii="Cambria" w:hAnsi="Cambria"/>
              <w:iCs/>
              <w:noProof/>
              <w:sz w:val="20"/>
              <w:szCs w:val="20"/>
              <w:lang w:val="en-ZA"/>
            </w:rPr>
            <w:t xml:space="preserve"> 7</w:t>
          </w:r>
          <w:r w:rsidRPr="009460DA">
            <w:rPr>
              <w:rFonts w:ascii="Cambria" w:hAnsi="Cambria"/>
              <w:noProof/>
              <w:sz w:val="20"/>
              <w:szCs w:val="20"/>
              <w:lang w:val="en-ZA"/>
            </w:rPr>
            <w:t>(2), 50-63.</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Ifurueze, P., Anichebe, A. &amp; Nkechi, M. (2022). Effect of audit firm size on the market performance of industrial goods companies in Nigeria. </w:t>
          </w:r>
          <w:r w:rsidRPr="009460DA">
            <w:rPr>
              <w:rFonts w:ascii="Cambria" w:hAnsi="Cambria"/>
              <w:i/>
              <w:iCs/>
              <w:noProof/>
              <w:sz w:val="20"/>
              <w:szCs w:val="20"/>
              <w:lang w:val="en-ZA"/>
            </w:rPr>
            <w:t xml:space="preserve">Asian Journal of Advances in Research, </w:t>
          </w:r>
          <w:r w:rsidRPr="009460DA">
            <w:rPr>
              <w:rFonts w:ascii="Cambria" w:hAnsi="Cambria"/>
              <w:iCs/>
              <w:noProof/>
              <w:sz w:val="20"/>
              <w:szCs w:val="20"/>
              <w:lang w:val="en-ZA"/>
            </w:rPr>
            <w:t>17</w:t>
          </w:r>
          <w:r w:rsidRPr="009460DA">
            <w:rPr>
              <w:rFonts w:ascii="Cambria" w:hAnsi="Cambria"/>
              <w:noProof/>
              <w:sz w:val="20"/>
              <w:szCs w:val="20"/>
              <w:lang w:val="en-ZA"/>
            </w:rPr>
            <w:t>(4), 110-118.</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IIA. (1999). </w:t>
          </w:r>
          <w:r w:rsidRPr="009460DA">
            <w:rPr>
              <w:rFonts w:ascii="Cambria" w:hAnsi="Cambria"/>
              <w:iCs/>
              <w:noProof/>
              <w:sz w:val="20"/>
              <w:szCs w:val="20"/>
              <w:lang w:val="en-ZA"/>
            </w:rPr>
            <w:t>Definition of Internal Auditing.</w:t>
          </w:r>
          <w:r w:rsidRPr="009460DA">
            <w:rPr>
              <w:rFonts w:ascii="Cambria" w:hAnsi="Cambria"/>
              <w:noProof/>
              <w:sz w:val="20"/>
              <w:szCs w:val="20"/>
              <w:lang w:val="en-ZA"/>
            </w:rPr>
            <w:t xml:space="preserve"> The Institute of Internal Auditors, Altamonte Springs, FL.</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Ittonen, K. &amp; Peni, E. (2012). Auditor's gender and audit fees. </w:t>
          </w:r>
          <w:r w:rsidRPr="009460DA">
            <w:rPr>
              <w:rFonts w:ascii="Cambria" w:hAnsi="Cambria"/>
              <w:i/>
              <w:iCs/>
              <w:noProof/>
              <w:sz w:val="20"/>
              <w:szCs w:val="20"/>
              <w:lang w:val="en-ZA"/>
            </w:rPr>
            <w:t>International Journal of Auditing,</w:t>
          </w:r>
          <w:r w:rsidRPr="009460DA">
            <w:rPr>
              <w:rFonts w:ascii="Cambria" w:hAnsi="Cambria"/>
              <w:iCs/>
              <w:noProof/>
              <w:sz w:val="20"/>
              <w:szCs w:val="20"/>
              <w:lang w:val="en-ZA"/>
            </w:rPr>
            <w:t xml:space="preserve"> 16</w:t>
          </w:r>
          <w:r w:rsidRPr="009460DA">
            <w:rPr>
              <w:rFonts w:ascii="Cambria" w:hAnsi="Cambria"/>
              <w:noProof/>
              <w:sz w:val="20"/>
              <w:szCs w:val="20"/>
              <w:lang w:val="en-ZA"/>
            </w:rPr>
            <w:t>(1), 1-18.</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Ittonen, K., Vahamaa, E. &amp; Vahamaa, S. (2013). Female auditors and accruals quality. </w:t>
          </w:r>
          <w:r w:rsidRPr="009460DA">
            <w:rPr>
              <w:rFonts w:ascii="Cambria" w:hAnsi="Cambria"/>
              <w:i/>
              <w:iCs/>
              <w:noProof/>
              <w:sz w:val="20"/>
              <w:szCs w:val="20"/>
              <w:lang w:val="en-ZA"/>
            </w:rPr>
            <w:t xml:space="preserve">Accounting Horizon, </w:t>
          </w:r>
          <w:r w:rsidRPr="009460DA">
            <w:rPr>
              <w:rFonts w:ascii="Cambria" w:hAnsi="Cambria"/>
              <w:iCs/>
              <w:noProof/>
              <w:sz w:val="20"/>
              <w:szCs w:val="20"/>
              <w:lang w:val="en-ZA"/>
            </w:rPr>
            <w:t>27</w:t>
          </w:r>
          <w:r w:rsidRPr="009460DA">
            <w:rPr>
              <w:rFonts w:ascii="Cambria" w:hAnsi="Cambria"/>
              <w:noProof/>
              <w:sz w:val="20"/>
              <w:szCs w:val="20"/>
              <w:lang w:val="en-ZA"/>
            </w:rPr>
            <w:t>(2), 205-228.</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Jiang, L., Messier, W. &amp; Wood, D. (2020). The association between internal audit operations-related services and firm operating performance. </w:t>
          </w:r>
          <w:r w:rsidRPr="009460DA">
            <w:rPr>
              <w:rFonts w:ascii="Cambria" w:hAnsi="Cambria"/>
              <w:i/>
              <w:iCs/>
              <w:noProof/>
              <w:sz w:val="20"/>
              <w:szCs w:val="20"/>
              <w:lang w:val="en-ZA"/>
            </w:rPr>
            <w:t xml:space="preserve">Auditing: A journal of practice and Theory, </w:t>
          </w:r>
          <w:r w:rsidRPr="009460DA">
            <w:rPr>
              <w:rFonts w:ascii="Cambria" w:hAnsi="Cambria"/>
              <w:iCs/>
              <w:noProof/>
              <w:sz w:val="20"/>
              <w:szCs w:val="20"/>
              <w:lang w:val="en-ZA"/>
            </w:rPr>
            <w:t>39</w:t>
          </w:r>
          <w:r w:rsidRPr="009460DA">
            <w:rPr>
              <w:rFonts w:ascii="Cambria" w:hAnsi="Cambria"/>
              <w:noProof/>
              <w:sz w:val="20"/>
              <w:szCs w:val="20"/>
              <w:lang w:val="en-ZA"/>
            </w:rPr>
            <w:t>(1), 101-124.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Kiabel, B. (2012). Internal auditing and performance of government enterprises: A Nigerian study. </w:t>
          </w:r>
          <w:r w:rsidRPr="009460DA">
            <w:rPr>
              <w:rFonts w:ascii="Cambria" w:hAnsi="Cambria"/>
              <w:i/>
              <w:iCs/>
              <w:noProof/>
              <w:sz w:val="20"/>
              <w:szCs w:val="20"/>
              <w:lang w:val="en-ZA"/>
            </w:rPr>
            <w:t xml:space="preserve">Global Journal of Management and Business Research, </w:t>
          </w:r>
          <w:r w:rsidRPr="009460DA">
            <w:rPr>
              <w:rFonts w:ascii="Cambria" w:hAnsi="Cambria"/>
              <w:iCs/>
              <w:noProof/>
              <w:sz w:val="20"/>
              <w:szCs w:val="20"/>
              <w:lang w:val="en-ZA"/>
            </w:rPr>
            <w:t>12</w:t>
          </w:r>
          <w:r w:rsidRPr="009460DA">
            <w:rPr>
              <w:rFonts w:ascii="Cambria" w:hAnsi="Cambria"/>
              <w:noProof/>
              <w:sz w:val="20"/>
              <w:szCs w:val="20"/>
              <w:lang w:val="en-ZA"/>
            </w:rPr>
            <w:t>(6), 1-17.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Kim, D. &amp; Starks, L. (2016). Gender diversity on corporate boards: Do women contribute unique skills? </w:t>
          </w:r>
          <w:r w:rsidRPr="009460DA">
            <w:rPr>
              <w:rFonts w:ascii="Cambria" w:hAnsi="Cambria"/>
              <w:i/>
              <w:iCs/>
              <w:noProof/>
              <w:sz w:val="20"/>
              <w:szCs w:val="20"/>
              <w:lang w:val="en-ZA"/>
            </w:rPr>
            <w:t xml:space="preserve">American Economic Review, </w:t>
          </w:r>
          <w:r w:rsidRPr="009460DA">
            <w:rPr>
              <w:rFonts w:ascii="Cambria" w:hAnsi="Cambria"/>
              <w:iCs/>
              <w:noProof/>
              <w:sz w:val="20"/>
              <w:szCs w:val="20"/>
              <w:lang w:val="en-ZA"/>
            </w:rPr>
            <w:t>106</w:t>
          </w:r>
          <w:r w:rsidRPr="009460DA">
            <w:rPr>
              <w:rFonts w:ascii="Cambria" w:hAnsi="Cambria"/>
              <w:noProof/>
              <w:sz w:val="20"/>
              <w:szCs w:val="20"/>
              <w:lang w:val="en-ZA"/>
            </w:rPr>
            <w:t>(5), 267-271.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Liu, Y., Wei, Z. &amp; Xie, F. (2014). Do women directors improve firm performance in China? </w:t>
          </w:r>
          <w:r w:rsidRPr="009460DA">
            <w:rPr>
              <w:rFonts w:ascii="Cambria" w:hAnsi="Cambria"/>
              <w:i/>
              <w:iCs/>
              <w:noProof/>
              <w:sz w:val="20"/>
              <w:szCs w:val="20"/>
              <w:lang w:val="en-ZA"/>
            </w:rPr>
            <w:t>Journal of Corporate Finance,</w:t>
          </w:r>
          <w:r w:rsidRPr="009460DA">
            <w:rPr>
              <w:rFonts w:ascii="Cambria" w:hAnsi="Cambria"/>
              <w:iCs/>
              <w:noProof/>
              <w:sz w:val="20"/>
              <w:szCs w:val="20"/>
              <w:lang w:val="en-ZA"/>
            </w:rPr>
            <w:t xml:space="preserve"> 28</w:t>
          </w:r>
          <w:r w:rsidRPr="009460DA">
            <w:rPr>
              <w:rFonts w:ascii="Cambria" w:hAnsi="Cambria"/>
              <w:noProof/>
              <w:sz w:val="20"/>
              <w:szCs w:val="20"/>
              <w:lang w:val="en-ZA"/>
            </w:rPr>
            <w:t>(C), 169-184.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Muchiri, N. &amp; Jagongo, A. (2017). Internal auditing and financial performance of public institutions in Kenya: A case study of Kenya Meat Commission. </w:t>
          </w:r>
          <w:r w:rsidRPr="009460DA">
            <w:rPr>
              <w:rFonts w:ascii="Cambria" w:hAnsi="Cambria"/>
              <w:i/>
              <w:iCs/>
              <w:noProof/>
              <w:sz w:val="20"/>
              <w:szCs w:val="20"/>
              <w:lang w:val="en-ZA"/>
            </w:rPr>
            <w:t>African Journal of Business Management,</w:t>
          </w:r>
          <w:r w:rsidRPr="009460DA">
            <w:rPr>
              <w:rFonts w:ascii="Cambria" w:hAnsi="Cambria"/>
              <w:iCs/>
              <w:noProof/>
              <w:sz w:val="20"/>
              <w:szCs w:val="20"/>
              <w:lang w:val="en-ZA"/>
            </w:rPr>
            <w:t xml:space="preserve"> 11</w:t>
          </w:r>
          <w:r w:rsidRPr="009460DA">
            <w:rPr>
              <w:rFonts w:ascii="Cambria" w:hAnsi="Cambria"/>
              <w:noProof/>
              <w:sz w:val="20"/>
              <w:szCs w:val="20"/>
              <w:lang w:val="en-ZA"/>
            </w:rPr>
            <w:t>(8), 168-174.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Nekhili, M., Javed, F. &amp; Nagati, H. (2022). Audit partner gender, leadership and ethics: The case of earnings management. </w:t>
          </w:r>
          <w:r w:rsidRPr="009460DA">
            <w:rPr>
              <w:rFonts w:ascii="Cambria" w:hAnsi="Cambria"/>
              <w:i/>
              <w:iCs/>
              <w:noProof/>
              <w:sz w:val="20"/>
              <w:szCs w:val="20"/>
              <w:lang w:val="en-ZA"/>
            </w:rPr>
            <w:t>Journal of Business Ethics,</w:t>
          </w:r>
          <w:r w:rsidRPr="009460DA">
            <w:rPr>
              <w:rFonts w:ascii="Cambria" w:hAnsi="Cambria"/>
              <w:iCs/>
              <w:noProof/>
              <w:sz w:val="20"/>
              <w:szCs w:val="20"/>
              <w:lang w:val="en-ZA"/>
            </w:rPr>
            <w:t xml:space="preserve"> 177</w:t>
          </w:r>
          <w:r w:rsidRPr="009460DA">
            <w:rPr>
              <w:rFonts w:ascii="Cambria" w:hAnsi="Cambria"/>
              <w:noProof/>
              <w:sz w:val="20"/>
              <w:szCs w:val="20"/>
              <w:lang w:val="en-ZA"/>
            </w:rPr>
            <w:t>, 233-260.</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Nelson, J. (1996). </w:t>
          </w:r>
          <w:r w:rsidRPr="009460DA">
            <w:rPr>
              <w:rFonts w:ascii="Cambria" w:hAnsi="Cambria"/>
              <w:iCs/>
              <w:noProof/>
              <w:sz w:val="20"/>
              <w:szCs w:val="20"/>
              <w:lang w:val="en-ZA"/>
            </w:rPr>
            <w:t>Feminism, Objectivity 0and Economics.</w:t>
          </w:r>
          <w:r w:rsidRPr="009460DA">
            <w:rPr>
              <w:rFonts w:ascii="Cambria" w:hAnsi="Cambria"/>
              <w:noProof/>
              <w:sz w:val="20"/>
              <w:szCs w:val="20"/>
              <w:lang w:val="en-ZA"/>
            </w:rPr>
            <w:t xml:space="preserve"> Routledge, London.</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Newman, W. &amp; Comfort, M. (2018). Investigating the value creation of internal audit and its impact on company performance. </w:t>
          </w:r>
          <w:r w:rsidRPr="009460DA">
            <w:rPr>
              <w:rFonts w:ascii="Cambria" w:hAnsi="Cambria"/>
              <w:i/>
              <w:iCs/>
              <w:noProof/>
              <w:sz w:val="20"/>
              <w:szCs w:val="20"/>
              <w:lang w:val="en-ZA"/>
            </w:rPr>
            <w:t xml:space="preserve">Academy of Entrepreneurship Journal, </w:t>
          </w:r>
          <w:r w:rsidRPr="009460DA">
            <w:rPr>
              <w:rFonts w:ascii="Cambria" w:hAnsi="Cambria"/>
              <w:iCs/>
              <w:noProof/>
              <w:sz w:val="20"/>
              <w:szCs w:val="20"/>
              <w:lang w:val="en-ZA"/>
            </w:rPr>
            <w:t>24</w:t>
          </w:r>
          <w:r w:rsidRPr="009460DA">
            <w:rPr>
              <w:rFonts w:ascii="Cambria" w:hAnsi="Cambria"/>
              <w:noProof/>
              <w:sz w:val="20"/>
              <w:szCs w:val="20"/>
              <w:lang w:val="en-ZA"/>
            </w:rPr>
            <w:t>(3), 1-21.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Oussii, A. &amp; Klibi, M. (2019). Does the chief audit executive gender matter to internal audit effectiveness? Evidence from Tunisia. </w:t>
          </w:r>
          <w:r w:rsidRPr="009460DA">
            <w:rPr>
              <w:rFonts w:ascii="Cambria" w:hAnsi="Cambria"/>
              <w:i/>
              <w:iCs/>
              <w:noProof/>
              <w:sz w:val="20"/>
              <w:szCs w:val="20"/>
              <w:lang w:val="en-ZA"/>
            </w:rPr>
            <w:t>African Journal of Economic and Management Studies,</w:t>
          </w:r>
          <w:r w:rsidRPr="009460DA">
            <w:rPr>
              <w:rFonts w:ascii="Cambria" w:hAnsi="Cambria"/>
              <w:iCs/>
              <w:noProof/>
              <w:sz w:val="20"/>
              <w:szCs w:val="20"/>
              <w:lang w:val="en-ZA"/>
            </w:rPr>
            <w:t xml:space="preserve"> 10</w:t>
          </w:r>
          <w:r w:rsidRPr="009460DA">
            <w:rPr>
              <w:rFonts w:ascii="Cambria" w:hAnsi="Cambria"/>
              <w:noProof/>
              <w:sz w:val="20"/>
              <w:szCs w:val="20"/>
              <w:lang w:val="en-ZA"/>
            </w:rPr>
            <w:t>(4), 424-439.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rPr>
            <w:t xml:space="preserve">Pizzini, M., Lin, S., Vargus, M. &amp; Ziegenfuss, D. (2015). </w:t>
          </w:r>
          <w:r w:rsidRPr="009460DA">
            <w:rPr>
              <w:rFonts w:ascii="Cambria" w:hAnsi="Cambria"/>
              <w:noProof/>
              <w:sz w:val="20"/>
              <w:szCs w:val="20"/>
              <w:lang w:val="en-ZA"/>
            </w:rPr>
            <w:t xml:space="preserve">The impact of internal audit function quality and contribution on audit delays. </w:t>
          </w:r>
          <w:r w:rsidRPr="009460DA">
            <w:rPr>
              <w:rFonts w:ascii="Cambria" w:hAnsi="Cambria"/>
              <w:i/>
              <w:iCs/>
              <w:noProof/>
              <w:sz w:val="20"/>
              <w:szCs w:val="20"/>
              <w:lang w:val="en-ZA"/>
            </w:rPr>
            <w:t>Auditing: A Journal of Practice and Theory,</w:t>
          </w:r>
          <w:r w:rsidRPr="009460DA">
            <w:rPr>
              <w:rFonts w:ascii="Cambria" w:hAnsi="Cambria"/>
              <w:iCs/>
              <w:noProof/>
              <w:sz w:val="20"/>
              <w:szCs w:val="20"/>
              <w:lang w:val="en-ZA"/>
            </w:rPr>
            <w:t xml:space="preserve"> 34</w:t>
          </w:r>
          <w:r w:rsidRPr="009460DA">
            <w:rPr>
              <w:rFonts w:ascii="Cambria" w:hAnsi="Cambria"/>
              <w:noProof/>
              <w:sz w:val="20"/>
              <w:szCs w:val="20"/>
              <w:lang w:val="en-ZA"/>
            </w:rPr>
            <w:t>(1), 25-58.</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Post, C. &amp; Byron, K. (2015). Women on boards and firm financial performance: A meta-analysis. </w:t>
          </w:r>
          <w:r w:rsidRPr="009460DA">
            <w:rPr>
              <w:rFonts w:ascii="Cambria" w:hAnsi="Cambria"/>
              <w:i/>
              <w:iCs/>
              <w:noProof/>
              <w:sz w:val="20"/>
              <w:szCs w:val="20"/>
              <w:lang w:val="en-ZA"/>
            </w:rPr>
            <w:t>Academy of Management Journal,</w:t>
          </w:r>
          <w:r w:rsidRPr="009460DA">
            <w:rPr>
              <w:rFonts w:ascii="Cambria" w:hAnsi="Cambria"/>
              <w:iCs/>
              <w:noProof/>
              <w:sz w:val="20"/>
              <w:szCs w:val="20"/>
              <w:lang w:val="en-ZA"/>
            </w:rPr>
            <w:t xml:space="preserve"> 58</w:t>
          </w:r>
          <w:r w:rsidRPr="009460DA">
            <w:rPr>
              <w:rFonts w:ascii="Cambria" w:hAnsi="Cambria"/>
              <w:noProof/>
              <w:sz w:val="20"/>
              <w:szCs w:val="20"/>
              <w:lang w:val="en-ZA"/>
            </w:rPr>
            <w:t>(5), 1546-1571.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lastRenderedPageBreak/>
            <w:t xml:space="preserve">Postula, M., Irodenko, O. &amp; Dubel, P. (2020). Internal audit as a tool to improve the efficiency of public service. </w:t>
          </w:r>
          <w:r w:rsidRPr="009460DA">
            <w:rPr>
              <w:rFonts w:ascii="Cambria" w:hAnsi="Cambria"/>
              <w:i/>
              <w:iCs/>
              <w:noProof/>
              <w:sz w:val="20"/>
              <w:szCs w:val="20"/>
              <w:lang w:val="en-ZA"/>
            </w:rPr>
            <w:t xml:space="preserve">European Research Studies Journal, </w:t>
          </w:r>
          <w:r w:rsidRPr="009460DA">
            <w:rPr>
              <w:rFonts w:ascii="Cambria" w:hAnsi="Cambria"/>
              <w:noProof/>
              <w:sz w:val="20"/>
              <w:szCs w:val="20"/>
              <w:lang w:val="en-ZA"/>
            </w:rPr>
            <w:t>(3), 699-715.</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Prawitt, D., Smith, J. &amp; Wood, D. (2009). Internal audit quality and earnings management. </w:t>
          </w:r>
          <w:r w:rsidRPr="009460DA">
            <w:rPr>
              <w:rFonts w:ascii="Cambria" w:hAnsi="Cambria"/>
              <w:i/>
              <w:iCs/>
              <w:noProof/>
              <w:sz w:val="20"/>
              <w:szCs w:val="20"/>
              <w:lang w:val="en-ZA"/>
            </w:rPr>
            <w:t xml:space="preserve">The Accounting Review, </w:t>
          </w:r>
          <w:r w:rsidRPr="009460DA">
            <w:rPr>
              <w:rFonts w:ascii="Cambria" w:hAnsi="Cambria"/>
              <w:iCs/>
              <w:noProof/>
              <w:sz w:val="20"/>
              <w:szCs w:val="20"/>
              <w:lang w:val="en-ZA"/>
            </w:rPr>
            <w:t>84</w:t>
          </w:r>
          <w:r w:rsidRPr="009460DA">
            <w:rPr>
              <w:rFonts w:ascii="Cambria" w:hAnsi="Cambria"/>
              <w:noProof/>
              <w:sz w:val="20"/>
              <w:szCs w:val="20"/>
              <w:lang w:val="en-ZA"/>
            </w:rPr>
            <w:t>(4), 1255-1280.</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Qian, G. &amp; Li, L. (2003). Profitability of small and medium-sized enterprises in high tech industries: The case of the biotechnology industry. </w:t>
          </w:r>
          <w:r w:rsidRPr="009460DA">
            <w:rPr>
              <w:rFonts w:ascii="Cambria" w:hAnsi="Cambria"/>
              <w:i/>
              <w:iCs/>
              <w:noProof/>
              <w:sz w:val="20"/>
              <w:szCs w:val="20"/>
              <w:lang w:val="en-ZA"/>
            </w:rPr>
            <w:t xml:space="preserve">Strategic Management Journal, </w:t>
          </w:r>
          <w:r w:rsidRPr="009460DA">
            <w:rPr>
              <w:rFonts w:ascii="Cambria" w:hAnsi="Cambria"/>
              <w:iCs/>
              <w:noProof/>
              <w:sz w:val="20"/>
              <w:szCs w:val="20"/>
              <w:lang w:val="en-ZA"/>
            </w:rPr>
            <w:t>24</w:t>
          </w:r>
          <w:r w:rsidRPr="009460DA">
            <w:rPr>
              <w:rFonts w:ascii="Cambria" w:hAnsi="Cambria"/>
              <w:noProof/>
              <w:sz w:val="20"/>
              <w:szCs w:val="20"/>
              <w:lang w:val="en-ZA"/>
            </w:rPr>
            <w:t>(9), 881-887.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Qian, L., Norazlin, A., Irene, W., Cheng, Z. &amp; Hasahudin, B. (2019). Board gender diversity, board independence and firm performance in Malaysia. </w:t>
          </w:r>
          <w:r w:rsidRPr="009460DA">
            <w:rPr>
              <w:rFonts w:ascii="Cambria" w:hAnsi="Cambria"/>
              <w:i/>
              <w:iCs/>
              <w:noProof/>
              <w:sz w:val="20"/>
              <w:szCs w:val="20"/>
              <w:lang w:val="en-ZA"/>
            </w:rPr>
            <w:t>Institutions and Economies,</w:t>
          </w:r>
          <w:r w:rsidRPr="009460DA">
            <w:rPr>
              <w:rFonts w:ascii="Cambria" w:hAnsi="Cambria"/>
              <w:iCs/>
              <w:noProof/>
              <w:sz w:val="20"/>
              <w:szCs w:val="20"/>
              <w:lang w:val="en-ZA"/>
            </w:rPr>
            <w:t xml:space="preserve"> 11</w:t>
          </w:r>
          <w:r w:rsidRPr="009460DA">
            <w:rPr>
              <w:rFonts w:ascii="Cambria" w:hAnsi="Cambria"/>
              <w:noProof/>
              <w:sz w:val="20"/>
              <w:szCs w:val="20"/>
              <w:lang w:val="en-ZA"/>
            </w:rPr>
            <w:t>(1), 1-20.</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Rahim, S., Wahyuni, N., Anzhari, A. &amp; Karim, A. (2022). Determination of audit quality: auditor gender stereotype study in South Sulawesi, Indonesia. </w:t>
          </w:r>
          <w:r w:rsidRPr="009460DA">
            <w:rPr>
              <w:rFonts w:ascii="Cambria" w:hAnsi="Cambria"/>
              <w:i/>
              <w:iCs/>
              <w:noProof/>
              <w:sz w:val="20"/>
              <w:szCs w:val="20"/>
              <w:lang w:val="en-ZA"/>
            </w:rPr>
            <w:t>Journal of Positive Schook Psychology,</w:t>
          </w:r>
          <w:r w:rsidRPr="009460DA">
            <w:rPr>
              <w:rFonts w:ascii="Cambria" w:hAnsi="Cambria"/>
              <w:iCs/>
              <w:noProof/>
              <w:sz w:val="20"/>
              <w:szCs w:val="20"/>
              <w:lang w:val="en-ZA"/>
            </w:rPr>
            <w:t xml:space="preserve"> 6</w:t>
          </w:r>
          <w:r w:rsidRPr="009460DA">
            <w:rPr>
              <w:rFonts w:ascii="Cambria" w:hAnsi="Cambria"/>
              <w:noProof/>
              <w:sz w:val="20"/>
              <w:szCs w:val="20"/>
              <w:lang w:val="en-ZA"/>
            </w:rPr>
            <w:t>(11), 569-586.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Richardson, G., Taylor, G. &amp; Lanis, R. (2013). Determinants of transfer pricing aggressiveness: Empirical evidence from Australian firms. </w:t>
          </w:r>
          <w:r w:rsidRPr="009460DA">
            <w:rPr>
              <w:rFonts w:ascii="Cambria" w:hAnsi="Cambria"/>
              <w:i/>
              <w:iCs/>
              <w:noProof/>
              <w:sz w:val="20"/>
              <w:szCs w:val="20"/>
              <w:lang w:val="en-ZA"/>
            </w:rPr>
            <w:t>Journal of Contemporary Accounting and Economics,</w:t>
          </w:r>
          <w:r w:rsidRPr="009460DA">
            <w:rPr>
              <w:rFonts w:ascii="Cambria" w:hAnsi="Cambria"/>
              <w:iCs/>
              <w:noProof/>
              <w:sz w:val="20"/>
              <w:szCs w:val="20"/>
              <w:lang w:val="en-ZA"/>
            </w:rPr>
            <w:t xml:space="preserve"> 9</w:t>
          </w:r>
          <w:r w:rsidRPr="009460DA">
            <w:rPr>
              <w:rFonts w:ascii="Cambria" w:hAnsi="Cambria"/>
              <w:noProof/>
              <w:sz w:val="20"/>
              <w:szCs w:val="20"/>
              <w:lang w:val="en-ZA"/>
            </w:rPr>
            <w:t>(2), 136-150.</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Robinson, G. &amp; Dechant. (1997). Building a business case for diversity. </w:t>
          </w:r>
          <w:r w:rsidRPr="009460DA">
            <w:rPr>
              <w:rFonts w:ascii="Cambria" w:hAnsi="Cambria"/>
              <w:i/>
              <w:iCs/>
              <w:noProof/>
              <w:sz w:val="20"/>
              <w:szCs w:val="20"/>
              <w:lang w:val="en-ZA"/>
            </w:rPr>
            <w:t xml:space="preserve">Academy of Management Executive, </w:t>
          </w:r>
          <w:r w:rsidRPr="009460DA">
            <w:rPr>
              <w:rFonts w:ascii="Cambria" w:hAnsi="Cambria"/>
              <w:iCs/>
              <w:noProof/>
              <w:sz w:val="20"/>
              <w:szCs w:val="20"/>
              <w:lang w:val="en-ZA"/>
            </w:rPr>
            <w:t>11</w:t>
          </w:r>
          <w:r w:rsidRPr="009460DA">
            <w:rPr>
              <w:rFonts w:ascii="Cambria" w:hAnsi="Cambria"/>
              <w:noProof/>
              <w:sz w:val="20"/>
              <w:szCs w:val="20"/>
              <w:lang w:val="en-ZA"/>
            </w:rPr>
            <w:t>(3), 21-31.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Sabatier, M. (2015). A women's boom in the boardroom: Effects on performance? </w:t>
          </w:r>
          <w:r w:rsidRPr="009460DA">
            <w:rPr>
              <w:rFonts w:ascii="Cambria" w:hAnsi="Cambria"/>
              <w:i/>
              <w:iCs/>
              <w:noProof/>
              <w:sz w:val="20"/>
              <w:szCs w:val="20"/>
              <w:lang w:val="en-ZA"/>
            </w:rPr>
            <w:t xml:space="preserve">Applied Economics, </w:t>
          </w:r>
          <w:r w:rsidRPr="009460DA">
            <w:rPr>
              <w:rFonts w:ascii="Cambria" w:hAnsi="Cambria"/>
              <w:iCs/>
              <w:noProof/>
              <w:sz w:val="20"/>
              <w:szCs w:val="20"/>
              <w:lang w:val="en-ZA"/>
            </w:rPr>
            <w:t>47</w:t>
          </w:r>
          <w:r w:rsidRPr="009460DA">
            <w:rPr>
              <w:rFonts w:ascii="Cambria" w:hAnsi="Cambria"/>
              <w:noProof/>
              <w:sz w:val="20"/>
              <w:szCs w:val="20"/>
              <w:lang w:val="en-ZA"/>
            </w:rPr>
            <w:t>(26), 2717-2727.</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Sarens, G. &amp; Abdolmohammdi, M. (2011). Monitoring effects of the internal audit function: agency theory versus other explanatory variables. </w:t>
          </w:r>
          <w:r w:rsidRPr="009460DA">
            <w:rPr>
              <w:rFonts w:ascii="Cambria" w:hAnsi="Cambria"/>
              <w:i/>
              <w:iCs/>
              <w:noProof/>
              <w:sz w:val="20"/>
              <w:szCs w:val="20"/>
              <w:lang w:val="en-ZA"/>
            </w:rPr>
            <w:t>International Journal of Auditing,</w:t>
          </w:r>
          <w:r w:rsidRPr="009460DA">
            <w:rPr>
              <w:rFonts w:ascii="Cambria" w:hAnsi="Cambria"/>
              <w:iCs/>
              <w:noProof/>
              <w:sz w:val="20"/>
              <w:szCs w:val="20"/>
              <w:lang w:val="en-ZA"/>
            </w:rPr>
            <w:t xml:space="preserve"> 15</w:t>
          </w:r>
          <w:r w:rsidRPr="009460DA">
            <w:rPr>
              <w:rFonts w:ascii="Cambria" w:hAnsi="Cambria"/>
              <w:noProof/>
              <w:sz w:val="20"/>
              <w:szCs w:val="20"/>
              <w:lang w:val="en-ZA"/>
            </w:rPr>
            <w:t>(1), 1-20.</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Seierstad, C. (2016). Beyond the business case: The need for both utility and justice rationales for increasing the share of women on boards. </w:t>
          </w:r>
          <w:r w:rsidRPr="009460DA">
            <w:rPr>
              <w:rFonts w:ascii="Cambria" w:hAnsi="Cambria"/>
              <w:i/>
              <w:iCs/>
              <w:noProof/>
              <w:sz w:val="20"/>
              <w:szCs w:val="20"/>
              <w:lang w:val="en-ZA"/>
            </w:rPr>
            <w:t xml:space="preserve">Corporate Governance, </w:t>
          </w:r>
          <w:r w:rsidRPr="009460DA">
            <w:rPr>
              <w:rFonts w:ascii="Cambria" w:hAnsi="Cambria"/>
              <w:iCs/>
              <w:noProof/>
              <w:sz w:val="20"/>
              <w:szCs w:val="20"/>
              <w:lang w:val="en-ZA"/>
            </w:rPr>
            <w:t>24</w:t>
          </w:r>
          <w:r w:rsidRPr="009460DA">
            <w:rPr>
              <w:rFonts w:ascii="Cambria" w:hAnsi="Cambria"/>
              <w:noProof/>
              <w:sz w:val="20"/>
              <w:szCs w:val="20"/>
              <w:lang w:val="en-ZA"/>
            </w:rPr>
            <w:t>(4), 390-405.</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Soare, T., Detilleux, C. &amp; Deschacht, N. (2022). The impact of the gender composition of company boards on firm performance. </w:t>
          </w:r>
          <w:r w:rsidRPr="009460DA">
            <w:rPr>
              <w:rFonts w:ascii="Cambria" w:hAnsi="Cambria"/>
              <w:i/>
              <w:iCs/>
              <w:noProof/>
              <w:sz w:val="20"/>
              <w:szCs w:val="20"/>
              <w:lang w:val="en-ZA"/>
            </w:rPr>
            <w:t>International Journal of Productivity and Performance Management,</w:t>
          </w:r>
          <w:r w:rsidRPr="009460DA">
            <w:rPr>
              <w:rFonts w:ascii="Cambria" w:hAnsi="Cambria"/>
              <w:iCs/>
              <w:noProof/>
              <w:sz w:val="20"/>
              <w:szCs w:val="20"/>
              <w:lang w:val="en-ZA"/>
            </w:rPr>
            <w:t xml:space="preserve"> 71</w:t>
          </w:r>
          <w:r w:rsidRPr="009460DA">
            <w:rPr>
              <w:rFonts w:ascii="Cambria" w:hAnsi="Cambria"/>
              <w:noProof/>
              <w:sz w:val="20"/>
              <w:szCs w:val="20"/>
              <w:lang w:val="en-ZA"/>
            </w:rPr>
            <w:t>(5), 1611-1624.</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Subhi, A. &amp; Stanisic, M. (2016). Role of internal audit in performance of Libyan financial organizations. </w:t>
          </w:r>
          <w:r w:rsidRPr="009460DA">
            <w:rPr>
              <w:rFonts w:ascii="Cambria" w:hAnsi="Cambria"/>
              <w:i/>
              <w:iCs/>
              <w:noProof/>
              <w:sz w:val="20"/>
              <w:szCs w:val="20"/>
              <w:lang w:val="en-ZA"/>
            </w:rPr>
            <w:t xml:space="preserve">International Journal of Applied Research, </w:t>
          </w:r>
          <w:r w:rsidRPr="009460DA">
            <w:rPr>
              <w:rFonts w:ascii="Cambria" w:hAnsi="Cambria"/>
              <w:iCs/>
              <w:noProof/>
              <w:sz w:val="20"/>
              <w:szCs w:val="20"/>
              <w:lang w:val="en-ZA"/>
            </w:rPr>
            <w:t>2</w:t>
          </w:r>
          <w:r w:rsidRPr="009460DA">
            <w:rPr>
              <w:rFonts w:ascii="Cambria" w:hAnsi="Cambria"/>
              <w:noProof/>
              <w:sz w:val="20"/>
              <w:szCs w:val="20"/>
              <w:lang w:val="en-ZA"/>
            </w:rPr>
            <w:t>(2), 352-356.</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Talab, H., Abdul Manaf, K. &amp; Siti Seri, D. (2018). Internal audit function, ownership structure and firm performance in Iraq. </w:t>
          </w:r>
          <w:r w:rsidRPr="009460DA">
            <w:rPr>
              <w:rFonts w:ascii="Cambria" w:hAnsi="Cambria"/>
              <w:i/>
              <w:iCs/>
              <w:noProof/>
              <w:sz w:val="20"/>
              <w:szCs w:val="20"/>
              <w:lang w:val="en-ZA"/>
            </w:rPr>
            <w:t>Journal of Engineering and Applied Sciences,</w:t>
          </w:r>
          <w:r w:rsidRPr="009460DA">
            <w:rPr>
              <w:rFonts w:ascii="Cambria" w:hAnsi="Cambria"/>
              <w:iCs/>
              <w:noProof/>
              <w:sz w:val="20"/>
              <w:szCs w:val="20"/>
              <w:lang w:val="en-ZA"/>
            </w:rPr>
            <w:t xml:space="preserve"> 13</w:t>
          </w:r>
          <w:r w:rsidRPr="009460DA">
            <w:rPr>
              <w:rFonts w:ascii="Cambria" w:hAnsi="Cambria"/>
              <w:noProof/>
              <w:sz w:val="20"/>
              <w:szCs w:val="20"/>
              <w:lang w:val="en-ZA"/>
            </w:rPr>
            <w:t>(8), 2098-2102.</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Ud Din, N., Cheng, X., Ahmad, B. &amp; Sheikh, M. (2021). Gender diversity in the audit committee and the efficiency of internal control and financial reporting quality. </w:t>
          </w:r>
          <w:r w:rsidRPr="009460DA">
            <w:rPr>
              <w:rFonts w:ascii="Cambria" w:hAnsi="Cambria"/>
              <w:i/>
              <w:iCs/>
              <w:noProof/>
              <w:sz w:val="20"/>
              <w:szCs w:val="20"/>
              <w:lang w:val="en-ZA"/>
            </w:rPr>
            <w:t xml:space="preserve">Economic Research, </w:t>
          </w:r>
          <w:r w:rsidRPr="009460DA">
            <w:rPr>
              <w:rFonts w:ascii="Cambria" w:hAnsi="Cambria"/>
              <w:iCs/>
              <w:noProof/>
              <w:sz w:val="20"/>
              <w:szCs w:val="20"/>
              <w:lang w:val="en-ZA"/>
            </w:rPr>
            <w:t>34</w:t>
          </w:r>
          <w:r w:rsidRPr="009460DA">
            <w:rPr>
              <w:rFonts w:ascii="Cambria" w:hAnsi="Cambria"/>
              <w:noProof/>
              <w:sz w:val="20"/>
              <w:szCs w:val="20"/>
              <w:lang w:val="en-ZA"/>
            </w:rPr>
            <w:t>(1), 1170-1189.</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Vadasi, C., Bekiars, M. &amp; Andrikopoulos, A. (2021). Internal audit function quality and corporate governance: The case of Greece. </w:t>
          </w:r>
          <w:r w:rsidRPr="009460DA">
            <w:rPr>
              <w:rFonts w:ascii="Cambria" w:hAnsi="Cambria"/>
              <w:i/>
              <w:iCs/>
              <w:noProof/>
              <w:sz w:val="20"/>
              <w:szCs w:val="20"/>
              <w:lang w:val="en-ZA"/>
            </w:rPr>
            <w:t>Multinational Finance Journal,</w:t>
          </w:r>
          <w:r w:rsidRPr="009460DA">
            <w:rPr>
              <w:rFonts w:ascii="Cambria" w:hAnsi="Cambria"/>
              <w:iCs/>
              <w:noProof/>
              <w:sz w:val="20"/>
              <w:szCs w:val="20"/>
              <w:lang w:val="en-ZA"/>
            </w:rPr>
            <w:t xml:space="preserve"> 25</w:t>
          </w:r>
          <w:r w:rsidRPr="009460DA">
            <w:rPr>
              <w:rFonts w:ascii="Cambria" w:hAnsi="Cambria"/>
              <w:noProof/>
              <w:sz w:val="20"/>
              <w:szCs w:val="20"/>
              <w:lang w:val="en-ZA"/>
            </w:rPr>
            <w:t>(1/2), 1-61.</w:t>
          </w:r>
        </w:p>
        <w:p w:rsidR="00653982" w:rsidRPr="009460DA" w:rsidRDefault="00653982" w:rsidP="009460DA">
          <w:pPr>
            <w:pStyle w:val="Bibliography"/>
            <w:spacing w:after="0" w:line="240" w:lineRule="auto"/>
            <w:ind w:left="720" w:hanging="720"/>
            <w:jc w:val="both"/>
            <w:rPr>
              <w:rFonts w:ascii="Cambria" w:hAnsi="Cambria"/>
              <w:noProof/>
              <w:sz w:val="20"/>
              <w:szCs w:val="20"/>
              <w:lang w:val="en-ZA"/>
            </w:rPr>
          </w:pPr>
          <w:r w:rsidRPr="009460DA">
            <w:rPr>
              <w:rFonts w:ascii="Cambria" w:hAnsi="Cambria"/>
              <w:noProof/>
              <w:sz w:val="20"/>
              <w:szCs w:val="20"/>
              <w:lang w:val="en-ZA"/>
            </w:rPr>
            <w:t xml:space="preserve">Ziaee, M. (2014). The effect of audit quality on the performance of listed companies in the Tehran stock exchange. </w:t>
          </w:r>
          <w:r w:rsidRPr="009460DA">
            <w:rPr>
              <w:rFonts w:ascii="Cambria" w:hAnsi="Cambria"/>
              <w:i/>
              <w:iCs/>
              <w:noProof/>
              <w:sz w:val="20"/>
              <w:szCs w:val="20"/>
              <w:lang w:val="en-ZA"/>
            </w:rPr>
            <w:t xml:space="preserve">International Letters of Social and Humanistic Sciences, </w:t>
          </w:r>
          <w:r w:rsidRPr="009460DA">
            <w:rPr>
              <w:rFonts w:ascii="Cambria" w:hAnsi="Cambria"/>
              <w:iCs/>
              <w:noProof/>
              <w:sz w:val="20"/>
              <w:szCs w:val="20"/>
              <w:lang w:val="en-ZA"/>
            </w:rPr>
            <w:t>21</w:t>
          </w:r>
          <w:r w:rsidRPr="009460DA">
            <w:rPr>
              <w:rFonts w:ascii="Cambria" w:hAnsi="Cambria"/>
              <w:noProof/>
              <w:sz w:val="20"/>
              <w:szCs w:val="20"/>
              <w:lang w:val="en-ZA"/>
            </w:rPr>
            <w:t>, 36-43.</w:t>
          </w:r>
        </w:p>
        <w:p w:rsidR="00653982" w:rsidRPr="009460DA" w:rsidRDefault="00902FB4" w:rsidP="009460DA">
          <w:pPr>
            <w:tabs>
              <w:tab w:val="left" w:pos="709"/>
            </w:tabs>
            <w:spacing w:after="0" w:line="240" w:lineRule="auto"/>
            <w:ind w:left="720" w:hanging="720"/>
            <w:jc w:val="both"/>
            <w:rPr>
              <w:rFonts w:ascii="Cambria" w:hAnsi="Cambria" w:cstheme="majorBidi"/>
              <w:sz w:val="20"/>
              <w:szCs w:val="20"/>
              <w:lang w:val="en-IE"/>
            </w:rPr>
          </w:pPr>
          <w:r w:rsidRPr="009460DA">
            <w:rPr>
              <w:rFonts w:ascii="Cambria" w:hAnsi="Cambria"/>
              <w:b/>
              <w:bCs/>
              <w:sz w:val="20"/>
              <w:szCs w:val="20"/>
            </w:rPr>
            <w:fldChar w:fldCharType="end"/>
          </w:r>
        </w:p>
      </w:sdtContent>
    </w:sdt>
    <w:p w:rsidR="00653982" w:rsidRPr="009460DA" w:rsidRDefault="00653982" w:rsidP="009460DA">
      <w:pPr>
        <w:spacing w:after="0" w:line="240" w:lineRule="auto"/>
        <w:ind w:hanging="425"/>
        <w:jc w:val="both"/>
        <w:rPr>
          <w:rFonts w:ascii="Cambria" w:hAnsi="Cambria" w:cstheme="majorBidi"/>
          <w:sz w:val="20"/>
          <w:szCs w:val="20"/>
          <w:lang w:val="en-IE"/>
        </w:rPr>
      </w:pPr>
    </w:p>
    <w:p w:rsidR="00653982" w:rsidRPr="009460DA" w:rsidRDefault="00653982"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Default="008B2F5A" w:rsidP="009460DA">
      <w:pPr>
        <w:spacing w:after="0" w:line="240" w:lineRule="auto"/>
        <w:jc w:val="both"/>
        <w:rPr>
          <w:rFonts w:ascii="Cambria" w:hAnsi="Cambria"/>
          <w:sz w:val="20"/>
          <w:szCs w:val="20"/>
          <w:lang w:val="en-US" w:eastAsia="zh-CN"/>
        </w:rPr>
      </w:pPr>
    </w:p>
    <w:p w:rsidR="008471BD" w:rsidRPr="009460DA" w:rsidRDefault="008471BD"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9460DA">
      <w:pPr>
        <w:spacing w:after="0" w:line="240" w:lineRule="auto"/>
        <w:jc w:val="both"/>
        <w:rPr>
          <w:rFonts w:ascii="Cambria" w:hAnsi="Cambria"/>
          <w:sz w:val="20"/>
          <w:szCs w:val="20"/>
          <w:lang w:val="en-US" w:eastAsia="zh-CN"/>
        </w:rPr>
      </w:pPr>
    </w:p>
    <w:p w:rsidR="008B2F5A" w:rsidRPr="009460DA" w:rsidRDefault="008B2F5A" w:rsidP="008471BD">
      <w:pPr>
        <w:spacing w:after="0" w:line="240" w:lineRule="auto"/>
        <w:jc w:val="center"/>
        <w:rPr>
          <w:rFonts w:ascii="Cambria" w:hAnsi="Cambria" w:cs="Arial"/>
          <w:b/>
          <w:bCs/>
          <w:sz w:val="20"/>
          <w:szCs w:val="20"/>
        </w:rPr>
      </w:pPr>
      <w:r w:rsidRPr="009460DA">
        <w:rPr>
          <w:rFonts w:ascii="Cambria" w:hAnsi="Cambria" w:cs="Arial"/>
          <w:b/>
          <w:bCs/>
          <w:sz w:val="20"/>
          <w:szCs w:val="20"/>
        </w:rPr>
        <w:lastRenderedPageBreak/>
        <w:t>Examining the Relationship of Customer Satisfaction and Brand Loyalty in Sports Products among University Students</w:t>
      </w:r>
    </w:p>
    <w:p w:rsidR="008B2F5A" w:rsidRPr="009460DA" w:rsidRDefault="008B2F5A" w:rsidP="008471BD">
      <w:pPr>
        <w:spacing w:after="0" w:line="240" w:lineRule="auto"/>
        <w:jc w:val="center"/>
        <w:rPr>
          <w:rFonts w:ascii="Cambria" w:hAnsi="Cambria" w:cs="Arial"/>
          <w:sz w:val="20"/>
          <w:szCs w:val="20"/>
        </w:rPr>
      </w:pPr>
    </w:p>
    <w:p w:rsidR="008B2F5A" w:rsidRPr="009460DA" w:rsidRDefault="008B2F5A" w:rsidP="008471BD">
      <w:pPr>
        <w:spacing w:after="0" w:line="240" w:lineRule="auto"/>
        <w:jc w:val="center"/>
        <w:rPr>
          <w:rFonts w:ascii="Cambria" w:hAnsi="Cambria"/>
          <w:iCs/>
          <w:color w:val="7030A0"/>
          <w:sz w:val="20"/>
          <w:szCs w:val="20"/>
        </w:rPr>
      </w:pPr>
      <w:r w:rsidRPr="009460DA">
        <w:rPr>
          <w:rFonts w:ascii="Cambria" w:hAnsi="Cambria"/>
          <w:iCs/>
          <w:color w:val="7030A0"/>
          <w:sz w:val="20"/>
          <w:szCs w:val="20"/>
        </w:rPr>
        <w:t>Nur Hani Syazwani Bakri</w:t>
      </w:r>
      <w:r w:rsidRPr="009460DA">
        <w:rPr>
          <w:rFonts w:ascii="Cambria" w:hAnsi="Cambria"/>
          <w:iCs/>
          <w:color w:val="7030A0"/>
          <w:sz w:val="20"/>
          <w:szCs w:val="20"/>
          <w:vertAlign w:val="superscript"/>
        </w:rPr>
        <w:t>1</w:t>
      </w:r>
      <w:r w:rsidRPr="009460DA">
        <w:rPr>
          <w:rFonts w:ascii="Cambria" w:hAnsi="Cambria"/>
          <w:iCs/>
          <w:color w:val="7030A0"/>
          <w:sz w:val="20"/>
          <w:szCs w:val="20"/>
        </w:rPr>
        <w:t>, Mohamad Firdaus Ahmad</w:t>
      </w:r>
      <w:r w:rsidRPr="009460DA">
        <w:rPr>
          <w:rFonts w:ascii="Cambria" w:hAnsi="Cambria"/>
          <w:iCs/>
          <w:color w:val="7030A0"/>
          <w:sz w:val="20"/>
          <w:szCs w:val="20"/>
          <w:vertAlign w:val="superscript"/>
        </w:rPr>
        <w:t>2*</w:t>
      </w:r>
      <w:r w:rsidRPr="009460DA">
        <w:rPr>
          <w:rFonts w:ascii="Cambria" w:hAnsi="Cambria"/>
          <w:iCs/>
          <w:color w:val="7030A0"/>
          <w:sz w:val="20"/>
          <w:szCs w:val="20"/>
        </w:rPr>
        <w:t>, Nur Syazwani Zulaikha Safwan</w:t>
      </w:r>
      <w:r w:rsidRPr="009460DA">
        <w:rPr>
          <w:rFonts w:ascii="Cambria" w:hAnsi="Cambria"/>
          <w:iCs/>
          <w:color w:val="7030A0"/>
          <w:sz w:val="20"/>
          <w:szCs w:val="20"/>
          <w:vertAlign w:val="superscript"/>
        </w:rPr>
        <w:t>3</w:t>
      </w:r>
      <w:r w:rsidRPr="009460DA">
        <w:rPr>
          <w:rFonts w:ascii="Cambria" w:hAnsi="Cambria"/>
          <w:iCs/>
          <w:color w:val="7030A0"/>
          <w:sz w:val="20"/>
          <w:szCs w:val="20"/>
        </w:rPr>
        <w:t>, Nur Dalilah Dahlan</w:t>
      </w:r>
      <w:r w:rsidRPr="009460DA">
        <w:rPr>
          <w:rFonts w:ascii="Cambria" w:hAnsi="Cambria"/>
          <w:iCs/>
          <w:color w:val="7030A0"/>
          <w:sz w:val="20"/>
          <w:szCs w:val="20"/>
          <w:vertAlign w:val="superscript"/>
        </w:rPr>
        <w:t>4</w:t>
      </w:r>
      <w:r w:rsidRPr="009460DA">
        <w:rPr>
          <w:rFonts w:ascii="Cambria" w:hAnsi="Cambria"/>
          <w:iCs/>
          <w:color w:val="7030A0"/>
          <w:sz w:val="20"/>
          <w:szCs w:val="20"/>
        </w:rPr>
        <w:t>, Norsyazlin Elfira Mohd Azli</w:t>
      </w:r>
      <w:r w:rsidRPr="009460DA">
        <w:rPr>
          <w:rFonts w:ascii="Cambria" w:hAnsi="Cambria"/>
          <w:iCs/>
          <w:color w:val="7030A0"/>
          <w:sz w:val="20"/>
          <w:szCs w:val="20"/>
          <w:vertAlign w:val="superscript"/>
        </w:rPr>
        <w:t>5</w:t>
      </w:r>
      <w:r w:rsidRPr="009460DA">
        <w:rPr>
          <w:rFonts w:ascii="Cambria" w:hAnsi="Cambria"/>
          <w:iCs/>
          <w:color w:val="7030A0"/>
          <w:sz w:val="20"/>
          <w:szCs w:val="20"/>
        </w:rPr>
        <w:t xml:space="preserve"> &amp; Mohd Huzaimie Ahmad Kafrawi</w:t>
      </w:r>
      <w:r w:rsidRPr="009460DA">
        <w:rPr>
          <w:rFonts w:ascii="Cambria" w:hAnsi="Cambria"/>
          <w:iCs/>
          <w:color w:val="7030A0"/>
          <w:sz w:val="20"/>
          <w:szCs w:val="20"/>
          <w:vertAlign w:val="superscript"/>
        </w:rPr>
        <w:t xml:space="preserve"> 6</w:t>
      </w:r>
    </w:p>
    <w:p w:rsidR="008B2F5A" w:rsidRPr="009460DA" w:rsidRDefault="008B2F5A" w:rsidP="008471BD">
      <w:pPr>
        <w:spacing w:after="0" w:line="240" w:lineRule="auto"/>
        <w:jc w:val="center"/>
        <w:rPr>
          <w:rFonts w:ascii="Cambria" w:hAnsi="Cambria"/>
          <w:iCs/>
          <w:color w:val="7030A0"/>
          <w:sz w:val="20"/>
          <w:szCs w:val="20"/>
        </w:rPr>
      </w:pPr>
      <w:r w:rsidRPr="009460DA">
        <w:rPr>
          <w:rFonts w:ascii="Cambria" w:hAnsi="Cambria"/>
          <w:iCs/>
          <w:color w:val="7030A0"/>
          <w:sz w:val="20"/>
          <w:szCs w:val="20"/>
          <w:vertAlign w:val="superscript"/>
        </w:rPr>
        <w:t>1,2*,3,4,5</w:t>
      </w:r>
      <w:r w:rsidRPr="009460DA">
        <w:rPr>
          <w:rFonts w:ascii="Cambria" w:hAnsi="Cambria"/>
          <w:iCs/>
          <w:color w:val="7030A0"/>
          <w:sz w:val="20"/>
          <w:szCs w:val="20"/>
        </w:rPr>
        <w:t>Faculty of Sports Science and Recreation, Universiti Teknologi MARA, Cawangan Negeri Sembilan, Kampus Seremban, Malaysia</w:t>
      </w:r>
    </w:p>
    <w:p w:rsidR="008B2F5A" w:rsidRPr="009460DA" w:rsidRDefault="008B2F5A" w:rsidP="008471BD">
      <w:pPr>
        <w:spacing w:after="0" w:line="240" w:lineRule="auto"/>
        <w:jc w:val="center"/>
        <w:rPr>
          <w:rFonts w:ascii="Cambria" w:hAnsi="Cambria"/>
          <w:iCs/>
          <w:color w:val="7030A0"/>
          <w:sz w:val="20"/>
          <w:szCs w:val="20"/>
        </w:rPr>
      </w:pPr>
      <w:r w:rsidRPr="009460DA">
        <w:rPr>
          <w:rFonts w:ascii="Cambria" w:hAnsi="Cambria"/>
          <w:iCs/>
          <w:color w:val="7030A0"/>
          <w:sz w:val="20"/>
          <w:szCs w:val="20"/>
          <w:vertAlign w:val="superscript"/>
        </w:rPr>
        <w:t>6</w:t>
      </w:r>
      <w:r w:rsidRPr="009460DA">
        <w:rPr>
          <w:rFonts w:ascii="Cambria" w:hAnsi="Cambria"/>
          <w:iCs/>
          <w:color w:val="7030A0"/>
          <w:sz w:val="20"/>
          <w:szCs w:val="20"/>
        </w:rPr>
        <w:t>Department of Business Management, Kolej Poly-Tech MARA Bangi, Selangor, Malaysia</w:t>
      </w:r>
    </w:p>
    <w:p w:rsidR="008B2F5A" w:rsidRPr="009460DA" w:rsidRDefault="008B2F5A" w:rsidP="008471BD">
      <w:pPr>
        <w:spacing w:after="0" w:line="240" w:lineRule="auto"/>
        <w:jc w:val="center"/>
        <w:rPr>
          <w:rFonts w:ascii="Cambria" w:hAnsi="Cambria"/>
          <w:bCs/>
          <w:iCs/>
          <w:sz w:val="20"/>
          <w:szCs w:val="20"/>
        </w:rPr>
      </w:pPr>
      <w:r w:rsidRPr="009460DA">
        <w:rPr>
          <w:rFonts w:ascii="Cambria" w:hAnsi="Cambria"/>
          <w:bCs/>
          <w:iCs/>
          <w:color w:val="7030A0"/>
          <w:sz w:val="20"/>
          <w:szCs w:val="20"/>
        </w:rPr>
        <w:t>hanisyazwani@uitm.edu.my, firdaus466@uitm.edu.my</w:t>
      </w:r>
      <w:r w:rsidRPr="009460DA">
        <w:rPr>
          <w:rFonts w:ascii="Cambria" w:hAnsi="Cambria"/>
          <w:bCs/>
          <w:iCs/>
          <w:color w:val="7030A0"/>
          <w:sz w:val="20"/>
          <w:szCs w:val="20"/>
          <w:vertAlign w:val="superscript"/>
        </w:rPr>
        <w:t>*</w:t>
      </w:r>
      <w:r w:rsidRPr="009460DA">
        <w:rPr>
          <w:rFonts w:ascii="Cambria" w:hAnsi="Cambria"/>
          <w:bCs/>
          <w:iCs/>
          <w:color w:val="7030A0"/>
          <w:sz w:val="20"/>
          <w:szCs w:val="20"/>
        </w:rPr>
        <w:t>, syazwanisafwan@gmail.com, dalilahdahlan90@uitm.edu.my, syazlin.elfira9812@gmail.com, huzaimie@gapps.kptm.edu.my</w:t>
      </w:r>
    </w:p>
    <w:p w:rsidR="008B2F5A" w:rsidRPr="009460DA" w:rsidRDefault="008B2F5A" w:rsidP="008471BD">
      <w:pPr>
        <w:spacing w:after="0" w:line="240" w:lineRule="auto"/>
        <w:jc w:val="center"/>
        <w:rPr>
          <w:rFonts w:ascii="Cambria" w:hAnsi="Cambria"/>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 xml:space="preserve">Abstract: </w:t>
      </w:r>
      <w:r w:rsidRPr="009460DA">
        <w:rPr>
          <w:rFonts w:ascii="Cambria" w:hAnsi="Cambria" w:cs="Arial"/>
          <w:sz w:val="20"/>
          <w:szCs w:val="20"/>
          <w:shd w:val="clear" w:color="auto" w:fill="FFFFFF"/>
        </w:rPr>
        <w:t xml:space="preserve">To stay relevant in this market field, involving technology, many sports brands come forward with features that distinguish them from the other brands. Sports brand companies prioritize consumer demand to maintain the relevance of their products in the market. They emphasize customer satisfaction and brand loyalty, as these factors directly impact sales outcomes. Sporting goods customers come from diverse backgrounds, and university students significantly contribute to the sales of these products. Therefore, this research investigates the correlation between the contentment of customers and their loyalty toward sports brands within the context of university students. </w:t>
      </w:r>
      <w:r w:rsidRPr="009460DA">
        <w:rPr>
          <w:rFonts w:ascii="Cambria" w:hAnsi="Cambria" w:cs="Arial"/>
          <w:iCs/>
          <w:sz w:val="20"/>
          <w:szCs w:val="20"/>
          <w:shd w:val="clear" w:color="auto" w:fill="FFFFFF"/>
        </w:rPr>
        <w:t xml:space="preserve">The quantitative approach using a survey design was used to conduct this study. </w:t>
      </w:r>
      <w:r w:rsidRPr="009460DA">
        <w:rPr>
          <w:rFonts w:ascii="Cambria" w:hAnsi="Cambria" w:cs="Arial"/>
          <w:sz w:val="20"/>
          <w:szCs w:val="20"/>
          <w:shd w:val="clear" w:color="auto" w:fill="FFFFFF"/>
        </w:rPr>
        <w:t>A total of 361 university students were involved in this study. The data for this study were collected using a series of questionnaires containing 26 items that assess customer satisfaction and brand loyalty. The statistical analysis was performed using the Pearson Correlation analysis test. The results indicate a significant and high correlation between customer satisfaction and loyalty toward sports brands. Thus, this study offers valuable insights into customer satisfaction and product loyalty, specifically among university students and recommends that future studies focus on exploring the variations in customer perception towards sports goods based on gender and age.</w:t>
      </w:r>
    </w:p>
    <w:p w:rsidR="008B2F5A" w:rsidRPr="009460DA" w:rsidRDefault="008B2F5A" w:rsidP="009460DA">
      <w:pPr>
        <w:spacing w:after="0" w:line="240" w:lineRule="auto"/>
        <w:jc w:val="both"/>
        <w:rPr>
          <w:rFonts w:ascii="Cambria" w:hAnsi="Cambria" w:cs="Arial"/>
          <w:b/>
          <w:bCs/>
          <w:i/>
          <w:iCs/>
          <w:sz w:val="20"/>
          <w:szCs w:val="20"/>
        </w:rPr>
      </w:pPr>
    </w:p>
    <w:p w:rsidR="008B2F5A" w:rsidRPr="009460DA" w:rsidRDefault="008B2F5A" w:rsidP="009460DA">
      <w:pPr>
        <w:pBdr>
          <w:bottom w:val="single" w:sz="4" w:space="1" w:color="auto"/>
        </w:pBdr>
        <w:spacing w:after="0" w:line="240" w:lineRule="auto"/>
        <w:jc w:val="both"/>
        <w:rPr>
          <w:rFonts w:ascii="Cambria" w:hAnsi="Cambria" w:cs="Arial"/>
          <w:i/>
          <w:iCs/>
          <w:sz w:val="20"/>
          <w:szCs w:val="20"/>
        </w:rPr>
      </w:pPr>
      <w:r w:rsidRPr="009460DA">
        <w:rPr>
          <w:rFonts w:ascii="Cambria" w:hAnsi="Cambria" w:cs="Arial"/>
          <w:b/>
          <w:bCs/>
          <w:iCs/>
          <w:sz w:val="20"/>
          <w:szCs w:val="20"/>
        </w:rPr>
        <w:t>Keywords:</w:t>
      </w:r>
      <w:r w:rsidRPr="009460DA">
        <w:rPr>
          <w:rFonts w:ascii="Cambria" w:hAnsi="Cambria" w:cs="Arial"/>
          <w:iCs/>
          <w:sz w:val="20"/>
          <w:szCs w:val="20"/>
        </w:rPr>
        <w:t xml:space="preserve"> </w:t>
      </w:r>
      <w:r w:rsidRPr="009460DA">
        <w:rPr>
          <w:rFonts w:ascii="Cambria" w:hAnsi="Cambria" w:cs="Arial"/>
          <w:i/>
          <w:iCs/>
          <w:sz w:val="20"/>
          <w:szCs w:val="20"/>
        </w:rPr>
        <w:t>Customer Satisfaction, Brand Loyalty, University Students, Sports Products, Sports Brand.</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1. Introduction</w:t>
      </w:r>
    </w:p>
    <w:p w:rsidR="008B2F5A" w:rsidRPr="009460DA" w:rsidRDefault="008B2F5A" w:rsidP="009460DA">
      <w:pPr>
        <w:spacing w:after="0" w:line="240" w:lineRule="auto"/>
        <w:jc w:val="both"/>
        <w:rPr>
          <w:rFonts w:ascii="Cambria" w:hAnsi="Cambria" w:cs="Arial"/>
          <w:b/>
          <w:bCs/>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Customer satisfaction can determine repurchase and b</w:t>
      </w:r>
      <w:r w:rsidRPr="009460DA">
        <w:rPr>
          <w:rFonts w:ascii="Cambria" w:hAnsi="Cambria" w:cs="Arial"/>
          <w:color w:val="000000" w:themeColor="text1"/>
          <w:sz w:val="20"/>
          <w:szCs w:val="20"/>
        </w:rPr>
        <w:t>rand loyalty. Many studies concentrate on studying customer satisfaction and brand loyalty separately. According to Parashar (2018), customer satisfaction can be measured by how healthy experiences meet the customer’s needs. N</w:t>
      </w:r>
      <w:r w:rsidRPr="009460DA">
        <w:rPr>
          <w:rFonts w:ascii="Cambria" w:hAnsi="Cambria" w:cs="Arial"/>
          <w:sz w:val="20"/>
          <w:szCs w:val="20"/>
        </w:rPr>
        <w:t>ot forgetting too that the brand name differentiates it from other brands, including campaign, value, services, and action. These factors lead to brand loyalty. Ilias et al. (2020) stated that brand loyalty can be described as a positive attitude toward a brand that results in repurchasing over time. Choosing suitable sports attire such as shirts, pants, and shoes is vital to enhancing a healthy lifestyle. It is essential to have the correct apparel to start a daily routine when it comes to sports. Therefore, the provider creates a sports brand that involves sports activity. Adidas, Nike, Puma, and others are examples of sports brands. Brand loyalty can involve a strong and deep connection between the customer and the brand, wherein the customer remains steadfast and does not switch to another brand as long as the current brand delivers comfort and satisfaction (Sugiarto &amp; Octaviana, 2021).</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It represents the consumer's decision to consistently choose a specific brand within a particular product category. Ilias et al. (2020) indicated that it happens when buyers perceive satisfaction with the products offered, such as quality at the right price. These factors can lead to repurchase behavior. In addition, few researchers found that brand loyalty results from customer satisfaction. Besides, satisfaction and trust are two pillars of building loyalty (Mansouri et al., 2022). When discussing sports brands, particularly in apparel and footwear, it becomes evident that Nike, Adidas, and Puma are globally recognized brands favored by numerous customers, including those in Malaysia. Among the sportswear brands in Malaysia, Nike stands out as the most preferred choice, closely followed by Adidas, Reebok, Puma, New Balance, and other brands, as Uzir (2010) noted. This preference for Nike is further supported by the findings of Hardjono and Teng (2019), who stated that Nike and Adidas are the top choices among Gen Y consumers in Malaysia, followed by New Balance, Puma, and Asics.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lastRenderedPageBreak/>
        <w:t>The researchers also highlighted that nearly 80% of the respondents preferred Nike regarding sportswear.</w:t>
      </w:r>
      <w:r w:rsidRPr="009460DA">
        <w:rPr>
          <w:rFonts w:ascii="Cambria" w:hAnsi="Cambria" w:cs="Arial"/>
          <w:b/>
          <w:bCs/>
          <w:sz w:val="20"/>
          <w:szCs w:val="20"/>
        </w:rPr>
        <w:t xml:space="preserve"> </w:t>
      </w:r>
      <w:r w:rsidRPr="009460DA">
        <w:rPr>
          <w:rFonts w:ascii="Cambria" w:hAnsi="Cambria" w:cs="Arial"/>
          <w:sz w:val="20"/>
          <w:szCs w:val="20"/>
        </w:rPr>
        <w:t>Meanwhile, individual preferences vary among people, and sports products have gained significant popularity among the youth demographic. There are a lot of sports brands that can be offered to students, and they are more concerned about quality, price, and value than looking for their satisfaction when selecting a brand. Pa et al. (2021) found an increasing number of students seeking sports products, and Nike and Adidas are the brands most university students prefer. Thus, to compete in the market, it is necessary if providers provide a variety of features in their products. Saricam (2022) stated that the more services supplied by brand sportswear retailers, the greater the likelihood of brand loyalty.</w:t>
      </w:r>
    </w:p>
    <w:p w:rsidR="008B2F5A" w:rsidRPr="009460DA" w:rsidRDefault="008B2F5A" w:rsidP="009460DA">
      <w:pPr>
        <w:spacing w:after="0" w:line="240" w:lineRule="auto"/>
        <w:jc w:val="both"/>
        <w:rPr>
          <w:rFonts w:ascii="Cambria" w:hAnsi="Cambria" w:cs="Arial"/>
          <w:b/>
          <w:bCs/>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2. Literature Review</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t xml:space="preserve">Customer Satisfaction: </w:t>
      </w:r>
      <w:r w:rsidRPr="009460DA">
        <w:rPr>
          <w:rFonts w:ascii="Cambria" w:hAnsi="Cambria" w:cs="Arial"/>
          <w:sz w:val="20"/>
          <w:szCs w:val="20"/>
        </w:rPr>
        <w:t>In Mohammad's (2021) perspective, customer satisfaction is defined as fulfilling customers’ needs, desires, and demands regarding quality, timeliness, cost, and flexibility, which fosters brand loyalty. This concept is closely linked to the customer's expectations derived from the brand. Rahuman et al. (2022) further suggest that customer satisfaction hinges on a product’s perceived performance compared to the buyer's expectations. Previous research conducted by El et al. (2020) identified various factors influencing customer satisfaction, including product quality, service quality, price, situational factors, and personal factors.</w:t>
      </w:r>
      <w:r w:rsidRPr="009460DA">
        <w:rPr>
          <w:rFonts w:ascii="Cambria" w:hAnsi="Cambria" w:cs="Arial"/>
          <w:b/>
          <w:bCs/>
          <w:iCs/>
          <w:sz w:val="20"/>
          <w:szCs w:val="20"/>
        </w:rPr>
        <w:t xml:space="preserve"> </w:t>
      </w:r>
      <w:r w:rsidRPr="009460DA">
        <w:rPr>
          <w:rFonts w:ascii="Cambria" w:hAnsi="Cambria" w:cs="Arial"/>
          <w:sz w:val="20"/>
          <w:szCs w:val="20"/>
        </w:rPr>
        <w:t>Customer satisfaction is influenced by the customer's perceptions of their cognitive functioning and expectations. Consequently, customer satisfaction can impact a customer's choice to interact with a particular business. The higher the joy, the higher the loyalty (Zhong &amp; Moon, 2020). For example, sports consumers will buy products from their favorite brands because of their experiences using them. Customer satisfaction is based on the customer’s feelings towards the brand they purchase, whether it satisfies them or not. Customer satisfaction can also be achieved when customer expectations are met (Kee et al., 2021).</w:t>
      </w:r>
    </w:p>
    <w:p w:rsidR="008B2F5A" w:rsidRPr="009460DA" w:rsidRDefault="008B2F5A" w:rsidP="009460DA">
      <w:pPr>
        <w:spacing w:after="0" w:line="240" w:lineRule="auto"/>
        <w:jc w:val="both"/>
        <w:rPr>
          <w:rFonts w:ascii="Cambria" w:hAnsi="Cambria" w:cs="Arial"/>
          <w:b/>
          <w:bCs/>
          <w:iCs/>
          <w:sz w:val="20"/>
          <w:szCs w:val="20"/>
        </w:rPr>
      </w:pP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t xml:space="preserve">Perceived Quality: </w:t>
      </w:r>
      <w:r w:rsidRPr="009460DA">
        <w:rPr>
          <w:rFonts w:ascii="Cambria" w:hAnsi="Cambria" w:cs="Arial"/>
          <w:sz w:val="20"/>
          <w:szCs w:val="20"/>
        </w:rPr>
        <w:t>Quality refers to a distinctive characteristic of a product or service that fulfills the requirements of current or prospective customers (Kotler &amp; Keller, 2016). The perception of quality has a positive influence and constitutes one of the elements contributing to customer satisfaction (Assaker et al., 2020). Specifically, in consumer brand engagement, perceived quality encompasses a consumer's assessment of the product or service's trustworthiness and reliability. It is closely associated with customer preferences, satisfaction levels, and purchase decisions (Akoglu &amp; Özbek, 2022). The research conducted by Jain et al. (2022) highlighted the importance of brand credibility in influencing consumers' decision-making processes and perceptions of choices. Perceived quality plays a crucial role as a fundamental aspect of brand equity. When customers have higher expectations regarding purchasing a product from a particular brand, they are more inclined to recommend that brand to others (Falahat et al., 2018). Therefore, it will influence purchase intention. The quality of products that satisfy users’ needs may include different features and simultaneously enhance the performance of products. When customers recognize superior quality in a product, it indicates that their needs are being met, resulting in satisfaction and loyalty towards the brand (Falahat et al., 2018). According to Akoglu and Özbek (2022), product quality is the primary factor influencing loyalty toward sports brands.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t xml:space="preserve">Perceived Value: </w:t>
      </w:r>
      <w:r w:rsidRPr="009460DA">
        <w:rPr>
          <w:rFonts w:ascii="Cambria" w:hAnsi="Cambria" w:cs="Arial"/>
          <w:sz w:val="20"/>
          <w:szCs w:val="20"/>
        </w:rPr>
        <w:t xml:space="preserve">Perceived value can be described as the balance between what customers pay to acquire products or services and what they receive in return (Fan et al., 2023). This value can manifest in both monetary and non-monetary forms. Monetary value is often associated with price, while non-monetary value encompasses customers' investment of time, physical effort, and mental energy (Ikechi &amp; Tamuno, 2023). However, the specific nature of perceived value may vary slightly depending on individual consumers and specific situations. Tukiran et al. (2021) propose that value can be understood as the benefits that customers derive from a product, such as the value of affordability, the value of meeting specific consumer preferences, the value of price quality, and the value of receiving a fair exchange for what is given. Ashraf et al. (2018) meanwhile added that customers perceive performance, stability, economy, presence, and protection with the service, and customers include time and money in the total cost incurred. In addition, Hamzah and Shamsudi (2020) revealed that the customers who gain value from the organizations will be more loyal to the organization than those who do not. According to Pandey et al. (2020), perceived value is defined as the value of a product according to its price in the mind of customers.  After using a product, the customer will decide if it is worth buying. This point will influence the customer’s willingness to pay for the product. </w:t>
      </w: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lastRenderedPageBreak/>
        <w:t xml:space="preserve">Brand Trust: </w:t>
      </w:r>
      <w:r w:rsidRPr="009460DA">
        <w:rPr>
          <w:rFonts w:ascii="Cambria" w:hAnsi="Cambria" w:cs="Arial"/>
          <w:sz w:val="20"/>
          <w:szCs w:val="20"/>
        </w:rPr>
        <w:t>Brand trust can mediate the current market's long-term relationship between provider and buyer. According to Khan and Fatma (2019), trust in a brand is established through personal experiences and interactions with the brand, which play a vital role in shaping consumer perceptions. Brand trust is developed through information-seeking behaviors and diverse encounters with the brand. To enhance trust, customers’ willingness on the capabilities and function of brands is needed. Previous studies suggested considering brand loyalty as an essential outcome of brand trust. Brand trust results in increased loyalty, as trust establishes a mutually beneficial relationship between the customer and the brand. Brand trust is rooted in the customer's expectations, formed by beliefs that the brand possesses consistent, competent, and credible characteristics (Kwan et al., 2019). As per Chen and Cheng (2020), consumers' trust in a specific brand is gradually established through prior experiences and interactions with the brand. Building trust in a brand fosters long-term relationships between manufacturers and their customers.</w:t>
      </w:r>
    </w:p>
    <w:p w:rsidR="008B2F5A" w:rsidRPr="009460DA" w:rsidRDefault="008B2F5A" w:rsidP="009460DA">
      <w:pPr>
        <w:spacing w:after="0" w:line="240" w:lineRule="auto"/>
        <w:jc w:val="both"/>
        <w:rPr>
          <w:rFonts w:ascii="Cambria" w:hAnsi="Cambria" w:cs="Arial"/>
          <w:i/>
          <w:iCs/>
          <w:sz w:val="20"/>
          <w:szCs w:val="20"/>
        </w:rPr>
      </w:pP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t xml:space="preserve">Service Quality: </w:t>
      </w:r>
      <w:r w:rsidRPr="009460DA">
        <w:rPr>
          <w:rFonts w:ascii="Cambria" w:hAnsi="Cambria" w:cs="Arial"/>
          <w:sz w:val="20"/>
          <w:szCs w:val="20"/>
        </w:rPr>
        <w:t>Service quality can accurately describe the consumer's overall perception of the organization's excellence and services. It encompasses the customer's ability to discern when an organization delivers the expected services and meets the basic requirements (Jan et al., 2022). It also often reflects the customer’s perception and value judgment of a product or service. The lack of a connection between customer expectations and the services provided leads to short-term customer satisfaction. However, good service leads to long-term customer satisfaction and positive feelings about the organization. Besides that, if customers prefer one brand over another and continue to use the brand's services, it indicates that the customer is delighted with the product or service. As suggested by Zeithaml et al. (1996), cited in Ashraf et al. (2018), as a result of the customer's good evaluation of the brand's services, it was recommended that the consumer have a strong relationship with the brand.</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iCs/>
          <w:sz w:val="20"/>
          <w:szCs w:val="20"/>
        </w:rPr>
      </w:pPr>
      <w:r w:rsidRPr="009460DA">
        <w:rPr>
          <w:rFonts w:ascii="Cambria" w:hAnsi="Cambria" w:cs="Arial"/>
          <w:b/>
          <w:bCs/>
          <w:iCs/>
          <w:sz w:val="20"/>
          <w:szCs w:val="20"/>
        </w:rPr>
        <w:t xml:space="preserve">Brand Loyalty: </w:t>
      </w:r>
      <w:r w:rsidRPr="009460DA">
        <w:rPr>
          <w:rFonts w:ascii="Cambria" w:hAnsi="Cambria" w:cs="Arial"/>
          <w:sz w:val="20"/>
          <w:szCs w:val="20"/>
        </w:rPr>
        <w:t>Brand loyalty refers to customers' positive attitude toward a brand, which may result from frequent purchases over time (Ilias et al., 2020). Loyalty represents customer attitudes and reflects customers' permanent commitment (Nora, 2019). Customers receive brand loyalty after they experienced a brand and have a relationship with it through perception and cognition. The greater the brand's position in the market, the less exposed customers are inclined to switch brands (</w:t>
      </w:r>
      <w:r w:rsidRPr="009460DA">
        <w:rPr>
          <w:rFonts w:ascii="Cambria" w:hAnsi="Cambria" w:cs="Arial"/>
          <w:sz w:val="20"/>
          <w:szCs w:val="20"/>
          <w:shd w:val="clear" w:color="auto" w:fill="FFFFFF"/>
        </w:rPr>
        <w:t xml:space="preserve">Mukherjee &amp; Althuizen, 2020). </w:t>
      </w:r>
      <w:r w:rsidRPr="009460DA">
        <w:rPr>
          <w:rFonts w:ascii="Cambria" w:hAnsi="Cambria" w:cs="Arial"/>
          <w:sz w:val="20"/>
          <w:szCs w:val="20"/>
        </w:rPr>
        <w:t xml:space="preserve">Brand loyalty is influenced by various factors, encompassing both emotional and cognitive aspects such as brand association, trust, perceived quality, performance, and customer satisfaction (Akoglu &amp; Özbek, 2022). It can be defined as a strong preference for a particular brand over similar alternatives available in the market. Brand loyalty represents a consistent pattern of behavior and thinking exhibited by consumers. The choice of including a specific brand within a product category is ultimately made by the consumer. Loyalty is fostered through the establishment of trust and the impact of the brand on consumers. Buyers believe the brand provides the appropriate product look, quality grade at the right price, and identity. </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3. Methodology</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This quantitative research utilizes descriptive and inferential statistical analyses to accomplish its objectives. The study involved 361 respondents who were administered a comprehensive questionnaire to collect the necessary data. In this study, university students refer to students from Universiti Teknologi MARA (UiTM) Seremban Campus. The researcher employed a simple random sampling method to select the respondents. The data collected were analyzed using the Statistical Package for Social Science (SPSS) software. The hypothesis aims to explore the existence of a significant correlation between customer satisfaction and sports brand loyalty among university students. The questionnaire is divided into three sections. Section A focuses on gathering information about the respondent's demographic background. Section B contains 20 items related to customer satisfaction, while Section C includes six items regarding brand loyalty. All of these questions were derived and modified from the study by Ahmed et al. (2014) on the impact of brand trust and customer satisfaction on brand loyalty. In Sections B and C, respondents rated the items on a 5-point Likert scale, ranging from 1 (Strongly Disagree) to 5 (Strongly Agree).</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b/>
          <w:bCs/>
          <w:sz w:val="20"/>
          <w:szCs w:val="20"/>
        </w:rPr>
        <w:lastRenderedPageBreak/>
        <w:t>4. Results and Findings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iCs/>
          <w:sz w:val="20"/>
          <w:szCs w:val="20"/>
        </w:rPr>
      </w:pPr>
      <w:r w:rsidRPr="009460DA">
        <w:rPr>
          <w:rFonts w:ascii="Cambria" w:hAnsi="Cambria" w:cs="Arial"/>
          <w:b/>
          <w:sz w:val="20"/>
          <w:szCs w:val="20"/>
        </w:rPr>
        <w:t xml:space="preserve">Table 1: </w:t>
      </w:r>
      <w:r w:rsidRPr="009460DA">
        <w:rPr>
          <w:rFonts w:ascii="Cambria" w:hAnsi="Cambria" w:cs="Arial"/>
          <w:b/>
          <w:iCs/>
          <w:sz w:val="20"/>
          <w:szCs w:val="20"/>
        </w:rPr>
        <w:t>What is the Preferred Sports Brand among University Students?</w:t>
      </w:r>
    </w:p>
    <w:tbl>
      <w:tblPr>
        <w:tblStyle w:val="TableGrid"/>
        <w:tblW w:w="4944"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3"/>
        <w:gridCol w:w="2119"/>
        <w:gridCol w:w="2447"/>
      </w:tblGrid>
      <w:tr w:rsidR="008B2F5A" w:rsidRPr="009460DA" w:rsidTr="008B2F5A">
        <w:trPr>
          <w:jc w:val="center"/>
        </w:trPr>
        <w:tc>
          <w:tcPr>
            <w:tcW w:w="2589"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r w:rsidRPr="009460DA">
              <w:rPr>
                <w:rFonts w:ascii="Cambria" w:hAnsi="Cambria" w:cs="Arial"/>
                <w:b/>
                <w:sz w:val="20"/>
                <w:szCs w:val="20"/>
              </w:rPr>
              <w:t>Preferred Brand</w:t>
            </w:r>
          </w:p>
        </w:tc>
        <w:tc>
          <w:tcPr>
            <w:tcW w:w="1119"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r w:rsidRPr="009460DA">
              <w:rPr>
                <w:rFonts w:ascii="Cambria" w:hAnsi="Cambria" w:cs="Arial"/>
                <w:b/>
                <w:sz w:val="20"/>
                <w:szCs w:val="20"/>
              </w:rPr>
              <w:t>Frequency</w:t>
            </w:r>
          </w:p>
        </w:tc>
        <w:tc>
          <w:tcPr>
            <w:tcW w:w="1293"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r w:rsidRPr="009460DA">
              <w:rPr>
                <w:rFonts w:ascii="Cambria" w:hAnsi="Cambria" w:cs="Arial"/>
                <w:b/>
                <w:sz w:val="20"/>
                <w:szCs w:val="20"/>
              </w:rPr>
              <w:t>Percentage (%)</w:t>
            </w:r>
          </w:p>
        </w:tc>
      </w:tr>
      <w:tr w:rsidR="008B2F5A" w:rsidRPr="009460DA" w:rsidTr="008B2F5A">
        <w:trPr>
          <w:jc w:val="center"/>
        </w:trPr>
        <w:tc>
          <w:tcPr>
            <w:tcW w:w="2589"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Adidas</w:t>
            </w:r>
          </w:p>
        </w:tc>
        <w:tc>
          <w:tcPr>
            <w:tcW w:w="1119"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106</w:t>
            </w:r>
          </w:p>
        </w:tc>
        <w:tc>
          <w:tcPr>
            <w:tcW w:w="1293"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29</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Nike</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97</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27</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Puma</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48</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13</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Asics</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47</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13</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Under Armor</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21</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6</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Sketchers</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18</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5</w:t>
            </w:r>
          </w:p>
        </w:tc>
      </w:tr>
      <w:tr w:rsidR="008B2F5A" w:rsidRPr="009460DA" w:rsidTr="008B2F5A">
        <w:trPr>
          <w:jc w:val="center"/>
        </w:trPr>
        <w:tc>
          <w:tcPr>
            <w:tcW w:w="258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Reebok</w:t>
            </w:r>
          </w:p>
        </w:tc>
        <w:tc>
          <w:tcPr>
            <w:tcW w:w="1119"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16</w:t>
            </w:r>
          </w:p>
        </w:tc>
        <w:tc>
          <w:tcPr>
            <w:tcW w:w="1293"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4</w:t>
            </w:r>
          </w:p>
        </w:tc>
      </w:tr>
      <w:tr w:rsidR="008B2F5A" w:rsidRPr="009460DA" w:rsidTr="008B2F5A">
        <w:trPr>
          <w:jc w:val="center"/>
        </w:trPr>
        <w:tc>
          <w:tcPr>
            <w:tcW w:w="2589" w:type="pct"/>
            <w:tcBorders>
              <w:bottom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Others</w:t>
            </w:r>
          </w:p>
        </w:tc>
        <w:tc>
          <w:tcPr>
            <w:tcW w:w="1119" w:type="pct"/>
            <w:tcBorders>
              <w:bottom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8</w:t>
            </w:r>
          </w:p>
        </w:tc>
        <w:tc>
          <w:tcPr>
            <w:tcW w:w="1293" w:type="pct"/>
            <w:tcBorders>
              <w:bottom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3</w:t>
            </w:r>
          </w:p>
        </w:tc>
      </w:tr>
    </w:tbl>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Based on the finding, the highest preferred sports brand among university students, with twenty-nine percent (29%), is Adidas, compared to the lowest with three percent (3%) which is others.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sz w:val="20"/>
          <w:szCs w:val="20"/>
        </w:rPr>
      </w:pPr>
      <w:r w:rsidRPr="009460DA">
        <w:rPr>
          <w:rFonts w:ascii="Cambria" w:hAnsi="Cambria" w:cs="Arial"/>
          <w:b/>
          <w:sz w:val="20"/>
          <w:szCs w:val="20"/>
        </w:rPr>
        <w:t xml:space="preserve">Table 2: </w:t>
      </w:r>
      <w:r w:rsidRPr="009460DA">
        <w:rPr>
          <w:rFonts w:ascii="Cambria" w:hAnsi="Cambria" w:cs="Arial"/>
          <w:b/>
          <w:iCs/>
          <w:sz w:val="20"/>
          <w:szCs w:val="20"/>
        </w:rPr>
        <w:t>Relationship between Customer Satisfaction and Sports Brand Loyalty among University Students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8"/>
        <w:gridCol w:w="3172"/>
        <w:gridCol w:w="3346"/>
      </w:tblGrid>
      <w:tr w:rsidR="008B2F5A" w:rsidRPr="009460DA" w:rsidTr="008B2F5A">
        <w:tc>
          <w:tcPr>
            <w:tcW w:w="1597"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p>
        </w:tc>
        <w:tc>
          <w:tcPr>
            <w:tcW w:w="1656"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p>
        </w:tc>
        <w:tc>
          <w:tcPr>
            <w:tcW w:w="1747" w:type="pct"/>
            <w:tcBorders>
              <w:top w:val="single" w:sz="4" w:space="0" w:color="auto"/>
              <w:bottom w:val="single" w:sz="4" w:space="0" w:color="auto"/>
            </w:tcBorders>
          </w:tcPr>
          <w:p w:rsidR="008B2F5A" w:rsidRPr="009460DA" w:rsidRDefault="008B2F5A" w:rsidP="009460DA">
            <w:pPr>
              <w:jc w:val="both"/>
              <w:rPr>
                <w:rFonts w:ascii="Cambria" w:hAnsi="Cambria" w:cs="Arial"/>
                <w:b/>
                <w:sz w:val="20"/>
                <w:szCs w:val="20"/>
              </w:rPr>
            </w:pPr>
            <w:r w:rsidRPr="009460DA">
              <w:rPr>
                <w:rFonts w:ascii="Cambria" w:hAnsi="Cambria" w:cs="Arial"/>
                <w:b/>
                <w:sz w:val="20"/>
                <w:szCs w:val="20"/>
              </w:rPr>
              <w:t>Sports Brand Loyalty</w:t>
            </w:r>
          </w:p>
        </w:tc>
      </w:tr>
      <w:tr w:rsidR="008B2F5A" w:rsidRPr="009460DA" w:rsidTr="008B2F5A">
        <w:tc>
          <w:tcPr>
            <w:tcW w:w="1597"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 xml:space="preserve">Customer Satisfaction </w:t>
            </w:r>
          </w:p>
        </w:tc>
        <w:tc>
          <w:tcPr>
            <w:tcW w:w="1656"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Pearson Correlation</w:t>
            </w:r>
          </w:p>
        </w:tc>
        <w:tc>
          <w:tcPr>
            <w:tcW w:w="1747" w:type="pct"/>
            <w:tcBorders>
              <w:top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.906**</w:t>
            </w:r>
          </w:p>
        </w:tc>
      </w:tr>
      <w:tr w:rsidR="008B2F5A" w:rsidRPr="009460DA" w:rsidTr="008B2F5A">
        <w:tc>
          <w:tcPr>
            <w:tcW w:w="1597" w:type="pct"/>
          </w:tcPr>
          <w:p w:rsidR="008B2F5A" w:rsidRPr="009460DA" w:rsidRDefault="008B2F5A" w:rsidP="009460DA">
            <w:pPr>
              <w:jc w:val="both"/>
              <w:rPr>
                <w:rFonts w:ascii="Cambria" w:hAnsi="Cambria" w:cs="Arial"/>
                <w:sz w:val="20"/>
                <w:szCs w:val="20"/>
              </w:rPr>
            </w:pPr>
          </w:p>
        </w:tc>
        <w:tc>
          <w:tcPr>
            <w:tcW w:w="1656"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Sig. (2-tailed)</w:t>
            </w:r>
          </w:p>
        </w:tc>
        <w:tc>
          <w:tcPr>
            <w:tcW w:w="1747" w:type="pct"/>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.000</w:t>
            </w:r>
          </w:p>
        </w:tc>
      </w:tr>
      <w:tr w:rsidR="008B2F5A" w:rsidRPr="009460DA" w:rsidTr="008B2F5A">
        <w:tc>
          <w:tcPr>
            <w:tcW w:w="1597" w:type="pct"/>
            <w:tcBorders>
              <w:bottom w:val="single" w:sz="4" w:space="0" w:color="auto"/>
            </w:tcBorders>
          </w:tcPr>
          <w:p w:rsidR="008B2F5A" w:rsidRPr="009460DA" w:rsidRDefault="008B2F5A" w:rsidP="009460DA">
            <w:pPr>
              <w:jc w:val="both"/>
              <w:rPr>
                <w:rFonts w:ascii="Cambria" w:hAnsi="Cambria" w:cs="Arial"/>
                <w:sz w:val="20"/>
                <w:szCs w:val="20"/>
              </w:rPr>
            </w:pPr>
          </w:p>
        </w:tc>
        <w:tc>
          <w:tcPr>
            <w:tcW w:w="1656" w:type="pct"/>
            <w:tcBorders>
              <w:bottom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N</w:t>
            </w:r>
          </w:p>
        </w:tc>
        <w:tc>
          <w:tcPr>
            <w:tcW w:w="1747" w:type="pct"/>
            <w:tcBorders>
              <w:bottom w:val="single" w:sz="4" w:space="0" w:color="auto"/>
            </w:tcBorders>
          </w:tcPr>
          <w:p w:rsidR="008B2F5A" w:rsidRPr="009460DA" w:rsidRDefault="008B2F5A" w:rsidP="009460DA">
            <w:pPr>
              <w:jc w:val="both"/>
              <w:rPr>
                <w:rFonts w:ascii="Cambria" w:hAnsi="Cambria" w:cs="Arial"/>
                <w:sz w:val="20"/>
                <w:szCs w:val="20"/>
              </w:rPr>
            </w:pPr>
            <w:r w:rsidRPr="009460DA">
              <w:rPr>
                <w:rFonts w:ascii="Cambria" w:hAnsi="Cambria" w:cs="Arial"/>
                <w:sz w:val="20"/>
                <w:szCs w:val="20"/>
              </w:rPr>
              <w:t>361</w:t>
            </w:r>
          </w:p>
        </w:tc>
      </w:tr>
    </w:tbl>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Based on the finding, there is a significant relationship between Customer Satisfaction and Sports Brand Loyalty among university students with r = .906, p = .000.</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Discussion</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This research examines the correlation between Customer Satisfaction and Sports Brand Loyalty among university students. The study reveals that Adidas emerges as the favored sports brand among university students based on the findings. This finding is similar to the previous journal, in which the most significant brand is primarily Adidas (Janoskova &amp; Kral, 2020), as we know that Adidas is one of the most famous brands among all groups for its brand image and is also known for its quality, durability as well as affordable price. As a result, it is proven that this brand is a choice for university students. However, this finding was contrasted when Matthews et al. (2019) found that Nike is the brand most university students admire. The results of the study indicate that the image of a brand plays a crucial role in representing the quality of its products or services. This finding is supported by Kataria and Saini (2020), who emphasized that the brand nature scale encompasses the inherent attributes of manufactured goods, such as quality, value, and trust.</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This study also found no vast gap between these two brands. Thus it can conclude that every brand has their follower since they know the good and bad of every brand, such as its design, features, quality, and durability. The study's results indicate a notable positive correlation between Customer Satisfaction and Sports Brand Loyalty. This finding is consistent with a previous study by Uysal and Okumus (2022), which also discovered a positive relationship between customer satisfaction and loyalty among sportswear consumers. The features associated with sportswear were shown to contribute to this similar outcome. Furthermore, to reinforce these findings, Hadi and Rahim (2014) uncovered similar results, demonstrating a significant relationship between customer satisfaction and the cognitive aspect of loyalty toward sports brands. Researchers believe a buyer will repurchase and stick to one brand due to their experiences when using the products. With a good experience, they will maintain in their head and be afraid to try other brands because they are afraid to experience a new one. Fels et al. (2017) mentioned that brand loyalty is when customers keep repurchasing the same brand.</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5. Conclusion and Recommendations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sz w:val="20"/>
          <w:szCs w:val="20"/>
        </w:rPr>
      </w:pPr>
      <w:r w:rsidRPr="009460DA">
        <w:rPr>
          <w:rFonts w:ascii="Cambria" w:hAnsi="Cambria" w:cs="Arial"/>
          <w:sz w:val="20"/>
          <w:szCs w:val="20"/>
        </w:rPr>
        <w:t xml:space="preserve">The result demonstrates a significant and high correlation between customer satisfaction and sports brand loyalty among UiTM students. This indicates that most of the students are satisfied and loyal to their sports brand due to the quality and values of the products. In this situation, providers and marketers must sustain </w:t>
      </w:r>
      <w:r w:rsidRPr="009460DA">
        <w:rPr>
          <w:rFonts w:ascii="Cambria" w:hAnsi="Cambria" w:cs="Arial"/>
          <w:sz w:val="20"/>
          <w:szCs w:val="20"/>
        </w:rPr>
        <w:lastRenderedPageBreak/>
        <w:t>their brands significantly to enhance customer trust. A good representative of the brand may affect the reputation and sales of the product. As a result, it enables customers to stay loyal and perceive the brand choices for the long term. Therefore, this study’s findings can contribute to university students by gaining a deeper understanding to enhance their marketing knowledge, especially in product, price, place, and promotion. This could influence students’ purchasing decisions on satisfaction and loyalty toward the chosen brand. This study also provides valuable insight for future researchers by extending the findings to other university students to retrieve their satisfaction and brand loyalty. Besides, future researchers can study the perceptions of customer satisfaction towards brand loyalty based on gender. This can broaden the perspective of this research and contribute new literature to the studies.</w:t>
      </w:r>
    </w:p>
    <w:p w:rsidR="008B2F5A" w:rsidRPr="009460DA" w:rsidRDefault="008B2F5A" w:rsidP="009460DA">
      <w:pPr>
        <w:spacing w:after="0" w:line="240" w:lineRule="auto"/>
        <w:jc w:val="both"/>
        <w:rPr>
          <w:rFonts w:ascii="Cambria" w:hAnsi="Cambria" w:cs="Arial"/>
          <w:sz w:val="20"/>
          <w:szCs w:val="20"/>
        </w:rPr>
      </w:pPr>
    </w:p>
    <w:p w:rsidR="008B2F5A" w:rsidRPr="009460DA" w:rsidRDefault="008B2F5A" w:rsidP="009460DA">
      <w:pPr>
        <w:spacing w:after="0" w:line="240" w:lineRule="auto"/>
        <w:jc w:val="both"/>
        <w:rPr>
          <w:rFonts w:ascii="Cambria" w:hAnsi="Cambria" w:cs="Arial"/>
          <w:b/>
          <w:bCs/>
          <w:sz w:val="20"/>
          <w:szCs w:val="20"/>
        </w:rPr>
      </w:pPr>
      <w:r w:rsidRPr="009460DA">
        <w:rPr>
          <w:rFonts w:ascii="Cambria" w:hAnsi="Cambria" w:cs="Arial"/>
          <w:b/>
          <w:bCs/>
          <w:sz w:val="20"/>
          <w:szCs w:val="20"/>
        </w:rPr>
        <w:t>References</w:t>
      </w:r>
    </w:p>
    <w:p w:rsidR="008B2F5A" w:rsidRPr="009460DA" w:rsidRDefault="008B2F5A" w:rsidP="009460DA">
      <w:pPr>
        <w:spacing w:after="0" w:line="240" w:lineRule="auto"/>
        <w:jc w:val="both"/>
        <w:rPr>
          <w:rFonts w:ascii="Cambria" w:hAnsi="Cambria" w:cs="Arial"/>
          <w:b/>
          <w:bCs/>
          <w:sz w:val="20"/>
          <w:szCs w:val="20"/>
        </w:rPr>
      </w:pP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 xml:space="preserve">Ahmed, Z., Rizwan, M., Ahmad, M. &amp; Haq, M. (2014). Effect of brand trust and customer satisfaction on brand loyalty in Bahawalpur. </w:t>
      </w:r>
      <w:r w:rsidRPr="009460DA">
        <w:rPr>
          <w:rFonts w:ascii="Cambria" w:hAnsi="Cambria" w:cs="Arial"/>
          <w:i/>
          <w:color w:val="222222"/>
          <w:sz w:val="20"/>
          <w:szCs w:val="20"/>
          <w:shd w:val="clear" w:color="auto" w:fill="FFFFFF"/>
        </w:rPr>
        <w:t>Journal of Sociological Research,</w:t>
      </w:r>
      <w:r w:rsidRPr="009460DA">
        <w:rPr>
          <w:rFonts w:ascii="Cambria" w:hAnsi="Cambria" w:cs="Arial"/>
          <w:color w:val="222222"/>
          <w:sz w:val="20"/>
          <w:szCs w:val="20"/>
          <w:shd w:val="clear" w:color="auto" w:fill="FFFFFF"/>
        </w:rPr>
        <w:t xml:space="preserve"> 5(1), 306-326.</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Akoglu, H. E. &amp; Özbek, O. (2022). The effect of brand experiences on brand loyalty through perceived quality and brand trust: a study on sports consumers. </w:t>
      </w:r>
      <w:r w:rsidRPr="009460DA">
        <w:rPr>
          <w:rFonts w:ascii="Cambria" w:hAnsi="Cambria" w:cs="Arial"/>
          <w:i/>
          <w:iCs/>
          <w:color w:val="222222"/>
          <w:sz w:val="20"/>
          <w:szCs w:val="20"/>
          <w:shd w:val="clear" w:color="auto" w:fill="FFFFFF"/>
        </w:rPr>
        <w:t>Asia Pacific Journal of Marketing and Logistics</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34</w:t>
      </w:r>
      <w:r w:rsidRPr="009460DA">
        <w:rPr>
          <w:rFonts w:ascii="Cambria" w:hAnsi="Cambria" w:cs="Arial"/>
          <w:color w:val="222222"/>
          <w:sz w:val="20"/>
          <w:szCs w:val="20"/>
          <w:shd w:val="clear" w:color="auto" w:fill="FFFFFF"/>
        </w:rPr>
        <w:t>(10), 2130-2148.</w:t>
      </w:r>
    </w:p>
    <w:p w:rsidR="008B2F5A" w:rsidRPr="009460DA" w:rsidRDefault="008B2F5A" w:rsidP="009460DA">
      <w:pPr>
        <w:spacing w:after="0" w:line="240" w:lineRule="auto"/>
        <w:ind w:left="720" w:hanging="720"/>
        <w:jc w:val="both"/>
        <w:rPr>
          <w:rFonts w:ascii="Cambria" w:hAnsi="Cambria" w:cs="Arial"/>
          <w:sz w:val="20"/>
          <w:szCs w:val="20"/>
        </w:rPr>
      </w:pPr>
      <w:r w:rsidRPr="009460DA">
        <w:rPr>
          <w:rFonts w:ascii="Cambria" w:hAnsi="Cambria" w:cs="Arial"/>
          <w:sz w:val="20"/>
          <w:szCs w:val="20"/>
        </w:rPr>
        <w:t xml:space="preserve">Ashraf, S., Ilyas, R., Imtiaz, M. &amp; Ahmad, S. (2018). Impact of service quality, corporate image and perceived value on brand loyalty with presence and absence of customer satisfaction: A study of four service sectors of Pakistan. </w:t>
      </w:r>
      <w:r w:rsidRPr="009460DA">
        <w:rPr>
          <w:rFonts w:ascii="Cambria" w:hAnsi="Cambria" w:cs="Arial"/>
          <w:i/>
          <w:sz w:val="20"/>
          <w:szCs w:val="20"/>
        </w:rPr>
        <w:t>Sciences</w:t>
      </w:r>
      <w:r w:rsidRPr="009460DA">
        <w:rPr>
          <w:rFonts w:ascii="Cambria" w:hAnsi="Cambria" w:cs="Arial"/>
          <w:sz w:val="20"/>
          <w:szCs w:val="20"/>
        </w:rPr>
        <w:t>, 28(2), 452-474.</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Assaker, G., O’Connor, P. &amp; El-Haddad, R. (2020). Examining an integrated model of the green image, perceived quality, satisfaction, trust, and loyalty in upscale hotels. </w:t>
      </w:r>
      <w:r w:rsidRPr="009460DA">
        <w:rPr>
          <w:rFonts w:ascii="Cambria" w:hAnsi="Cambria" w:cs="Arial"/>
          <w:i/>
          <w:iCs/>
          <w:color w:val="222222"/>
          <w:sz w:val="20"/>
          <w:szCs w:val="20"/>
          <w:shd w:val="clear" w:color="auto" w:fill="FFFFFF"/>
        </w:rPr>
        <w:t>Journal of Hospitality Marketing &amp; Management</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29</w:t>
      </w:r>
      <w:r w:rsidRPr="009460DA">
        <w:rPr>
          <w:rFonts w:ascii="Cambria" w:hAnsi="Cambria" w:cs="Arial"/>
          <w:color w:val="222222"/>
          <w:sz w:val="20"/>
          <w:szCs w:val="20"/>
          <w:shd w:val="clear" w:color="auto" w:fill="FFFFFF"/>
        </w:rPr>
        <w:t>(8), 934-955.</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Chen, Z. F. &amp; Cheng, Y. (2020). Consumer response to fake news about brands on social media: the effects of self-efficacy, media trust, and persuasion knowledge on brand trust. </w:t>
      </w:r>
      <w:r w:rsidRPr="009460DA">
        <w:rPr>
          <w:rFonts w:ascii="Cambria" w:hAnsi="Cambria" w:cs="Arial"/>
          <w:i/>
          <w:iCs/>
          <w:color w:val="222222"/>
          <w:sz w:val="20"/>
          <w:szCs w:val="20"/>
          <w:shd w:val="clear" w:color="auto" w:fill="FFFFFF"/>
        </w:rPr>
        <w:t>Journal of Product &amp; Brand Management</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29</w:t>
      </w:r>
      <w:r w:rsidRPr="009460DA">
        <w:rPr>
          <w:rFonts w:ascii="Cambria" w:hAnsi="Cambria" w:cs="Arial"/>
          <w:color w:val="222222"/>
          <w:sz w:val="20"/>
          <w:szCs w:val="20"/>
          <w:shd w:val="clear" w:color="auto" w:fill="FFFFFF"/>
        </w:rPr>
        <w:t>(2), 188-198.</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El Fikri, M. &amp; Dewi Nurmasari Pane, R. A. (2020). Factors Affecting Readers’ Satisfaction in" Waspada" Newspapers: Insight from Indonesia. </w:t>
      </w:r>
      <w:r w:rsidRPr="009460DA">
        <w:rPr>
          <w:rFonts w:ascii="Cambria" w:hAnsi="Cambria" w:cs="Arial"/>
          <w:iCs/>
          <w:color w:val="222222"/>
          <w:sz w:val="20"/>
          <w:szCs w:val="20"/>
          <w:shd w:val="clear" w:color="auto" w:fill="FFFFFF"/>
        </w:rPr>
        <w:t>Indexing and Abstracting</w:t>
      </w:r>
      <w:r w:rsidRPr="009460DA">
        <w:rPr>
          <w:rFonts w:ascii="Cambria" w:hAnsi="Cambria" w:cs="Arial"/>
          <w:color w:val="222222"/>
          <w:sz w:val="20"/>
          <w:szCs w:val="20"/>
          <w:shd w:val="clear" w:color="auto" w:fill="FFFFFF"/>
        </w:rPr>
        <w:t>.</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sz w:val="20"/>
          <w:szCs w:val="20"/>
        </w:rPr>
        <w:t xml:space="preserve">Falahat, M., Chuan, C. S. &amp; Kai, S. B. (2018). Brand loyalty and determinates of perceived quality and willingness to order. </w:t>
      </w:r>
      <w:r w:rsidRPr="009460DA">
        <w:rPr>
          <w:rFonts w:ascii="Cambria" w:hAnsi="Cambria" w:cs="Arial"/>
          <w:i/>
          <w:sz w:val="20"/>
          <w:szCs w:val="20"/>
        </w:rPr>
        <w:t>Academy of Strategic Management Journal</w:t>
      </w:r>
      <w:r w:rsidRPr="009460DA">
        <w:rPr>
          <w:rFonts w:ascii="Cambria" w:hAnsi="Cambria" w:cs="Arial"/>
          <w:sz w:val="20"/>
          <w:szCs w:val="20"/>
        </w:rPr>
        <w:t>, 17(4).</w:t>
      </w:r>
      <w:r w:rsidRPr="009460DA">
        <w:rPr>
          <w:rFonts w:ascii="Cambria" w:hAnsi="Cambria" w:cs="Arial"/>
          <w:color w:val="222222"/>
          <w:sz w:val="20"/>
          <w:szCs w:val="20"/>
          <w:shd w:val="clear" w:color="auto" w:fill="FFFFFF"/>
        </w:rPr>
        <w:t xml:space="preserve"> </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Fan, T. Y., Pan, B. Y., Tseng, S. D. &amp; Chao, L. P. (2023). How to Enhance Corporate Customers’ Loyalty on Purchasing Service Products? Exploring from the Perspective of Information Search. </w:t>
      </w:r>
      <w:r w:rsidRPr="009460DA">
        <w:rPr>
          <w:rFonts w:ascii="Cambria" w:hAnsi="Cambria" w:cs="Arial"/>
          <w:i/>
          <w:iCs/>
          <w:color w:val="222222"/>
          <w:sz w:val="20"/>
          <w:szCs w:val="20"/>
          <w:shd w:val="clear" w:color="auto" w:fill="FFFFFF"/>
        </w:rPr>
        <w:t>Sustainability</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15</w:t>
      </w:r>
      <w:r w:rsidRPr="009460DA">
        <w:rPr>
          <w:rFonts w:ascii="Cambria" w:hAnsi="Cambria" w:cs="Arial"/>
          <w:color w:val="222222"/>
          <w:sz w:val="20"/>
          <w:szCs w:val="20"/>
          <w:shd w:val="clear" w:color="auto" w:fill="FFFFFF"/>
        </w:rPr>
        <w:t>(9), 7101.</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Fels, A., Falk, B. &amp; Schmitt, R. (2017). User-driven customization and customer loyalty: A survey. </w:t>
      </w:r>
      <w:r w:rsidRPr="009460DA">
        <w:rPr>
          <w:rFonts w:ascii="Cambria" w:hAnsi="Cambria" w:cs="Arial"/>
          <w:i/>
          <w:iCs/>
          <w:color w:val="222222"/>
          <w:sz w:val="20"/>
          <w:szCs w:val="20"/>
          <w:shd w:val="clear" w:color="auto" w:fill="FFFFFF"/>
        </w:rPr>
        <w:t>Procedia CIRP</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60</w:t>
      </w:r>
      <w:r w:rsidRPr="009460DA">
        <w:rPr>
          <w:rFonts w:ascii="Cambria" w:hAnsi="Cambria" w:cs="Arial"/>
          <w:color w:val="222222"/>
          <w:sz w:val="20"/>
          <w:szCs w:val="20"/>
          <w:shd w:val="clear" w:color="auto" w:fill="FFFFFF"/>
        </w:rPr>
        <w:t>, 410-415.</w:t>
      </w:r>
    </w:p>
    <w:p w:rsidR="008B2F5A" w:rsidRPr="009460DA" w:rsidRDefault="008B2F5A" w:rsidP="009460DA">
      <w:pPr>
        <w:spacing w:after="0" w:line="240" w:lineRule="auto"/>
        <w:ind w:left="720" w:hanging="720"/>
        <w:jc w:val="both"/>
        <w:rPr>
          <w:rFonts w:ascii="Cambria" w:hAnsi="Cambria"/>
          <w:sz w:val="20"/>
          <w:szCs w:val="20"/>
        </w:rPr>
      </w:pPr>
      <w:r w:rsidRPr="009460DA">
        <w:rPr>
          <w:rFonts w:ascii="Cambria" w:hAnsi="Cambria" w:cs="Arial"/>
          <w:color w:val="222222"/>
          <w:sz w:val="20"/>
          <w:szCs w:val="20"/>
          <w:shd w:val="clear" w:color="auto" w:fill="FFFFFF"/>
        </w:rPr>
        <w:t>Hadi, N. N. &amp; Rahim, N. M. (2014). The Relationship between Customer Satisfaction and Loyalty toward Sport Brand in Urmia.</w:t>
      </w:r>
      <w:r w:rsidRPr="009460DA">
        <w:rPr>
          <w:rFonts w:ascii="Cambria" w:hAnsi="Cambria"/>
          <w:sz w:val="20"/>
          <w:szCs w:val="20"/>
        </w:rPr>
        <w:t xml:space="preserve"> </w:t>
      </w:r>
      <w:r w:rsidRPr="009460DA">
        <w:rPr>
          <w:rFonts w:ascii="Cambria" w:hAnsi="Cambria"/>
          <w:i/>
          <w:sz w:val="20"/>
          <w:szCs w:val="20"/>
        </w:rPr>
        <w:t>Indian Journal of Fundamental and Applied Life Science,</w:t>
      </w:r>
      <w:r w:rsidRPr="009460DA">
        <w:rPr>
          <w:rFonts w:ascii="Cambria" w:hAnsi="Cambria"/>
          <w:sz w:val="20"/>
          <w:szCs w:val="20"/>
        </w:rPr>
        <w:t xml:space="preserve"> 4(3), 1435-1439.</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Hamzah, A. A. &amp; Shamsudin, M. F. (2020). Why is customer satisfaction important to business? </w:t>
      </w:r>
      <w:r w:rsidRPr="009460DA">
        <w:rPr>
          <w:rFonts w:ascii="Cambria" w:hAnsi="Cambria" w:cs="Arial"/>
          <w:i/>
          <w:iCs/>
          <w:color w:val="222222"/>
          <w:sz w:val="20"/>
          <w:szCs w:val="20"/>
          <w:shd w:val="clear" w:color="auto" w:fill="FFFFFF"/>
        </w:rPr>
        <w:t>Journal of Undergraduate Social Science and Technology</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w:t>
      </w:r>
      <w:r w:rsidRPr="009460DA">
        <w:rPr>
          <w:rFonts w:ascii="Cambria" w:hAnsi="Cambria" w:cs="Arial"/>
          <w:color w:val="222222"/>
          <w:sz w:val="20"/>
          <w:szCs w:val="20"/>
          <w:shd w:val="clear" w:color="auto" w:fill="FFFFFF"/>
        </w:rPr>
        <w:t>(1).</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noProof/>
          <w:sz w:val="20"/>
          <w:szCs w:val="20"/>
        </w:rPr>
        <w:t xml:space="preserve">Hardjono, B. &amp; Teng, C. Y. (2019). Evaluating the influence of sportswear brand personality on generation y customer preference in Malaysia. </w:t>
      </w:r>
      <w:r w:rsidRPr="009460DA">
        <w:rPr>
          <w:rFonts w:ascii="Cambria" w:hAnsi="Cambria" w:cs="Arial"/>
          <w:i/>
          <w:iCs/>
          <w:noProof/>
          <w:sz w:val="20"/>
          <w:szCs w:val="20"/>
        </w:rPr>
        <w:t>International Journal of Recent Technology and Engineering</w:t>
      </w:r>
      <w:r w:rsidRPr="009460DA">
        <w:rPr>
          <w:rFonts w:ascii="Cambria" w:hAnsi="Cambria" w:cs="Arial"/>
          <w:noProof/>
          <w:sz w:val="20"/>
          <w:szCs w:val="20"/>
        </w:rPr>
        <w:t xml:space="preserve">, </w:t>
      </w:r>
      <w:r w:rsidRPr="009460DA">
        <w:rPr>
          <w:rFonts w:ascii="Cambria" w:hAnsi="Cambria" w:cs="Arial"/>
          <w:iCs/>
          <w:noProof/>
          <w:sz w:val="20"/>
          <w:szCs w:val="20"/>
        </w:rPr>
        <w:t>8</w:t>
      </w:r>
      <w:r w:rsidRPr="009460DA">
        <w:rPr>
          <w:rFonts w:ascii="Cambria" w:hAnsi="Cambria" w:cs="Arial"/>
          <w:noProof/>
          <w:sz w:val="20"/>
          <w:szCs w:val="20"/>
        </w:rPr>
        <w:t xml:space="preserve">(1), 38–44. </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Ikechi, O. P. &amp; Tamuno, M. P. (2023). Customer Perceived Value Adoption and Marketing Performance of Luxury Hotels in Port Harcourt. </w:t>
      </w:r>
      <w:r w:rsidRPr="009460DA">
        <w:rPr>
          <w:rFonts w:ascii="Cambria" w:hAnsi="Cambria" w:cs="Arial"/>
          <w:iCs/>
          <w:color w:val="222222"/>
          <w:sz w:val="20"/>
          <w:szCs w:val="20"/>
          <w:shd w:val="clear" w:color="auto" w:fill="FFFFFF"/>
        </w:rPr>
        <w:t>BW Academic Journal</w:t>
      </w:r>
      <w:r w:rsidRPr="009460DA">
        <w:rPr>
          <w:rFonts w:ascii="Cambria" w:hAnsi="Cambria" w:cs="Arial"/>
          <w:color w:val="222222"/>
          <w:sz w:val="20"/>
          <w:szCs w:val="20"/>
          <w:shd w:val="clear" w:color="auto" w:fill="FFFFFF"/>
        </w:rPr>
        <w:t>, 21-21.</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Ilias, N. F. B., Liang, T. K. W., Lo, M. C., Yee, S. S. &amp; binti Badruddin, N. I. (2020). Factors Influencing Brand Equity of Sportswear Brands among Young Adults in Malaysia. </w:t>
      </w:r>
      <w:r w:rsidRPr="009460DA">
        <w:rPr>
          <w:rFonts w:ascii="Cambria" w:hAnsi="Cambria" w:cs="Arial"/>
          <w:i/>
          <w:iCs/>
          <w:color w:val="222222"/>
          <w:sz w:val="20"/>
          <w:szCs w:val="20"/>
          <w:shd w:val="clear" w:color="auto" w:fill="FFFFFF"/>
        </w:rPr>
        <w:t>Journal of Marketing and Information Systems</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w:t>
      </w:r>
      <w:r w:rsidRPr="009460DA">
        <w:rPr>
          <w:rFonts w:ascii="Cambria" w:hAnsi="Cambria" w:cs="Arial"/>
          <w:color w:val="222222"/>
          <w:sz w:val="20"/>
          <w:szCs w:val="20"/>
          <w:shd w:val="clear" w:color="auto" w:fill="FFFFFF"/>
        </w:rPr>
        <w:t>(1), 26-45.</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Jain, S., Basu, S., Dwivedi, Y. K. &amp; Kaur, S. (2022). Interactive voice assistants–Does brand credibility assuage privacy risks? </w:t>
      </w:r>
      <w:r w:rsidRPr="009460DA">
        <w:rPr>
          <w:rFonts w:ascii="Cambria" w:hAnsi="Cambria" w:cs="Arial"/>
          <w:i/>
          <w:iCs/>
          <w:color w:val="222222"/>
          <w:sz w:val="20"/>
          <w:szCs w:val="20"/>
          <w:shd w:val="clear" w:color="auto" w:fill="FFFFFF"/>
        </w:rPr>
        <w:t>Journal of Business Research</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139</w:t>
      </w:r>
      <w:r w:rsidRPr="009460DA">
        <w:rPr>
          <w:rFonts w:ascii="Cambria" w:hAnsi="Cambria" w:cs="Arial"/>
          <w:color w:val="222222"/>
          <w:sz w:val="20"/>
          <w:szCs w:val="20"/>
          <w:shd w:val="clear" w:color="auto" w:fill="FFFFFF"/>
        </w:rPr>
        <w:t>, 701-717.</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Jan, T., Arfat Manzoor, D. S. N. T. &amp; Ishrat, W. B. (2022). Service Quality in J&amp;K Bank and Its Impact on Customer Satisfaction: SEM Approach. </w:t>
      </w:r>
      <w:r w:rsidRPr="009460DA">
        <w:rPr>
          <w:rFonts w:ascii="Cambria" w:hAnsi="Cambria" w:cs="Arial"/>
          <w:i/>
          <w:iCs/>
          <w:color w:val="222222"/>
          <w:sz w:val="20"/>
          <w:szCs w:val="20"/>
          <w:shd w:val="clear" w:color="auto" w:fill="FFFFFF"/>
        </w:rPr>
        <w:t>Central European Management Journal</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30</w:t>
      </w:r>
      <w:r w:rsidRPr="009460DA">
        <w:rPr>
          <w:rFonts w:ascii="Cambria" w:hAnsi="Cambria" w:cs="Arial"/>
          <w:color w:val="222222"/>
          <w:sz w:val="20"/>
          <w:szCs w:val="20"/>
          <w:shd w:val="clear" w:color="auto" w:fill="FFFFFF"/>
        </w:rPr>
        <w:t>(4), 1420-1426.</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Janoskova, K. &amp; Kral, P. (2020). Perception of selected sportswear brands with an emphasis on expected benefits and features as a prerequisite for customer satisfaction. In </w:t>
      </w:r>
      <w:r w:rsidRPr="009460DA">
        <w:rPr>
          <w:rFonts w:ascii="Cambria" w:hAnsi="Cambria" w:cs="Arial"/>
          <w:i/>
          <w:iCs/>
          <w:color w:val="222222"/>
          <w:sz w:val="20"/>
          <w:szCs w:val="20"/>
          <w:shd w:val="clear" w:color="auto" w:fill="FFFFFF"/>
        </w:rPr>
        <w:t>SHS Web of Conferences</w:t>
      </w:r>
      <w:r w:rsidRPr="009460DA">
        <w:rPr>
          <w:rFonts w:ascii="Cambria" w:hAnsi="Cambria" w:cs="Arial"/>
          <w:color w:val="222222"/>
          <w:sz w:val="20"/>
          <w:szCs w:val="20"/>
          <w:shd w:val="clear" w:color="auto" w:fill="FFFFFF"/>
        </w:rPr>
        <w:t>, 74, 01008.</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lastRenderedPageBreak/>
        <w:t>Kataria, S. &amp; Saini, V. (2020). The mediating impact of customer satisfaction in relation to brand equity and brand loyalty: An empirical synthesis and re-examination. </w:t>
      </w:r>
      <w:r w:rsidRPr="009460DA">
        <w:rPr>
          <w:rFonts w:ascii="Cambria" w:hAnsi="Cambria" w:cs="Arial"/>
          <w:i/>
          <w:iCs/>
          <w:color w:val="222222"/>
          <w:sz w:val="20"/>
          <w:szCs w:val="20"/>
          <w:shd w:val="clear" w:color="auto" w:fill="FFFFFF"/>
        </w:rPr>
        <w:t>South Asian Journal of Business Studies</w:t>
      </w:r>
      <w:r w:rsidRPr="009460DA">
        <w:rPr>
          <w:rFonts w:ascii="Cambria" w:hAnsi="Cambria" w:cs="Arial"/>
          <w:color w:val="222222"/>
          <w:sz w:val="20"/>
          <w:szCs w:val="20"/>
          <w:shd w:val="clear" w:color="auto" w:fill="FFFFFF"/>
        </w:rPr>
        <w:t>, </w:t>
      </w:r>
      <w:r w:rsidRPr="009460DA">
        <w:rPr>
          <w:rFonts w:ascii="Cambria" w:hAnsi="Cambria" w:cs="Arial"/>
          <w:i/>
          <w:iCs/>
          <w:color w:val="222222"/>
          <w:sz w:val="20"/>
          <w:szCs w:val="20"/>
          <w:shd w:val="clear" w:color="auto" w:fill="FFFFFF"/>
        </w:rPr>
        <w:t>9</w:t>
      </w:r>
      <w:r w:rsidRPr="009460DA">
        <w:rPr>
          <w:rFonts w:ascii="Cambria" w:hAnsi="Cambria" w:cs="Arial"/>
          <w:color w:val="222222"/>
          <w:sz w:val="20"/>
          <w:szCs w:val="20"/>
          <w:shd w:val="clear" w:color="auto" w:fill="FFFFFF"/>
        </w:rPr>
        <w:t>(1), 62-87.</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Kee, D. M. H., Gan, Z. W., Chan, Y. Q., Lee, H. T., Tan, X. Y. &amp; Lee, S. W. (2021). Customer satisfaction and brand loyalty: A case study of Nestlé. </w:t>
      </w:r>
      <w:r w:rsidRPr="009460DA">
        <w:rPr>
          <w:rFonts w:ascii="Cambria" w:hAnsi="Cambria" w:cs="Arial"/>
          <w:i/>
          <w:iCs/>
          <w:color w:val="222222"/>
          <w:sz w:val="20"/>
          <w:szCs w:val="20"/>
          <w:shd w:val="clear" w:color="auto" w:fill="FFFFFF"/>
        </w:rPr>
        <w:t>Advances in Global Economics and Business Journal</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w:t>
      </w:r>
      <w:r w:rsidRPr="009460DA">
        <w:rPr>
          <w:rFonts w:ascii="Cambria" w:hAnsi="Cambria" w:cs="Arial"/>
          <w:color w:val="222222"/>
          <w:sz w:val="20"/>
          <w:szCs w:val="20"/>
          <w:shd w:val="clear" w:color="auto" w:fill="FFFFFF"/>
        </w:rPr>
        <w:t xml:space="preserve">(1), 13-26. </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Khan, I. &amp; Fatma, M. (2019). Connecting the dots between CSR and brand loyalty: the mediating role of brand experience and trust. </w:t>
      </w:r>
      <w:r w:rsidRPr="009460DA">
        <w:rPr>
          <w:rFonts w:ascii="Cambria" w:hAnsi="Cambria" w:cs="Arial"/>
          <w:i/>
          <w:iCs/>
          <w:color w:val="222222"/>
          <w:sz w:val="20"/>
          <w:szCs w:val="20"/>
          <w:shd w:val="clear" w:color="auto" w:fill="FFFFFF"/>
        </w:rPr>
        <w:t>International Journal of Business Excellence</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17</w:t>
      </w:r>
      <w:r w:rsidRPr="009460DA">
        <w:rPr>
          <w:rFonts w:ascii="Cambria" w:hAnsi="Cambria" w:cs="Arial"/>
          <w:color w:val="222222"/>
          <w:sz w:val="20"/>
          <w:szCs w:val="20"/>
          <w:shd w:val="clear" w:color="auto" w:fill="FFFFFF"/>
        </w:rPr>
        <w:t>(4), 439-455.</w:t>
      </w:r>
    </w:p>
    <w:p w:rsidR="008B2F5A" w:rsidRPr="009460DA" w:rsidRDefault="008B2F5A" w:rsidP="009460DA">
      <w:pPr>
        <w:spacing w:after="0" w:line="240" w:lineRule="auto"/>
        <w:ind w:left="720" w:hanging="720"/>
        <w:jc w:val="both"/>
        <w:rPr>
          <w:rFonts w:ascii="Cambria" w:hAnsi="Cambria" w:cs="Arial"/>
          <w:sz w:val="20"/>
          <w:szCs w:val="20"/>
        </w:rPr>
      </w:pPr>
      <w:r w:rsidRPr="009460DA">
        <w:rPr>
          <w:rFonts w:ascii="Cambria" w:hAnsi="Cambria" w:cs="Arial"/>
          <w:sz w:val="20"/>
          <w:szCs w:val="20"/>
        </w:rPr>
        <w:t>Kotler, P. &amp; Keller, K. L. (2016). Marketing Management (15th Global Edition). </w:t>
      </w:r>
      <w:r w:rsidRPr="009460DA">
        <w:rPr>
          <w:rFonts w:ascii="Cambria" w:hAnsi="Cambria" w:cs="Arial"/>
          <w:iCs/>
          <w:sz w:val="20"/>
          <w:szCs w:val="20"/>
        </w:rPr>
        <w:t>England: Person Education Limited</w:t>
      </w:r>
      <w:r w:rsidRPr="009460DA">
        <w:rPr>
          <w:rFonts w:ascii="Cambria" w:hAnsi="Cambria" w:cs="Arial"/>
          <w:sz w:val="20"/>
          <w:szCs w:val="20"/>
        </w:rPr>
        <w:t>.</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Kwan, S. S., Amenuvor, F. E., Basilisco, R. &amp; Owusu-Antwi, K. (2019). Brand trust and brand loyalty: A moderation and mediation perspective. </w:t>
      </w:r>
      <w:r w:rsidRPr="009460DA">
        <w:rPr>
          <w:rFonts w:ascii="Cambria" w:hAnsi="Cambria" w:cs="Arial"/>
          <w:i/>
          <w:iCs/>
          <w:color w:val="222222"/>
          <w:sz w:val="20"/>
          <w:szCs w:val="20"/>
          <w:shd w:val="clear" w:color="auto" w:fill="FFFFFF"/>
        </w:rPr>
        <w:t>Current Journal of Applied Science and Technology</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38</w:t>
      </w:r>
      <w:r w:rsidRPr="009460DA">
        <w:rPr>
          <w:rFonts w:ascii="Cambria" w:hAnsi="Cambria" w:cs="Arial"/>
          <w:color w:val="222222"/>
          <w:sz w:val="20"/>
          <w:szCs w:val="20"/>
          <w:shd w:val="clear" w:color="auto" w:fill="FFFFFF"/>
        </w:rPr>
        <w:t>(4), 1-17.</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Mansouri, H., Sadeghi Boroujerdi, S. &amp; Md Husin, M. (2022). The influence of sellers’ ethical behavior on customer loyalty, satisfaction and trust. </w:t>
      </w:r>
      <w:r w:rsidRPr="009460DA">
        <w:rPr>
          <w:rFonts w:ascii="Cambria" w:hAnsi="Cambria" w:cs="Arial"/>
          <w:i/>
          <w:iCs/>
          <w:color w:val="222222"/>
          <w:sz w:val="20"/>
          <w:szCs w:val="20"/>
          <w:shd w:val="clear" w:color="auto" w:fill="FFFFFF"/>
        </w:rPr>
        <w:t>Spanish Journal of Marketing-ESIC</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26</w:t>
      </w:r>
      <w:r w:rsidRPr="009460DA">
        <w:rPr>
          <w:rFonts w:ascii="Cambria" w:hAnsi="Cambria" w:cs="Arial"/>
          <w:color w:val="222222"/>
          <w:sz w:val="20"/>
          <w:szCs w:val="20"/>
          <w:shd w:val="clear" w:color="auto" w:fill="FFFFFF"/>
        </w:rPr>
        <w:t>(2), 267-283.</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Matthews, D., Rothenberg, L. &amp; Gopalakrishnan, S. (2019). The impact of mass customization on fashion-innovative students: an assessment of the need for uniqueness, self-identity, and perceived performance risk. </w:t>
      </w:r>
      <w:r w:rsidRPr="009460DA">
        <w:rPr>
          <w:rFonts w:ascii="Cambria" w:hAnsi="Cambria" w:cs="Arial"/>
          <w:i/>
          <w:iCs/>
          <w:color w:val="222222"/>
          <w:sz w:val="20"/>
          <w:szCs w:val="20"/>
          <w:shd w:val="clear" w:color="auto" w:fill="FFFFFF"/>
        </w:rPr>
        <w:t>International Journal of Fashion Design, Technology and Education</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12</w:t>
      </w:r>
      <w:r w:rsidRPr="009460DA">
        <w:rPr>
          <w:rFonts w:ascii="Cambria" w:hAnsi="Cambria" w:cs="Arial"/>
          <w:color w:val="222222"/>
          <w:sz w:val="20"/>
          <w:szCs w:val="20"/>
          <w:shd w:val="clear" w:color="auto" w:fill="FFFFFF"/>
        </w:rPr>
        <w:t>(3), 293-300.</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Mohammad, S. (2021). Impact of Brand Loyalty on Customer Satisfaction (An Empirical Analysis of Clothing Brands). </w:t>
      </w:r>
      <w:r w:rsidRPr="009460DA">
        <w:rPr>
          <w:rFonts w:ascii="Cambria" w:hAnsi="Cambria" w:cs="Arial"/>
          <w:iCs/>
          <w:color w:val="222222"/>
          <w:sz w:val="20"/>
          <w:szCs w:val="20"/>
          <w:shd w:val="clear" w:color="auto" w:fill="FFFFFF"/>
        </w:rPr>
        <w:t xml:space="preserve">Jamal, S. &amp; Sultan, K. (2021). Impact of Brand Loyalty on Customer Satisfaction (An Empirical Analysis of Clothing Brands). </w:t>
      </w:r>
      <w:r w:rsidRPr="009460DA">
        <w:rPr>
          <w:rFonts w:ascii="Cambria" w:hAnsi="Cambria" w:cs="Arial"/>
          <w:i/>
          <w:iCs/>
          <w:color w:val="222222"/>
          <w:sz w:val="20"/>
          <w:szCs w:val="20"/>
          <w:shd w:val="clear" w:color="auto" w:fill="FFFFFF"/>
        </w:rPr>
        <w:t>Turkish Journal of Computer and Mathematics Education</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12</w:t>
      </w:r>
      <w:r w:rsidRPr="009460DA">
        <w:rPr>
          <w:rFonts w:ascii="Cambria" w:hAnsi="Cambria" w:cs="Arial"/>
          <w:color w:val="222222"/>
          <w:sz w:val="20"/>
          <w:szCs w:val="20"/>
          <w:shd w:val="clear" w:color="auto" w:fill="FFFFFF"/>
        </w:rPr>
        <w:t>(10), 7085-7093.</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Mukherjee, S. &amp; Althuizen, N. (2020). Brand activism: Does courting controversy help or hurt a brand? </w:t>
      </w:r>
      <w:r w:rsidRPr="009460DA">
        <w:rPr>
          <w:rFonts w:ascii="Cambria" w:hAnsi="Cambria" w:cs="Arial"/>
          <w:i/>
          <w:iCs/>
          <w:color w:val="222222"/>
          <w:sz w:val="20"/>
          <w:szCs w:val="20"/>
          <w:shd w:val="clear" w:color="auto" w:fill="FFFFFF"/>
        </w:rPr>
        <w:t>International journal of research in marketing</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37</w:t>
      </w:r>
      <w:r w:rsidRPr="009460DA">
        <w:rPr>
          <w:rFonts w:ascii="Cambria" w:hAnsi="Cambria" w:cs="Arial"/>
          <w:color w:val="222222"/>
          <w:sz w:val="20"/>
          <w:szCs w:val="20"/>
          <w:shd w:val="clear" w:color="auto" w:fill="FFFFFF"/>
        </w:rPr>
        <w:t>(4), 772-788.</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Nora, L. (2019). Trust, commitment, and customer knowledge: Clarifying and linking relational commitments to repurchasing intentions. </w:t>
      </w:r>
      <w:r w:rsidRPr="009460DA">
        <w:rPr>
          <w:rFonts w:ascii="Cambria" w:hAnsi="Cambria" w:cs="Arial"/>
          <w:iCs/>
          <w:color w:val="222222"/>
          <w:sz w:val="20"/>
          <w:szCs w:val="20"/>
          <w:shd w:val="clear" w:color="auto" w:fill="FFFFFF"/>
        </w:rPr>
        <w:t>Management Decision</w:t>
      </w:r>
      <w:r w:rsidRPr="009460DA">
        <w:rPr>
          <w:rFonts w:ascii="Cambria" w:hAnsi="Cambria" w:cs="Arial"/>
          <w:color w:val="222222"/>
          <w:sz w:val="20"/>
          <w:szCs w:val="20"/>
          <w:shd w:val="clear" w:color="auto" w:fill="FFFFFF"/>
        </w:rPr>
        <w:t>.</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Pa, W. A. M. W., Zainal, M. S. &amp; Mahmud, M. S. (2021). Factor of Brand Loyalty in Sportswear among Student-Athletes. </w:t>
      </w:r>
      <w:r w:rsidRPr="009460DA">
        <w:rPr>
          <w:rFonts w:ascii="Cambria" w:hAnsi="Cambria" w:cs="Arial"/>
          <w:i/>
          <w:iCs/>
          <w:color w:val="222222"/>
          <w:sz w:val="20"/>
          <w:szCs w:val="20"/>
          <w:shd w:val="clear" w:color="auto" w:fill="FFFFFF"/>
        </w:rPr>
        <w:t xml:space="preserve">Journal of Contemporary Issues in Business and Government, </w:t>
      </w:r>
      <w:r w:rsidRPr="009460DA">
        <w:rPr>
          <w:rFonts w:ascii="Cambria" w:hAnsi="Cambria" w:cs="Arial"/>
          <w:iCs/>
          <w:color w:val="222222"/>
          <w:sz w:val="20"/>
          <w:szCs w:val="20"/>
          <w:shd w:val="clear" w:color="auto" w:fill="FFFFFF"/>
        </w:rPr>
        <w:t>27</w:t>
      </w:r>
      <w:r w:rsidRPr="009460DA">
        <w:rPr>
          <w:rFonts w:ascii="Cambria" w:hAnsi="Cambria" w:cs="Arial"/>
          <w:color w:val="222222"/>
          <w:sz w:val="20"/>
          <w:szCs w:val="20"/>
          <w:shd w:val="clear" w:color="auto" w:fill="FFFFFF"/>
        </w:rPr>
        <w:t>(1).</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Pandey, N., Tripathi, A., Jain, D. &amp; Roy, S. (2020). Does price tolerance depend upon the type of product in e-retailing? Role of customer satisfaction, trust, loyalty, and perceived value. </w:t>
      </w:r>
      <w:r w:rsidRPr="009460DA">
        <w:rPr>
          <w:rFonts w:ascii="Cambria" w:hAnsi="Cambria" w:cs="Arial"/>
          <w:i/>
          <w:iCs/>
          <w:color w:val="222222"/>
          <w:sz w:val="20"/>
          <w:szCs w:val="20"/>
          <w:shd w:val="clear" w:color="auto" w:fill="FFFFFF"/>
        </w:rPr>
        <w:t>Journal of Strategic Marketing</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28</w:t>
      </w:r>
      <w:r w:rsidRPr="009460DA">
        <w:rPr>
          <w:rFonts w:ascii="Cambria" w:hAnsi="Cambria" w:cs="Arial"/>
          <w:color w:val="222222"/>
          <w:sz w:val="20"/>
          <w:szCs w:val="20"/>
          <w:shd w:val="clear" w:color="auto" w:fill="FFFFFF"/>
        </w:rPr>
        <w:t>(6), 522-541.</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Parashar, G. (2018). A Study of Brand Awareness and Customer Satisfaction.</w:t>
      </w:r>
      <w:r w:rsidRPr="009460DA">
        <w:rPr>
          <w:rFonts w:ascii="Cambria" w:hAnsi="Cambria"/>
          <w:sz w:val="20"/>
          <w:szCs w:val="20"/>
        </w:rPr>
        <w:t xml:space="preserve"> </w:t>
      </w:r>
      <w:r w:rsidRPr="009460DA">
        <w:rPr>
          <w:rFonts w:ascii="Cambria" w:hAnsi="Cambria" w:cs="Arial"/>
          <w:i/>
          <w:iCs/>
          <w:color w:val="222222"/>
          <w:sz w:val="20"/>
          <w:szCs w:val="20"/>
          <w:shd w:val="clear" w:color="auto" w:fill="FFFFFF"/>
        </w:rPr>
        <w:t xml:space="preserve">International Journal of Research, </w:t>
      </w:r>
      <w:r w:rsidRPr="009460DA">
        <w:rPr>
          <w:rFonts w:ascii="Cambria" w:hAnsi="Cambria" w:cs="Arial"/>
          <w:color w:val="222222"/>
          <w:sz w:val="20"/>
          <w:szCs w:val="20"/>
          <w:shd w:val="clear" w:color="auto" w:fill="FFFFFF"/>
        </w:rPr>
        <w:t>5(22).</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Rahuman, A. A., Akram, A. M. &amp; Siraji, M. (2022). Service Quality and Customer Satisfaction: Evidence from State Commercial Banks in Ampara District. </w:t>
      </w:r>
      <w:r w:rsidRPr="009460DA">
        <w:rPr>
          <w:rFonts w:ascii="Cambria" w:hAnsi="Cambria" w:cs="Arial"/>
          <w:i/>
          <w:iCs/>
          <w:color w:val="222222"/>
          <w:sz w:val="20"/>
          <w:szCs w:val="20"/>
          <w:shd w:val="clear" w:color="auto" w:fill="FFFFFF"/>
        </w:rPr>
        <w:t>Daengku: Journal of Humanities and Social Sciences Innovation</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w:t>
      </w:r>
      <w:r w:rsidRPr="009460DA">
        <w:rPr>
          <w:rFonts w:ascii="Cambria" w:hAnsi="Cambria" w:cs="Arial"/>
          <w:color w:val="222222"/>
          <w:sz w:val="20"/>
          <w:szCs w:val="20"/>
          <w:shd w:val="clear" w:color="auto" w:fill="FFFFFF"/>
        </w:rPr>
        <w:t>(1), 9-18.</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Saricam, C. (2022). Analyzing service quality and its relation to customer satisfaction and loyalty in sportswear retail market. </w:t>
      </w:r>
      <w:r w:rsidRPr="009460DA">
        <w:rPr>
          <w:rFonts w:ascii="Cambria" w:hAnsi="Cambria" w:cs="Arial"/>
          <w:i/>
          <w:iCs/>
          <w:color w:val="222222"/>
          <w:sz w:val="20"/>
          <w:szCs w:val="20"/>
          <w:shd w:val="clear" w:color="auto" w:fill="FFFFFF"/>
        </w:rPr>
        <w:t>Autex Research Journal</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22</w:t>
      </w:r>
      <w:r w:rsidRPr="009460DA">
        <w:rPr>
          <w:rFonts w:ascii="Cambria" w:hAnsi="Cambria" w:cs="Arial"/>
          <w:color w:val="222222"/>
          <w:sz w:val="20"/>
          <w:szCs w:val="20"/>
          <w:shd w:val="clear" w:color="auto" w:fill="FFFFFF"/>
        </w:rPr>
        <w:t xml:space="preserve">(2), 184-193. </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Sugiarto, S. &amp; Octaviana, V. (2021). Service Quality (SERVQUAL) Dimensions on Customer Satisfaction: Empirical Evidence from Bank Study. </w:t>
      </w:r>
      <w:r w:rsidRPr="009460DA">
        <w:rPr>
          <w:rFonts w:ascii="Cambria" w:hAnsi="Cambria" w:cs="Arial"/>
          <w:i/>
          <w:iCs/>
          <w:color w:val="222222"/>
          <w:sz w:val="20"/>
          <w:szCs w:val="20"/>
          <w:shd w:val="clear" w:color="auto" w:fill="FFFFFF"/>
        </w:rPr>
        <w:t>Golden Ratio of Marketing and Applied Psychology of Business</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1</w:t>
      </w:r>
      <w:r w:rsidRPr="009460DA">
        <w:rPr>
          <w:rFonts w:ascii="Cambria" w:hAnsi="Cambria" w:cs="Arial"/>
          <w:color w:val="222222"/>
          <w:sz w:val="20"/>
          <w:szCs w:val="20"/>
          <w:shd w:val="clear" w:color="auto" w:fill="FFFFFF"/>
        </w:rPr>
        <w:t>(2), 93-106.</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Tukiran, M., Tan, P. &amp; Sunaryo, W. (2021). Obtaining customer satisfaction by managing customer expectation, customer perceived quality and perceived value. </w:t>
      </w:r>
      <w:r w:rsidRPr="009460DA">
        <w:rPr>
          <w:rFonts w:ascii="Cambria" w:hAnsi="Cambria" w:cs="Arial"/>
          <w:i/>
          <w:iCs/>
          <w:color w:val="222222"/>
          <w:sz w:val="20"/>
          <w:szCs w:val="20"/>
          <w:shd w:val="clear" w:color="auto" w:fill="FFFFFF"/>
        </w:rPr>
        <w:t>Uncertain Supply Chain Management</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9</w:t>
      </w:r>
      <w:r w:rsidRPr="009460DA">
        <w:rPr>
          <w:rFonts w:ascii="Cambria" w:hAnsi="Cambria" w:cs="Arial"/>
          <w:color w:val="222222"/>
          <w:sz w:val="20"/>
          <w:szCs w:val="20"/>
          <w:shd w:val="clear" w:color="auto" w:fill="FFFFFF"/>
        </w:rPr>
        <w:t>(2), 481-488.</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Uysal, A. &amp; Okumuş, A. (2022). The effect of consumer-based brand authenticity on customer satisfaction and brand loyalty. </w:t>
      </w:r>
      <w:r w:rsidRPr="009460DA">
        <w:rPr>
          <w:rFonts w:ascii="Cambria" w:hAnsi="Cambria" w:cs="Arial"/>
          <w:i/>
          <w:iCs/>
          <w:color w:val="222222"/>
          <w:sz w:val="20"/>
          <w:szCs w:val="20"/>
          <w:shd w:val="clear" w:color="auto" w:fill="FFFFFF"/>
        </w:rPr>
        <w:t>Asia Pacific Journal of Marketing and Logistics</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34</w:t>
      </w:r>
      <w:r w:rsidRPr="009460DA">
        <w:rPr>
          <w:rFonts w:ascii="Cambria" w:hAnsi="Cambria" w:cs="Arial"/>
          <w:color w:val="222222"/>
          <w:sz w:val="20"/>
          <w:szCs w:val="20"/>
          <w:shd w:val="clear" w:color="auto" w:fill="FFFFFF"/>
        </w:rPr>
        <w:t xml:space="preserve">(8), 1740-1760. </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Uzir, E. R. (2010). Customer-based brand equity of the sportswear market in Malaysia.</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r w:rsidRPr="009460DA">
        <w:rPr>
          <w:rFonts w:ascii="Cambria" w:hAnsi="Cambria" w:cs="Arial"/>
          <w:color w:val="222222"/>
          <w:sz w:val="20"/>
          <w:szCs w:val="20"/>
          <w:shd w:val="clear" w:color="auto" w:fill="FFFFFF"/>
        </w:rPr>
        <w:t>Zhong, Y. &amp; Moon, H. C. (2020). What drives customer satisfaction, loyalty, and happiness in fast-food restaurants in China? Perceived price, service quality, food quality, physical environment quality, and the moderating role of gender. </w:t>
      </w:r>
      <w:r w:rsidRPr="009460DA">
        <w:rPr>
          <w:rFonts w:ascii="Cambria" w:hAnsi="Cambria" w:cs="Arial"/>
          <w:i/>
          <w:iCs/>
          <w:color w:val="222222"/>
          <w:sz w:val="20"/>
          <w:szCs w:val="20"/>
          <w:shd w:val="clear" w:color="auto" w:fill="FFFFFF"/>
        </w:rPr>
        <w:t>Foods</w:t>
      </w:r>
      <w:r w:rsidRPr="009460DA">
        <w:rPr>
          <w:rFonts w:ascii="Cambria" w:hAnsi="Cambria" w:cs="Arial"/>
          <w:color w:val="222222"/>
          <w:sz w:val="20"/>
          <w:szCs w:val="20"/>
          <w:shd w:val="clear" w:color="auto" w:fill="FFFFFF"/>
        </w:rPr>
        <w:t>, </w:t>
      </w:r>
      <w:r w:rsidRPr="009460DA">
        <w:rPr>
          <w:rFonts w:ascii="Cambria" w:hAnsi="Cambria" w:cs="Arial"/>
          <w:iCs/>
          <w:color w:val="222222"/>
          <w:sz w:val="20"/>
          <w:szCs w:val="20"/>
          <w:shd w:val="clear" w:color="auto" w:fill="FFFFFF"/>
        </w:rPr>
        <w:t>9</w:t>
      </w:r>
      <w:r w:rsidRPr="009460DA">
        <w:rPr>
          <w:rFonts w:ascii="Cambria" w:hAnsi="Cambria" w:cs="Arial"/>
          <w:color w:val="222222"/>
          <w:sz w:val="20"/>
          <w:szCs w:val="20"/>
          <w:shd w:val="clear" w:color="auto" w:fill="FFFFFF"/>
        </w:rPr>
        <w:t>(4), 460.</w:t>
      </w:r>
    </w:p>
    <w:p w:rsidR="008B2F5A" w:rsidRPr="009460DA" w:rsidRDefault="008B2F5A" w:rsidP="009460DA">
      <w:pPr>
        <w:spacing w:after="0" w:line="240" w:lineRule="auto"/>
        <w:ind w:left="720" w:hanging="720"/>
        <w:jc w:val="both"/>
        <w:rPr>
          <w:rFonts w:ascii="Cambria" w:hAnsi="Cambria" w:cs="Arial"/>
          <w:color w:val="222222"/>
          <w:sz w:val="20"/>
          <w:szCs w:val="20"/>
          <w:shd w:val="clear" w:color="auto" w:fill="FFFFFF"/>
        </w:rPr>
      </w:pPr>
    </w:p>
    <w:p w:rsidR="008B2F5A" w:rsidRPr="009460DA" w:rsidRDefault="008B2F5A" w:rsidP="009460DA">
      <w:pPr>
        <w:spacing w:after="0" w:line="240" w:lineRule="auto"/>
        <w:jc w:val="both"/>
        <w:rPr>
          <w:rFonts w:ascii="Cambria" w:hAnsi="Cambria" w:cs="Arial"/>
          <w:sz w:val="20"/>
          <w:szCs w:val="20"/>
        </w:rPr>
      </w:pPr>
    </w:p>
    <w:p w:rsidR="008B2F5A" w:rsidRDefault="008B2F5A" w:rsidP="009460DA">
      <w:pPr>
        <w:spacing w:after="0" w:line="240" w:lineRule="auto"/>
        <w:jc w:val="both"/>
        <w:rPr>
          <w:rFonts w:ascii="Cambria" w:hAnsi="Cambria" w:cs="Arial"/>
          <w:sz w:val="20"/>
          <w:szCs w:val="20"/>
          <w:lang w:val="en-US"/>
        </w:rPr>
      </w:pPr>
    </w:p>
    <w:p w:rsidR="008471BD" w:rsidRPr="008471BD" w:rsidRDefault="008471BD" w:rsidP="009460DA">
      <w:pPr>
        <w:spacing w:after="0" w:line="240" w:lineRule="auto"/>
        <w:jc w:val="both"/>
        <w:rPr>
          <w:rFonts w:ascii="Cambria" w:hAnsi="Cambria" w:cs="Arial"/>
          <w:sz w:val="20"/>
          <w:szCs w:val="20"/>
          <w:lang w:val="en-US"/>
        </w:rPr>
      </w:pPr>
    </w:p>
    <w:p w:rsidR="008B2F5A" w:rsidRPr="009460DA" w:rsidRDefault="008B2F5A" w:rsidP="009460DA">
      <w:pPr>
        <w:spacing w:after="0" w:line="240" w:lineRule="auto"/>
        <w:jc w:val="both"/>
        <w:rPr>
          <w:rFonts w:ascii="Cambria" w:hAnsi="Cambria" w:cs="Arial"/>
          <w:sz w:val="20"/>
          <w:szCs w:val="20"/>
        </w:rPr>
      </w:pPr>
    </w:p>
    <w:p w:rsidR="00077D92" w:rsidRPr="009460DA" w:rsidRDefault="00077D92" w:rsidP="008471BD">
      <w:pPr>
        <w:spacing w:after="0" w:line="240" w:lineRule="auto"/>
        <w:jc w:val="center"/>
        <w:rPr>
          <w:rFonts w:ascii="Cambria" w:hAnsi="Cambria" w:cs="Times New Roman"/>
          <w:b/>
          <w:bCs/>
          <w:sz w:val="20"/>
          <w:szCs w:val="20"/>
        </w:rPr>
      </w:pPr>
      <w:r w:rsidRPr="009460DA">
        <w:rPr>
          <w:rFonts w:ascii="Cambria" w:hAnsi="Cambria" w:cs="Times New Roman"/>
          <w:b/>
          <w:bCs/>
          <w:sz w:val="20"/>
          <w:szCs w:val="20"/>
        </w:rPr>
        <w:lastRenderedPageBreak/>
        <w:t>A Review of the Critical Gaps in the Food Security Literature: Addressing Key Issues for Sustainable Development</w:t>
      </w:r>
    </w:p>
    <w:p w:rsidR="00077D92" w:rsidRPr="009460DA" w:rsidRDefault="00077D92" w:rsidP="008471BD">
      <w:pPr>
        <w:spacing w:after="0" w:line="240" w:lineRule="auto"/>
        <w:jc w:val="center"/>
        <w:rPr>
          <w:rFonts w:ascii="Cambria" w:hAnsi="Cambria" w:cs="Times New Roman"/>
          <w:b/>
          <w:bCs/>
          <w:sz w:val="20"/>
          <w:szCs w:val="20"/>
        </w:rPr>
      </w:pPr>
    </w:p>
    <w:p w:rsidR="00077D92" w:rsidRPr="009460DA" w:rsidRDefault="00077D92" w:rsidP="008471BD">
      <w:pPr>
        <w:spacing w:after="0" w:line="240" w:lineRule="auto"/>
        <w:jc w:val="center"/>
        <w:rPr>
          <w:rFonts w:ascii="Cambria" w:hAnsi="Cambria" w:cs="Segoe UI"/>
          <w:color w:val="7030A0"/>
          <w:sz w:val="20"/>
          <w:szCs w:val="20"/>
          <w:shd w:val="clear" w:color="auto" w:fill="FFFFFF"/>
          <w:vertAlign w:val="superscript"/>
        </w:rPr>
      </w:pPr>
      <w:r w:rsidRPr="009460DA">
        <w:rPr>
          <w:rFonts w:ascii="Cambria" w:hAnsi="Cambria" w:cs="Segoe UI"/>
          <w:color w:val="7030A0"/>
          <w:sz w:val="20"/>
          <w:szCs w:val="20"/>
          <w:shd w:val="clear" w:color="auto" w:fill="FFFFFF"/>
        </w:rPr>
        <w:t>Fadhlur Rahim Azmi</w:t>
      </w:r>
      <w:r w:rsidRPr="009460DA">
        <w:rPr>
          <w:rFonts w:ascii="Cambria" w:hAnsi="Cambria" w:cs="Segoe UI"/>
          <w:color w:val="7030A0"/>
          <w:sz w:val="20"/>
          <w:szCs w:val="20"/>
          <w:shd w:val="clear" w:color="auto" w:fill="FFFFFF"/>
          <w:vertAlign w:val="superscript"/>
        </w:rPr>
        <w:t>1*</w:t>
      </w:r>
      <w:r w:rsidRPr="009460DA">
        <w:rPr>
          <w:rFonts w:ascii="Cambria" w:hAnsi="Cambria" w:cs="Segoe UI"/>
          <w:color w:val="7030A0"/>
          <w:sz w:val="20"/>
          <w:szCs w:val="20"/>
          <w:shd w:val="clear" w:color="auto" w:fill="FFFFFF"/>
        </w:rPr>
        <w:t>, Suhaiza Zailani</w:t>
      </w:r>
      <w:r w:rsidRPr="009460DA">
        <w:rPr>
          <w:rFonts w:ascii="Cambria" w:hAnsi="Cambria" w:cs="Segoe UI"/>
          <w:color w:val="7030A0"/>
          <w:sz w:val="20"/>
          <w:szCs w:val="20"/>
          <w:shd w:val="clear" w:color="auto" w:fill="FFFFFF"/>
          <w:vertAlign w:val="superscript"/>
        </w:rPr>
        <w:t>2</w:t>
      </w:r>
      <w:r w:rsidRPr="009460DA">
        <w:rPr>
          <w:rFonts w:ascii="Cambria" w:hAnsi="Cambria" w:cs="Segoe UI"/>
          <w:color w:val="7030A0"/>
          <w:sz w:val="20"/>
          <w:szCs w:val="20"/>
          <w:shd w:val="clear" w:color="auto" w:fill="FFFFFF"/>
        </w:rPr>
        <w:t xml:space="preserve"> &amp; Mastura Roni</w:t>
      </w:r>
      <w:r w:rsidRPr="009460DA">
        <w:rPr>
          <w:rFonts w:ascii="Cambria" w:hAnsi="Cambria" w:cs="Segoe UI"/>
          <w:color w:val="7030A0"/>
          <w:sz w:val="20"/>
          <w:szCs w:val="20"/>
          <w:shd w:val="clear" w:color="auto" w:fill="FFFFFF"/>
          <w:vertAlign w:val="superscript"/>
        </w:rPr>
        <w:t>3</w:t>
      </w:r>
    </w:p>
    <w:p w:rsidR="00077D92" w:rsidRPr="009460DA" w:rsidRDefault="00077D92" w:rsidP="008471BD">
      <w:pPr>
        <w:spacing w:after="0" w:line="240" w:lineRule="auto"/>
        <w:jc w:val="center"/>
        <w:rPr>
          <w:rFonts w:ascii="Cambria" w:hAnsi="Cambria" w:cs="Segoe UI"/>
          <w:color w:val="7030A0"/>
          <w:sz w:val="20"/>
          <w:szCs w:val="20"/>
          <w:shd w:val="clear" w:color="auto" w:fill="FFFFFF"/>
        </w:rPr>
      </w:pPr>
      <w:r w:rsidRPr="009460DA">
        <w:rPr>
          <w:rFonts w:ascii="Cambria" w:hAnsi="Cambria" w:cs="Segoe UI"/>
          <w:color w:val="7030A0"/>
          <w:sz w:val="20"/>
          <w:szCs w:val="20"/>
          <w:shd w:val="clear" w:color="auto" w:fill="FFFFFF"/>
          <w:vertAlign w:val="superscript"/>
        </w:rPr>
        <w:t>1, 3</w:t>
      </w:r>
      <w:r w:rsidRPr="009460DA">
        <w:rPr>
          <w:rFonts w:ascii="Cambria" w:hAnsi="Cambria" w:cs="Segoe UI"/>
          <w:color w:val="7030A0"/>
          <w:sz w:val="20"/>
          <w:szCs w:val="20"/>
          <w:shd w:val="clear" w:color="auto" w:fill="FFFFFF"/>
        </w:rPr>
        <w:t>Faculty of Business &amp; Management, Universiti Teknologi MARA, Cawangan Melaka Kampus Bandaraya Melaka, 110, Off Jalan Hang Tuah, 75350 Melaka, Malaysia</w:t>
      </w:r>
    </w:p>
    <w:p w:rsidR="00077D92" w:rsidRPr="009460DA" w:rsidRDefault="00077D92" w:rsidP="008471BD">
      <w:pPr>
        <w:spacing w:after="0" w:line="240" w:lineRule="auto"/>
        <w:jc w:val="center"/>
        <w:rPr>
          <w:rFonts w:ascii="Cambria" w:hAnsi="Cambria" w:cs="Segoe UI"/>
          <w:color w:val="7030A0"/>
          <w:sz w:val="20"/>
          <w:szCs w:val="20"/>
          <w:shd w:val="clear" w:color="auto" w:fill="FFFFFF"/>
        </w:rPr>
      </w:pPr>
      <w:r w:rsidRPr="009460DA">
        <w:rPr>
          <w:rFonts w:ascii="Cambria" w:hAnsi="Cambria" w:cs="Segoe UI"/>
          <w:color w:val="7030A0"/>
          <w:sz w:val="20"/>
          <w:szCs w:val="20"/>
          <w:shd w:val="clear" w:color="auto" w:fill="FFFFFF"/>
          <w:vertAlign w:val="superscript"/>
        </w:rPr>
        <w:t>2</w:t>
      </w:r>
      <w:r w:rsidRPr="009460DA">
        <w:rPr>
          <w:rFonts w:ascii="Cambria" w:hAnsi="Cambria" w:cs="Segoe UI"/>
          <w:color w:val="7030A0"/>
          <w:sz w:val="20"/>
          <w:szCs w:val="20"/>
          <w:shd w:val="clear" w:color="auto" w:fill="FFFFFF"/>
        </w:rPr>
        <w:t>Department of Management, Faculty of Business and Economics, Universiti Malaya, 50403 Lembah Pantai, Kuala Lumpur, Malaysia</w:t>
      </w:r>
    </w:p>
    <w:p w:rsidR="00077D92" w:rsidRPr="009460DA" w:rsidRDefault="00077D92" w:rsidP="008471BD">
      <w:pPr>
        <w:spacing w:after="0" w:line="240" w:lineRule="auto"/>
        <w:jc w:val="center"/>
        <w:rPr>
          <w:rFonts w:ascii="Cambria" w:hAnsi="Cambria" w:cs="Times New Roman"/>
          <w:b/>
          <w:bCs/>
          <w:color w:val="7030A0"/>
          <w:sz w:val="20"/>
          <w:szCs w:val="20"/>
        </w:rPr>
      </w:pPr>
      <w:r w:rsidRPr="008471BD">
        <w:rPr>
          <w:rFonts w:ascii="Cambria" w:hAnsi="Cambria" w:cs="Segoe UI"/>
          <w:color w:val="7030A0"/>
          <w:sz w:val="20"/>
          <w:szCs w:val="20"/>
          <w:shd w:val="clear" w:color="auto" w:fill="FFFFFF"/>
        </w:rPr>
        <w:t>fadhlur@uitm.edu.my</w:t>
      </w:r>
      <w:r w:rsidRPr="008471BD">
        <w:rPr>
          <w:rStyle w:val="Hyperlink"/>
          <w:rFonts w:ascii="Cambria" w:hAnsi="Cambria" w:cs="Segoe UI"/>
          <w:color w:val="7030A0"/>
          <w:sz w:val="20"/>
          <w:szCs w:val="20"/>
          <w:u w:val="none"/>
          <w:shd w:val="clear" w:color="auto" w:fill="FFFFFF"/>
        </w:rPr>
        <w:t>*</w:t>
      </w:r>
      <w:r w:rsidRPr="009460DA">
        <w:rPr>
          <w:rFonts w:ascii="Cambria" w:hAnsi="Cambria" w:cs="Segoe UI"/>
          <w:color w:val="7030A0"/>
          <w:sz w:val="20"/>
          <w:szCs w:val="20"/>
          <w:shd w:val="clear" w:color="auto" w:fill="FFFFFF"/>
        </w:rPr>
        <w:t>, shmz@um.edu.my, masturroni@uitm.edu.my</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b/>
          <w:bCs/>
          <w:sz w:val="20"/>
          <w:szCs w:val="20"/>
        </w:rPr>
      </w:pPr>
      <w:r w:rsidRPr="009460DA">
        <w:rPr>
          <w:rFonts w:ascii="Cambria" w:hAnsi="Cambria" w:cs="Times New Roman"/>
          <w:b/>
          <w:bCs/>
          <w:sz w:val="20"/>
          <w:szCs w:val="20"/>
        </w:rPr>
        <w:t xml:space="preserve">Abstract: </w:t>
      </w:r>
      <w:r w:rsidRPr="009460DA">
        <w:rPr>
          <w:rFonts w:ascii="Cambria" w:hAnsi="Cambria" w:cs="Times New Roman"/>
          <w:sz w:val="20"/>
          <w:szCs w:val="20"/>
        </w:rPr>
        <w:t>This review paper covers important gaps in the knowledge base on food security, which have an impact on world development and cause an estimated 820 million people to suffer from chronic hunger and malnutrition. Food waste, climate change, socioeconomic considerations, agricultural policy, access to wholesome foods, food sovereignty, and food security are some of the major topics covered in the literature. Because of this, ensuring food security is not a straightforward issue that can be resolved by changing a single variable; rather, it necessitates the combination of numerous multidisciplinary approaches. Therefore, the goal of this study is to pinpoint the major gaps in the literature, such as a lack of attention to the perspectives of marginalized groups and a lack of investigation into the connections between food security and other global issues. The article offers suggestions for future work, including how to prioritize understudied subjects, incorporate other points of view, and enhance data collection techniques. As a result, it can be a useful starting point for linguists who want to research related topics. This study offers new researchers and practitioners a place to start to learn more about the rapidly, growing field of sustainable food security. Future research can also address these gaps and enhance food security globally for a sustainable future. This will require the participation of new scholars, policymakers, and practitioners.</w:t>
      </w:r>
    </w:p>
    <w:p w:rsidR="00077D92" w:rsidRPr="009460DA" w:rsidRDefault="00077D92" w:rsidP="009460DA">
      <w:pPr>
        <w:spacing w:after="0" w:line="240" w:lineRule="auto"/>
        <w:jc w:val="both"/>
        <w:rPr>
          <w:rFonts w:ascii="Cambria" w:hAnsi="Cambria" w:cs="Times New Roman"/>
          <w:b/>
          <w:bCs/>
          <w:sz w:val="20"/>
          <w:szCs w:val="20"/>
        </w:rPr>
      </w:pPr>
    </w:p>
    <w:p w:rsidR="00077D92" w:rsidRPr="009460DA" w:rsidRDefault="00077D92" w:rsidP="009460DA">
      <w:pPr>
        <w:pBdr>
          <w:bottom w:val="single" w:sz="4" w:space="1" w:color="auto"/>
        </w:pBdr>
        <w:spacing w:after="0" w:line="240" w:lineRule="auto"/>
        <w:jc w:val="both"/>
        <w:rPr>
          <w:rFonts w:ascii="Cambria" w:hAnsi="Cambria" w:cs="Times New Roman"/>
          <w:b/>
          <w:bCs/>
          <w:i/>
          <w:sz w:val="20"/>
          <w:szCs w:val="20"/>
        </w:rPr>
      </w:pPr>
      <w:r w:rsidRPr="009460DA">
        <w:rPr>
          <w:rFonts w:ascii="Cambria" w:hAnsi="Cambria" w:cs="Times New Roman"/>
          <w:b/>
          <w:bCs/>
          <w:iCs/>
          <w:sz w:val="20"/>
          <w:szCs w:val="20"/>
        </w:rPr>
        <w:t>Keywords</w:t>
      </w:r>
      <w:r w:rsidRPr="009460DA">
        <w:rPr>
          <w:rFonts w:ascii="Cambria" w:hAnsi="Cambria" w:cs="Times New Roman"/>
          <w:b/>
          <w:bCs/>
          <w:sz w:val="20"/>
          <w:szCs w:val="20"/>
        </w:rPr>
        <w:t xml:space="preserve">: </w:t>
      </w:r>
      <w:r w:rsidRPr="009460DA">
        <w:rPr>
          <w:rFonts w:ascii="Cambria" w:hAnsi="Cambria" w:cs="Times New Roman"/>
          <w:i/>
          <w:sz w:val="20"/>
          <w:szCs w:val="20"/>
        </w:rPr>
        <w:t>Food security, Global development, Marginalized groups, Sustainable future.</w:t>
      </w:r>
    </w:p>
    <w:p w:rsidR="00077D92" w:rsidRPr="009460DA" w:rsidRDefault="00077D92" w:rsidP="009460DA">
      <w:pPr>
        <w:spacing w:after="0" w:line="240" w:lineRule="auto"/>
        <w:jc w:val="both"/>
        <w:rPr>
          <w:rFonts w:ascii="Cambria" w:hAnsi="Cambria" w:cs="Times New Roman"/>
          <w:b/>
          <w:bCs/>
          <w:sz w:val="20"/>
          <w:szCs w:val="20"/>
        </w:rPr>
      </w:pPr>
    </w:p>
    <w:p w:rsidR="00077D92" w:rsidRPr="009460DA" w:rsidRDefault="00077D92" w:rsidP="009460DA">
      <w:pPr>
        <w:spacing w:after="0" w:line="240" w:lineRule="auto"/>
        <w:jc w:val="both"/>
        <w:rPr>
          <w:rFonts w:ascii="Cambria" w:hAnsi="Cambria" w:cs="Times New Roman"/>
          <w:b/>
          <w:bCs/>
          <w:sz w:val="20"/>
          <w:szCs w:val="20"/>
        </w:rPr>
      </w:pPr>
      <w:r w:rsidRPr="009460DA">
        <w:rPr>
          <w:rFonts w:ascii="Cambria" w:hAnsi="Cambria" w:cs="Times New Roman"/>
          <w:b/>
          <w:bCs/>
          <w:sz w:val="20"/>
          <w:szCs w:val="20"/>
        </w:rPr>
        <w:t>1. Introduction</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Food security is defined as a state where all individuals have physical, social, and economic access to sufficient, safe, and nutritious food that meets their dietary needs and preferences for an active and healthy life. It plays a crucial role in achieving the United Nations’ Sustainable Development Goals (SDGs) related to poverty reduction, hunger eradication, and sustainable agriculture. Food security also has a significant impact on health outcomes, as poor nutrition can lead to malnutrition and diet-related chronic diseases. However, with an estimated 690 million people experiencing hunger and malnutrition in 2019, it is considered one of the most significant global challenges of the 21st century </w:t>
      </w:r>
      <w:sdt>
        <w:sdtPr>
          <w:rPr>
            <w:rFonts w:ascii="Cambria" w:hAnsi="Cambria" w:cs="Times New Roman"/>
            <w:sz w:val="20"/>
            <w:szCs w:val="20"/>
          </w:rPr>
          <w:id w:val="-1433122251"/>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FAO19 \l 17417 </w:instrText>
          </w:r>
          <w:r w:rsidR="00902FB4" w:rsidRPr="009460DA">
            <w:rPr>
              <w:rFonts w:ascii="Cambria" w:hAnsi="Cambria" w:cs="Times New Roman"/>
              <w:sz w:val="20"/>
              <w:szCs w:val="20"/>
            </w:rPr>
            <w:fldChar w:fldCharType="separate"/>
          </w:r>
          <w:r w:rsidRPr="009460DA">
            <w:rPr>
              <w:rFonts w:ascii="Cambria" w:hAnsi="Cambria" w:cs="Times New Roman"/>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To make matters worse, the COVID-19 pandemic has further exacerbated food insecurity, with an additional 132 million people experiencing hunger in 2020 </w:t>
      </w:r>
      <w:sdt>
        <w:sdtPr>
          <w:rPr>
            <w:rFonts w:ascii="Cambria" w:hAnsi="Cambria" w:cs="Times New Roman"/>
            <w:sz w:val="20"/>
            <w:szCs w:val="20"/>
          </w:rPr>
          <w:id w:val="-81109920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Cla201 \t  \l 17417 </w:instrText>
          </w:r>
          <w:r w:rsidR="00902FB4" w:rsidRPr="009460DA">
            <w:rPr>
              <w:rFonts w:ascii="Cambria" w:hAnsi="Cambria" w:cs="Times New Roman"/>
              <w:sz w:val="20"/>
              <w:szCs w:val="20"/>
            </w:rPr>
            <w:fldChar w:fldCharType="separate"/>
          </w:r>
          <w:r w:rsidRPr="009460DA">
            <w:rPr>
              <w:rFonts w:ascii="Cambria" w:hAnsi="Cambria" w:cs="Times New Roman"/>
              <w:sz w:val="20"/>
              <w:szCs w:val="20"/>
            </w:rPr>
            <w:t>(Clapp &amp; Moseley,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In addition, food insecurity can lead to social unrest, political instability, and conflict. Recent research has highlighted the importance of addressing food security through a multidimensional and interdisciplinary approach. For instance, there is a growing recognition of the role of food systems in achieving food security and the need to transform them to be more sustainable and resilient </w:t>
      </w:r>
      <w:sdt>
        <w:sdtPr>
          <w:rPr>
            <w:rFonts w:ascii="Cambria" w:hAnsi="Cambria" w:cs="Times New Roman"/>
            <w:sz w:val="20"/>
            <w:szCs w:val="20"/>
          </w:rPr>
          <w:id w:val="-20718236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lang w:val="en-US"/>
            </w:rPr>
            <w:instrText xml:space="preserve"> CITATION IPB19 \l 1033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lang w:val="en-US"/>
            </w:rPr>
            <w:t>(IPBES,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There is also a need to address the social and economic factors that contribute to food insecurity, such as poverty, inequality, and conflict </w:t>
      </w:r>
      <w:sdt>
        <w:sdtPr>
          <w:rPr>
            <w:rFonts w:ascii="Cambria" w:hAnsi="Cambria" w:cs="Times New Roman"/>
            <w:sz w:val="20"/>
            <w:szCs w:val="20"/>
          </w:rPr>
          <w:id w:val="136016882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lang w:val="en-US"/>
            </w:rPr>
            <w:instrText xml:space="preserve"> CITATION FAO19 \l 1033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lang w:val="en-US"/>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Thus, food security is a critical global issue that impacts human health, economic development, and social stability. It is essential to address this challenge through a multidimensional and interdisciplinary approach that considers the complex interactions between food systems, social and economic factors, and environmental sustainability. The current state of food security literature highlights the complexity of the issue and the need for a multidimensional and interdisciplinary approach. Recent research has identified key issues related to food security, including food waste, climate change, socioeconomic factors, agricultural policies, access to healthy food, and food sovereignty and security </w:t>
      </w:r>
      <w:sdt>
        <w:sdtPr>
          <w:rPr>
            <w:rFonts w:ascii="Cambria" w:hAnsi="Cambria" w:cs="Times New Roman"/>
            <w:sz w:val="20"/>
            <w:szCs w:val="20"/>
          </w:rPr>
          <w:id w:val="167484078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lang w:val="en-US"/>
            </w:rPr>
            <w:instrText xml:space="preserve"> CITATION Ale19 \l 1033  \m FAO19</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lang w:val="en-US"/>
            </w:rPr>
            <w:t>(Alexander, Brown, Arneth, Finnigan, &amp; Rounsevell, 2019; 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However, there are critical gaps in the literature that need to be addressed for sustainable development. For instance, there is inadequate attention to certain issues, such as food sovereignty and food waste; insufficient exploration of the intersections between food security and other global issues such as gender inequality and environmental sustainability; </w:t>
      </w:r>
      <w:r w:rsidRPr="009460DA">
        <w:rPr>
          <w:rFonts w:ascii="Cambria" w:hAnsi="Cambria" w:cs="Times New Roman"/>
          <w:sz w:val="20"/>
          <w:szCs w:val="20"/>
        </w:rPr>
        <w:lastRenderedPageBreak/>
        <w:t xml:space="preserve">and limited focus on the perspectives and experiences of marginalized groups </w:t>
      </w:r>
      <w:sdt>
        <w:sdtPr>
          <w:rPr>
            <w:rFonts w:ascii="Cambria" w:hAnsi="Cambria" w:cs="Times New Roman"/>
            <w:sz w:val="20"/>
            <w:szCs w:val="20"/>
          </w:rPr>
          <w:id w:val="126978211"/>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lang w:val="en-US"/>
            </w:rPr>
            <w:instrText xml:space="preserve"> CITATION Placeholder33 \m Ros21 \l 1033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lang w:val="en-US"/>
            </w:rPr>
            <w:t>(Galli &amp; Watters, 2019; Rosenthal, Quinn, Hatt, &amp; Wallinga,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To address these gaps, recent literature has recommended incorporating diverse perspectives and voices into food security research, prioritizing research on understudied issues and intersections with other global issues, strengthening partnerships and collaborations between researchers, policymakers, and practitioners, as well as improving data collection and analysis methods to better capture the complexity of food security issues </w:t>
      </w:r>
      <w:sdt>
        <w:sdtPr>
          <w:rPr>
            <w:rFonts w:ascii="Cambria" w:hAnsi="Cambria" w:cs="Times New Roman"/>
            <w:sz w:val="20"/>
            <w:szCs w:val="20"/>
          </w:rPr>
          <w:id w:val="-210664206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lang w:val="en-MY"/>
            </w:rPr>
            <w:instrText xml:space="preserve"> CITATION Placeholder33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lang w:val="en-MY"/>
            </w:rPr>
            <w:t>(Galli &amp; Watters,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Overall, the current state of food security literature highlights the urgent need to address this critical global issue through a holistic and interdisciplinary approach that takes into account the complex interactions between food systems, social and economic factors, environmental sustainability, and other global issues. The review aims to provide recommendations for future research and action by highlighting the issues that have been inadequately studied in the literature. The scope of the review article is broad, encompassing a multidimensional and interdisciplinary approach to food security that takes into account social, economic, and environmental factors. The review article draws on recent literature on food security and related issues, including food waste, climate change, socioeconomic factors, agricultural policies, access to healthy food, and food sovereignty and security. The article aims to contribute to the understanding of food security as a critical global issue and provide insights for researchers, policymakers, and practitioners on how to address the gaps in the literature and improve food security globally for a sustainable future.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sz w:val="20"/>
          <w:szCs w:val="20"/>
        </w:rPr>
        <w:t>2. Key Issues in Food Security Literature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Food waste is a critical issue in the context of food security, with significant implications for food availability, access, and utilization </w:t>
      </w:r>
      <w:sdt>
        <w:sdtPr>
          <w:rPr>
            <w:rFonts w:ascii="Cambria" w:hAnsi="Cambria" w:cs="Times New Roman"/>
            <w:sz w:val="20"/>
            <w:szCs w:val="20"/>
          </w:rPr>
          <w:id w:val="120066202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waste occurs at different stages of the food supply chain, from production to consumption, and has negative economic, environmental, and social impacts </w:t>
      </w:r>
      <w:sdt>
        <w:sdtPr>
          <w:rPr>
            <w:rFonts w:ascii="Cambria" w:hAnsi="Cambria" w:cs="Times New Roman"/>
            <w:sz w:val="20"/>
            <w:szCs w:val="20"/>
          </w:rPr>
          <w:id w:val="-56418229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FAO19 \m Lei22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 Leip,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According to the Food and Agriculture Organization (FAO), one-third of all food produced for human consumption is lost or wasted each year, amounting to about 1.3 billion metric tonnes globally </w:t>
      </w:r>
      <w:sdt>
        <w:sdtPr>
          <w:rPr>
            <w:rFonts w:ascii="Cambria" w:hAnsi="Cambria" w:cs="Times New Roman"/>
            <w:sz w:val="20"/>
            <w:szCs w:val="20"/>
          </w:rPr>
          <w:id w:val="114808879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waste reduces the availability of food for consumption and can contribute to food insecurity, particularly in low-income countries and among vulnerable populations </w:t>
      </w:r>
      <w:sdt>
        <w:sdtPr>
          <w:rPr>
            <w:rFonts w:ascii="Cambria" w:hAnsi="Cambria" w:cs="Times New Roman"/>
            <w:sz w:val="20"/>
            <w:szCs w:val="20"/>
          </w:rPr>
          <w:id w:val="-49040415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Nab22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(Nabuuma, Reimers, Hoang, Stomph, &amp; Swaans,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waste also has significant environmental impacts, including the waste of natural resources, greenhouse gas emissions, and pollution </w:t>
      </w:r>
      <w:sdt>
        <w:sdtPr>
          <w:rPr>
            <w:rFonts w:ascii="Cambria" w:hAnsi="Cambria" w:cs="Times New Roman"/>
            <w:sz w:val="20"/>
            <w:szCs w:val="20"/>
          </w:rPr>
          <w:id w:val="131545313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Moreover, food waste has economic implications, such as increased costs for farmers, food producers, and consumers </w:t>
      </w:r>
      <w:sdt>
        <w:sdtPr>
          <w:rPr>
            <w:rFonts w:ascii="Cambria" w:hAnsi="Cambria" w:cs="Times New Roman"/>
            <w:sz w:val="20"/>
            <w:szCs w:val="20"/>
          </w:rPr>
          <w:id w:val="-80046092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Phi19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(Philippidis, Sartori, Ferrari, &amp; M'Barek,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Addressing food waste is critical for achieving food security goals and sustainable development. Recent literature has identified several strategies to reduce food waste, including improving storage and transportation infrastructure.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Promoting sustainable consumption patterns, reducing food losses at the production and post-harvest stages, and redistributing surplus food to those in need </w:t>
      </w:r>
      <w:sdt>
        <w:sdtPr>
          <w:rPr>
            <w:rFonts w:ascii="Cambria" w:hAnsi="Cambria" w:cs="Times New Roman"/>
            <w:sz w:val="20"/>
            <w:szCs w:val="20"/>
          </w:rPr>
          <w:id w:val="-53619424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Nak18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(Nakawuka, Langan, Schmitter, &amp; Barron, 2018)</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waste is a significant issue in the context of food security, with negative implications for food availability, access, and utilization. Addressing food waste is critical for achieving food security goals and sustainable development and requires a multidimensional and interdisciplinary approach. Climate change is a critical issue in the context of food security, with significant implications for food production, distribution, and access. Climate change affects agricultural productivity, natural resources, and food systems and contributes to increased food insecurity and malnutrition </w:t>
      </w:r>
      <w:sdt>
        <w:sdtPr>
          <w:rPr>
            <w:rFonts w:ascii="Cambria" w:hAnsi="Cambria" w:cs="Times New Roman"/>
            <w:sz w:val="20"/>
            <w:szCs w:val="20"/>
          </w:rPr>
          <w:id w:val="-169074514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According to the Intergovernmental Panel on Climate Change (IPCC), climate change is likely to increase the frequency and intensity of extreme weather events such as droughts, floods, and heat waves, which can lead to crop failures, livestock losses, and food price volatility </w:t>
      </w:r>
      <w:sdt>
        <w:sdtPr>
          <w:rPr>
            <w:rFonts w:ascii="Cambria" w:hAnsi="Cambria" w:cs="Times New Roman"/>
            <w:sz w:val="20"/>
            <w:szCs w:val="20"/>
          </w:rPr>
          <w:id w:val="175314939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IPC19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(IPCC,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In addition, climate change affects the nutritional quality of food as changes in temperature, rainfall, and soil moisture can impact the composition of crops and their nutrient content </w:t>
      </w:r>
      <w:sdt>
        <w:sdtPr>
          <w:rPr>
            <w:rFonts w:ascii="Cambria" w:hAnsi="Cambria" w:cs="Times New Roman"/>
            <w:sz w:val="20"/>
            <w:szCs w:val="20"/>
          </w:rPr>
          <w:id w:val="-24488531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God21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(Godde, Mason-D’Croz, Mayberry, &amp; Thornton,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Furthermore, climate change exacerbates existing inequalities and vulnerabilities, with marginalized populations such as smallholder farmers, women, and indigenous communities being particularly affected by its impacts </w:t>
      </w:r>
      <w:sdt>
        <w:sdtPr>
          <w:rPr>
            <w:rFonts w:ascii="Cambria" w:hAnsi="Cambria" w:cs="Times New Roman"/>
            <w:sz w:val="20"/>
            <w:szCs w:val="20"/>
          </w:rPr>
          <w:id w:val="157185057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Addressing the impacts of climate change on food security requires a comprehensive and coordinated approach, including mitigation and adaptation strategies. Mitigation measures aim to reduce greenhouse gas emissions and limit the extent of climate change, while adaptation measures focus on building resilience and reducing vulnerability to the impacts of climate change </w:t>
      </w:r>
      <w:sdt>
        <w:sdtPr>
          <w:rPr>
            <w:rFonts w:ascii="Cambria" w:hAnsi="Cambria" w:cs="Times New Roman"/>
            <w:sz w:val="20"/>
            <w:szCs w:val="20"/>
          </w:rPr>
          <w:id w:val="99515192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Sha20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(Sharifi,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Some of the </w:t>
      </w:r>
      <w:r w:rsidRPr="009460DA">
        <w:rPr>
          <w:rFonts w:ascii="Cambria" w:hAnsi="Cambria" w:cs="Times New Roman"/>
          <w:sz w:val="20"/>
          <w:szCs w:val="20"/>
        </w:rPr>
        <w:lastRenderedPageBreak/>
        <w:t xml:space="preserve">recommended strategies include promoting sustainable agriculture and land-use practices, improving water management, enhancing biodiversity and ecosystem services, and building climate-resilient food systems </w:t>
      </w:r>
      <w:sdt>
        <w:sdtPr>
          <w:rPr>
            <w:rFonts w:ascii="Cambria" w:hAnsi="Cambria" w:cs="Times New Roman"/>
            <w:sz w:val="20"/>
            <w:szCs w:val="20"/>
          </w:rPr>
          <w:id w:val="109975754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IPC19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(IPCC,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Addressing the impacts of climate change on food security requires a comprehensive and coordinated approach, including mitigation and adaptation strategies that are tailored to the specific needs and contexts of different populations. Socioeconomic factors, such as poverty, income inequality, and social exclusion.</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Play a critical role in determining access to food and nutrition and are major drivers of food insecurity globally </w:t>
      </w:r>
      <w:sdt>
        <w:sdtPr>
          <w:rPr>
            <w:rFonts w:ascii="Cambria" w:hAnsi="Cambria" w:cs="Times New Roman"/>
            <w:sz w:val="20"/>
            <w:szCs w:val="20"/>
          </w:rPr>
          <w:id w:val="-49326263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OHa21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(O'Hara &amp; Toussaint,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In many countries, people who live in poverty often lack the resources to purchase enough food or to access nutritious foods, leading to undernutrition and malnutrition </w:t>
      </w:r>
      <w:sdt>
        <w:sdtPr>
          <w:rPr>
            <w:rFonts w:ascii="Cambria" w:hAnsi="Cambria" w:cs="Times New Roman"/>
            <w:sz w:val="20"/>
            <w:szCs w:val="20"/>
          </w:rPr>
          <w:id w:val="-1022167183"/>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Fan14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(Fanzo, 2014)</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In addition, socioeconomic factors also affect the quality of diets and food choices, as individuals with low income or education may have limited access to information on healthy diets </w:t>
      </w:r>
      <w:sdt>
        <w:sdtPr>
          <w:rPr>
            <w:rFonts w:ascii="Cambria" w:hAnsi="Cambria" w:cs="Times New Roman"/>
            <w:sz w:val="20"/>
            <w:szCs w:val="20"/>
          </w:rPr>
          <w:id w:val="1781734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Lig22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(Liguori,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and may rely on cheap, energy-dense, and nutrient-poor foods </w:t>
      </w:r>
      <w:sdt>
        <w:sdtPr>
          <w:rPr>
            <w:rFonts w:ascii="Cambria" w:hAnsi="Cambria" w:cs="Times New Roman"/>
            <w:sz w:val="20"/>
            <w:szCs w:val="20"/>
          </w:rPr>
          <w:id w:val="-145370238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Ign23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(Ignowski, Belton, Tran, &amp; Ameye, 2023)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Furthermore, socioeconomic factors interact with other determinants of food insecurity, such as climate change and conflicts, exacerbating their impacts on food access and nutrition </w:t>
      </w:r>
      <w:sdt>
        <w:sdtPr>
          <w:rPr>
            <w:rFonts w:ascii="Cambria" w:hAnsi="Cambria" w:cs="Times New Roman"/>
            <w:sz w:val="20"/>
            <w:szCs w:val="20"/>
          </w:rPr>
          <w:id w:val="-191292045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CITATION Rip21 \l 17417  \m God21</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(Ripkey, et al., 2021; Godde, Mason-D’Croz, Mayberry, &amp; Thornton,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Addressing the role of socioeconomic factors in food security requires a multifaceted approach that addresses the root causes of poverty and inequality as well as the immediate challenges of food access and nutrition. Some of the recommended strategies include promoting inclusive economic growth, improving social protection programs, enhancing access to education and health services, and empowering marginalized groups to participate in decision-making and advocate for their rights </w:t>
      </w:r>
      <w:sdt>
        <w:sdtPr>
          <w:rPr>
            <w:rFonts w:ascii="Cambria" w:hAnsi="Cambria" w:cs="Times New Roman"/>
            <w:sz w:val="20"/>
            <w:szCs w:val="20"/>
          </w:rPr>
          <w:id w:val="170937869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DiP22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(Di Prima, Wright, Sharma, Syurina, &amp; Broerse,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color w:val="000000" w:themeColor="text1"/>
          <w:sz w:val="20"/>
          <w:szCs w:val="20"/>
        </w:rPr>
      </w:pPr>
      <w:r w:rsidRPr="009460DA">
        <w:rPr>
          <w:rFonts w:ascii="Cambria" w:hAnsi="Cambria" w:cs="Times New Roman"/>
          <w:sz w:val="20"/>
          <w:szCs w:val="20"/>
        </w:rPr>
        <w:t xml:space="preserve">Addressing the role of socioeconomic factors in food security requires a comprehensive and coordinated approach, including strategies that tackle poverty, inequality, and social exclusion and promote inclusive and sustainable development. </w:t>
      </w:r>
      <w:r w:rsidRPr="009460DA">
        <w:rPr>
          <w:rFonts w:ascii="Cambria" w:hAnsi="Cambria" w:cs="Times New Roman"/>
          <w:color w:val="000000" w:themeColor="text1"/>
          <w:sz w:val="20"/>
          <w:szCs w:val="20"/>
        </w:rPr>
        <w:t xml:space="preserve">Agricultural policies can promote or hinder food security depending on how they are designed and implemented </w:t>
      </w:r>
      <w:sdt>
        <w:sdtPr>
          <w:rPr>
            <w:rFonts w:ascii="Cambria" w:hAnsi="Cambria" w:cs="Times New Roman"/>
            <w:color w:val="000000" w:themeColor="text1"/>
            <w:sz w:val="20"/>
            <w:szCs w:val="20"/>
          </w:rPr>
          <w:id w:val="-541983524"/>
          <w:citation/>
        </w:sdtPr>
        <w:sdtContent>
          <w:r w:rsidR="00902FB4" w:rsidRPr="009460DA">
            <w:rPr>
              <w:rFonts w:ascii="Cambria" w:hAnsi="Cambria" w:cs="Times New Roman"/>
              <w:color w:val="000000" w:themeColor="text1"/>
              <w:sz w:val="20"/>
              <w:szCs w:val="20"/>
            </w:rPr>
            <w:fldChar w:fldCharType="begin"/>
          </w:r>
          <w:r w:rsidRPr="009460DA">
            <w:rPr>
              <w:rFonts w:ascii="Cambria" w:hAnsi="Cambria" w:cs="Times New Roman"/>
              <w:color w:val="000000" w:themeColor="text1"/>
              <w:sz w:val="20"/>
              <w:szCs w:val="20"/>
            </w:rPr>
            <w:instrText xml:space="preserve"> CITATION Ade191 \l 17417 </w:instrText>
          </w:r>
          <w:r w:rsidR="00902FB4" w:rsidRPr="009460DA">
            <w:rPr>
              <w:rFonts w:ascii="Cambria" w:hAnsi="Cambria" w:cs="Times New Roman"/>
              <w:color w:val="000000" w:themeColor="text1"/>
              <w:sz w:val="20"/>
              <w:szCs w:val="20"/>
            </w:rPr>
            <w:fldChar w:fldCharType="separate"/>
          </w:r>
          <w:r w:rsidRPr="009460DA">
            <w:rPr>
              <w:rFonts w:ascii="Cambria" w:hAnsi="Cambria" w:cs="Times New Roman"/>
              <w:noProof/>
              <w:color w:val="000000" w:themeColor="text1"/>
              <w:sz w:val="20"/>
              <w:szCs w:val="20"/>
            </w:rPr>
            <w:t>(Adenle, Wedig, &amp; Azadi, 2019)</w:t>
          </w:r>
          <w:r w:rsidR="00902FB4" w:rsidRPr="009460DA">
            <w:rPr>
              <w:rFonts w:ascii="Cambria" w:hAnsi="Cambria" w:cs="Times New Roman"/>
              <w:color w:val="000000" w:themeColor="text1"/>
              <w:sz w:val="20"/>
              <w:szCs w:val="20"/>
            </w:rPr>
            <w:fldChar w:fldCharType="end"/>
          </w:r>
        </w:sdtContent>
      </w:sdt>
      <w:r w:rsidRPr="009460DA">
        <w:rPr>
          <w:rFonts w:ascii="Cambria" w:hAnsi="Cambria" w:cs="Times New Roman"/>
          <w:color w:val="000000" w:themeColor="text1"/>
          <w:sz w:val="20"/>
          <w:szCs w:val="20"/>
        </w:rPr>
        <w:t xml:space="preserve">. For example, policies that support smallholder farmers and prioritize food production for domestic consumption can enhance food security, while policies that prioritize export-oriented agriculture and large-scale commercial farming may undermine food security by reducing access to food and disrupting local food systems </w:t>
      </w:r>
      <w:sdt>
        <w:sdtPr>
          <w:rPr>
            <w:rFonts w:ascii="Cambria" w:hAnsi="Cambria" w:cs="Times New Roman"/>
            <w:color w:val="000000" w:themeColor="text1"/>
            <w:sz w:val="20"/>
            <w:szCs w:val="20"/>
          </w:rPr>
          <w:id w:val="-71890735"/>
          <w:citation/>
        </w:sdtPr>
        <w:sdtContent>
          <w:r w:rsidR="00902FB4" w:rsidRPr="009460DA">
            <w:rPr>
              <w:rFonts w:ascii="Cambria" w:hAnsi="Cambria" w:cs="Times New Roman"/>
              <w:color w:val="000000" w:themeColor="text1"/>
              <w:sz w:val="20"/>
              <w:szCs w:val="20"/>
            </w:rPr>
            <w:fldChar w:fldCharType="begin"/>
          </w:r>
          <w:r w:rsidRPr="009460DA">
            <w:rPr>
              <w:rFonts w:ascii="Cambria" w:hAnsi="Cambria" w:cs="Times New Roman"/>
              <w:color w:val="000000" w:themeColor="text1"/>
              <w:sz w:val="20"/>
              <w:szCs w:val="20"/>
            </w:rPr>
            <w:instrText xml:space="preserve"> CITATION Bjo22 \l 17417 </w:instrText>
          </w:r>
          <w:r w:rsidR="00902FB4" w:rsidRPr="009460DA">
            <w:rPr>
              <w:rFonts w:ascii="Cambria" w:hAnsi="Cambria" w:cs="Times New Roman"/>
              <w:color w:val="000000" w:themeColor="text1"/>
              <w:sz w:val="20"/>
              <w:szCs w:val="20"/>
            </w:rPr>
            <w:fldChar w:fldCharType="separate"/>
          </w:r>
          <w:r w:rsidRPr="009460DA">
            <w:rPr>
              <w:rFonts w:ascii="Cambria" w:hAnsi="Cambria" w:cs="Times New Roman"/>
              <w:noProof/>
              <w:color w:val="000000" w:themeColor="text1"/>
              <w:sz w:val="20"/>
              <w:szCs w:val="20"/>
            </w:rPr>
            <w:t>(Bjornlund, Bjornlund, &amp; van Rooyen, 2022)</w:t>
          </w:r>
          <w:r w:rsidR="00902FB4" w:rsidRPr="009460DA">
            <w:rPr>
              <w:rFonts w:ascii="Cambria" w:hAnsi="Cambria" w:cs="Times New Roman"/>
              <w:color w:val="000000" w:themeColor="text1"/>
              <w:sz w:val="20"/>
              <w:szCs w:val="20"/>
            </w:rPr>
            <w:fldChar w:fldCharType="end"/>
          </w:r>
        </w:sdtContent>
      </w:sdt>
      <w:r w:rsidRPr="009460DA">
        <w:rPr>
          <w:rFonts w:ascii="Cambria" w:hAnsi="Cambria" w:cs="Times New Roman"/>
          <w:color w:val="000000" w:themeColor="text1"/>
          <w:sz w:val="20"/>
          <w:szCs w:val="20"/>
        </w:rPr>
        <w:t xml:space="preserve">. Moreover, agricultural policies also affect the quality and safety of food as they regulate food standards, certification, and labeling. Policies that prioritize food safety and quality can enhance consumer confidence and promote healthy diets, while inadequate or poorly enforced policies may lead to food-borne illnesses and negative health outcomes </w:t>
      </w:r>
      <w:sdt>
        <w:sdtPr>
          <w:rPr>
            <w:rFonts w:ascii="Cambria" w:hAnsi="Cambria" w:cs="Times New Roman"/>
            <w:color w:val="000000" w:themeColor="text1"/>
            <w:sz w:val="20"/>
            <w:szCs w:val="20"/>
          </w:rPr>
          <w:id w:val="-1241944636"/>
          <w:citation/>
        </w:sdtPr>
        <w:sdtContent>
          <w:r w:rsidR="00902FB4" w:rsidRPr="009460DA">
            <w:rPr>
              <w:rFonts w:ascii="Cambria" w:hAnsi="Cambria" w:cs="Times New Roman"/>
              <w:color w:val="000000" w:themeColor="text1"/>
              <w:sz w:val="20"/>
              <w:szCs w:val="20"/>
            </w:rPr>
            <w:fldChar w:fldCharType="begin"/>
          </w:r>
          <w:r w:rsidRPr="009460DA">
            <w:rPr>
              <w:rFonts w:ascii="Cambria" w:hAnsi="Cambria" w:cs="Times New Roman"/>
              <w:color w:val="000000" w:themeColor="text1"/>
              <w:sz w:val="20"/>
              <w:szCs w:val="20"/>
            </w:rPr>
            <w:instrText xml:space="preserve"> CITATION Lig22 \l 17417 </w:instrText>
          </w:r>
          <w:r w:rsidR="00902FB4" w:rsidRPr="009460DA">
            <w:rPr>
              <w:rFonts w:ascii="Cambria" w:hAnsi="Cambria" w:cs="Times New Roman"/>
              <w:color w:val="000000" w:themeColor="text1"/>
              <w:sz w:val="20"/>
              <w:szCs w:val="20"/>
            </w:rPr>
            <w:fldChar w:fldCharType="separate"/>
          </w:r>
          <w:r w:rsidRPr="009460DA">
            <w:rPr>
              <w:rFonts w:ascii="Cambria" w:hAnsi="Cambria" w:cs="Times New Roman"/>
              <w:noProof/>
              <w:color w:val="000000" w:themeColor="text1"/>
              <w:sz w:val="20"/>
              <w:szCs w:val="20"/>
            </w:rPr>
            <w:t>(Liguori, et al., 2022)</w:t>
          </w:r>
          <w:r w:rsidR="00902FB4" w:rsidRPr="009460DA">
            <w:rPr>
              <w:rFonts w:ascii="Cambria" w:hAnsi="Cambria" w:cs="Times New Roman"/>
              <w:color w:val="000000" w:themeColor="text1"/>
              <w:sz w:val="20"/>
              <w:szCs w:val="20"/>
            </w:rPr>
            <w:fldChar w:fldCharType="end"/>
          </w:r>
        </w:sdtContent>
      </w:sdt>
      <w:r w:rsidRPr="009460DA">
        <w:rPr>
          <w:rFonts w:ascii="Cambria" w:hAnsi="Cambria" w:cs="Times New Roman"/>
          <w:color w:val="000000" w:themeColor="text1"/>
          <w:sz w:val="20"/>
          <w:szCs w:val="20"/>
        </w:rPr>
        <w:t xml:space="preserve">. To address the role of agricultural policies in food security, it is important to adopt a holistic approach that considers the diverse needs and perspectives of different stakeholders, including farmers, consumers, policymakers, and civil society organizations </w:t>
      </w:r>
      <w:sdt>
        <w:sdtPr>
          <w:rPr>
            <w:rFonts w:ascii="Cambria" w:hAnsi="Cambria" w:cs="Times New Roman"/>
            <w:color w:val="000000" w:themeColor="text1"/>
            <w:sz w:val="20"/>
            <w:szCs w:val="20"/>
          </w:rPr>
          <w:id w:val="-548765494"/>
          <w:citation/>
        </w:sdtPr>
        <w:sdtContent>
          <w:r w:rsidR="00902FB4" w:rsidRPr="009460DA">
            <w:rPr>
              <w:rFonts w:ascii="Cambria" w:hAnsi="Cambria" w:cs="Times New Roman"/>
              <w:color w:val="000000" w:themeColor="text1"/>
              <w:sz w:val="20"/>
              <w:szCs w:val="20"/>
            </w:rPr>
            <w:fldChar w:fldCharType="begin"/>
          </w:r>
          <w:r w:rsidRPr="009460DA">
            <w:rPr>
              <w:rFonts w:ascii="Cambria" w:hAnsi="Cambria" w:cs="Times New Roman"/>
              <w:color w:val="000000" w:themeColor="text1"/>
              <w:sz w:val="20"/>
              <w:szCs w:val="20"/>
            </w:rPr>
            <w:instrText xml:space="preserve">CITATION Mat21 \l 17417 </w:instrText>
          </w:r>
          <w:r w:rsidR="00902FB4" w:rsidRPr="009460DA">
            <w:rPr>
              <w:rFonts w:ascii="Cambria" w:hAnsi="Cambria" w:cs="Times New Roman"/>
              <w:color w:val="000000" w:themeColor="text1"/>
              <w:sz w:val="20"/>
              <w:szCs w:val="20"/>
            </w:rPr>
            <w:fldChar w:fldCharType="separate"/>
          </w:r>
          <w:r w:rsidRPr="009460DA">
            <w:rPr>
              <w:rFonts w:ascii="Cambria" w:hAnsi="Cambria" w:cs="Times New Roman"/>
              <w:noProof/>
              <w:color w:val="000000" w:themeColor="text1"/>
              <w:sz w:val="20"/>
              <w:szCs w:val="20"/>
            </w:rPr>
            <w:t>(Mattas, et al., 2021)</w:t>
          </w:r>
          <w:r w:rsidR="00902FB4" w:rsidRPr="009460DA">
            <w:rPr>
              <w:rFonts w:ascii="Cambria" w:hAnsi="Cambria" w:cs="Times New Roman"/>
              <w:color w:val="000000" w:themeColor="text1"/>
              <w:sz w:val="20"/>
              <w:szCs w:val="20"/>
            </w:rPr>
            <w:fldChar w:fldCharType="end"/>
          </w:r>
        </w:sdtContent>
      </w:sdt>
      <w:r w:rsidRPr="009460DA">
        <w:rPr>
          <w:rFonts w:ascii="Cambria" w:hAnsi="Cambria" w:cs="Times New Roman"/>
          <w:color w:val="000000" w:themeColor="text1"/>
          <w:sz w:val="20"/>
          <w:szCs w:val="20"/>
        </w:rPr>
        <w:t>.</w:t>
      </w:r>
    </w:p>
    <w:p w:rsidR="00077D92" w:rsidRPr="009460DA" w:rsidRDefault="00077D92" w:rsidP="009460DA">
      <w:pPr>
        <w:spacing w:after="0" w:line="240" w:lineRule="auto"/>
        <w:jc w:val="both"/>
        <w:rPr>
          <w:rFonts w:ascii="Cambria" w:hAnsi="Cambria" w:cs="Times New Roman"/>
          <w:color w:val="000000" w:themeColor="text1"/>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color w:val="000000" w:themeColor="text1"/>
          <w:sz w:val="20"/>
          <w:szCs w:val="20"/>
        </w:rPr>
        <w:t xml:space="preserve">Some of the recommended strategies include promoting sustainable agriculture practices, investing in rural infrastructure and services, strengthening food safety and quality standards, and promoting participatory decision-making processes that engage diverse stakeholders </w:t>
      </w:r>
      <w:sdt>
        <w:sdtPr>
          <w:rPr>
            <w:rFonts w:ascii="Cambria" w:hAnsi="Cambria" w:cs="Times New Roman"/>
            <w:color w:val="000000" w:themeColor="text1"/>
            <w:sz w:val="20"/>
            <w:szCs w:val="20"/>
          </w:rPr>
          <w:id w:val="462928030"/>
          <w:citation/>
        </w:sdtPr>
        <w:sdtContent>
          <w:r w:rsidR="00902FB4" w:rsidRPr="009460DA">
            <w:rPr>
              <w:rFonts w:ascii="Cambria" w:hAnsi="Cambria" w:cs="Times New Roman"/>
              <w:color w:val="000000" w:themeColor="text1"/>
              <w:sz w:val="20"/>
              <w:szCs w:val="20"/>
            </w:rPr>
            <w:fldChar w:fldCharType="begin"/>
          </w:r>
          <w:r w:rsidRPr="009460DA">
            <w:rPr>
              <w:rFonts w:ascii="Cambria" w:hAnsi="Cambria" w:cs="Times New Roman"/>
              <w:color w:val="000000" w:themeColor="text1"/>
              <w:sz w:val="20"/>
              <w:szCs w:val="20"/>
            </w:rPr>
            <w:instrText xml:space="preserve"> CITATION Gee20 \l 17417 </w:instrText>
          </w:r>
          <w:r w:rsidR="00902FB4" w:rsidRPr="009460DA">
            <w:rPr>
              <w:rFonts w:ascii="Cambria" w:hAnsi="Cambria" w:cs="Times New Roman"/>
              <w:color w:val="000000" w:themeColor="text1"/>
              <w:sz w:val="20"/>
              <w:szCs w:val="20"/>
            </w:rPr>
            <w:fldChar w:fldCharType="separate"/>
          </w:r>
          <w:r w:rsidRPr="009460DA">
            <w:rPr>
              <w:rFonts w:ascii="Cambria" w:hAnsi="Cambria" w:cs="Times New Roman"/>
              <w:noProof/>
              <w:color w:val="000000" w:themeColor="text1"/>
              <w:sz w:val="20"/>
              <w:szCs w:val="20"/>
            </w:rPr>
            <w:t>(Geekiyanage, Fernando, &amp; Keraminiyage, 2020)</w:t>
          </w:r>
          <w:r w:rsidR="00902FB4" w:rsidRPr="009460DA">
            <w:rPr>
              <w:rFonts w:ascii="Cambria" w:hAnsi="Cambria" w:cs="Times New Roman"/>
              <w:color w:val="000000" w:themeColor="text1"/>
              <w:sz w:val="20"/>
              <w:szCs w:val="20"/>
            </w:rPr>
            <w:fldChar w:fldCharType="end"/>
          </w:r>
        </w:sdtContent>
      </w:sdt>
      <w:r w:rsidRPr="009460DA">
        <w:rPr>
          <w:rFonts w:ascii="Cambria" w:hAnsi="Cambria" w:cs="Times New Roman"/>
          <w:color w:val="000000" w:themeColor="text1"/>
          <w:sz w:val="20"/>
          <w:szCs w:val="20"/>
        </w:rPr>
        <w:t>. Addressing the role of agricultural policies in food security requires a comprehensive and participatory approach that considers the diverse needs and perspectives of different stakeholders.</w:t>
      </w:r>
      <w:r w:rsidRPr="009460DA">
        <w:rPr>
          <w:rFonts w:ascii="Cambria" w:hAnsi="Cambria" w:cs="Times New Roman"/>
          <w:sz w:val="20"/>
          <w:szCs w:val="20"/>
        </w:rPr>
        <w:t xml:space="preserve"> Access to healthy food is a key aspect of food security, as it determines whether individuals and communities have the ability to obtain and consume nutritious food in sufficient quantities </w:t>
      </w:r>
      <w:sdt>
        <w:sdtPr>
          <w:rPr>
            <w:rFonts w:ascii="Cambria" w:hAnsi="Cambria" w:cs="Times New Roman"/>
            <w:sz w:val="20"/>
            <w:szCs w:val="20"/>
          </w:rPr>
          <w:id w:val="-152315560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Smi17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(Smith, Ng, &amp; Popkin,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Access to healthy food is influenced by a range of factors, including income, affordability, availability, and proximity to food outlets. However, disadvantaged communities, such as low-income households and rural populations, often face significant barriers to accessing healthy food, which can lead to higher rates of food insecurity and diet-related diseases </w:t>
      </w:r>
      <w:sdt>
        <w:sdtPr>
          <w:rPr>
            <w:rFonts w:ascii="Cambria" w:hAnsi="Cambria" w:cs="Times New Roman"/>
            <w:sz w:val="20"/>
            <w:szCs w:val="20"/>
          </w:rPr>
          <w:id w:val="-133792233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Pen21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(Penne &amp; Goedemé,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lack of healthy food options in food deserts can contribute to poor dietary choices, limited food diversity, and an increased risk of chronic diseases such as obesity, diabetes, and heart disease </w:t>
      </w:r>
      <w:sdt>
        <w:sdtPr>
          <w:rPr>
            <w:rFonts w:ascii="Cambria" w:hAnsi="Cambria" w:cs="Times New Roman"/>
            <w:sz w:val="20"/>
            <w:szCs w:val="20"/>
          </w:rPr>
          <w:id w:val="-42341849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Fit19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(Fitzpatrick, Greenhalgh-Stanley, &amp; Ver Ploeg,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Moreover, access to healthy food is not only a matter of physical availability but also affordability, as healthy food options are often more expensive than processed and unhealthy foods, making it difficult for low-income households to purchase nutritious food </w:t>
      </w:r>
      <w:sdt>
        <w:sdtPr>
          <w:rPr>
            <w:rFonts w:ascii="Cambria" w:hAnsi="Cambria" w:cs="Times New Roman"/>
            <w:sz w:val="20"/>
            <w:szCs w:val="20"/>
          </w:rPr>
          <w:id w:val="116258255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And21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(Anderson, et al.,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To address the issue of access to healthy food, it is necessary to adopt a multi-sectoral approach that addresses the underlying factors that contribute </w:t>
      </w:r>
      <w:r w:rsidRPr="009460DA">
        <w:rPr>
          <w:rFonts w:ascii="Cambria" w:hAnsi="Cambria" w:cs="Times New Roman"/>
          <w:sz w:val="20"/>
          <w:szCs w:val="20"/>
        </w:rPr>
        <w:lastRenderedPageBreak/>
        <w:t xml:space="preserve">to food insecurity and food deserts </w:t>
      </w:r>
      <w:sdt>
        <w:sdtPr>
          <w:rPr>
            <w:rFonts w:ascii="Cambria" w:hAnsi="Cambria" w:cs="Times New Roman"/>
            <w:sz w:val="20"/>
            <w:szCs w:val="20"/>
          </w:rPr>
          <w:id w:val="-10034262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Spe23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(Speich, et al., 2023)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Some of the recommended strategies include promoting healthy food retail options in underserved areas, increasing the purchasing power of low-income households through food assistance programs, promoting urban agriculture and community gardening, and supporting local food systems that prioritize healthy and sustainable food production </w:t>
      </w:r>
      <w:sdt>
        <w:sdtPr>
          <w:rPr>
            <w:rFonts w:ascii="Cambria" w:hAnsi="Cambria" w:cs="Times New Roman"/>
            <w:sz w:val="20"/>
            <w:szCs w:val="20"/>
          </w:rPr>
          <w:id w:val="-214588661"/>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Die20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(Diekmann, Gray, &amp; Thai,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Addressing the issue of access to healthy food requires a comprehensive approach that considers the multiple factors that contribute to food insecurity. Food sovereignty and security are increasingly recognized as critical aspects of ensuring access to safe, nutritious, and culturally appropriate food for all. Food sovereignty refers to the right of communities and people to control their food systems.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Including the production, distribution, and consumption of food, in ways that are sustainable, equitable, and culturally appropriate </w:t>
      </w:r>
      <w:sdt>
        <w:sdtPr>
          <w:rPr>
            <w:rFonts w:ascii="Cambria" w:hAnsi="Cambria" w:cs="Times New Roman"/>
            <w:sz w:val="20"/>
            <w:szCs w:val="20"/>
          </w:rPr>
          <w:id w:val="84359216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Des17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(Desmarais,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On the other hand, food security focuses on ensuring that all individuals have access to sufficient, safe, and nutritious food to meet their dietary needs and preferences </w:t>
      </w:r>
      <w:sdt>
        <w:sdtPr>
          <w:rPr>
            <w:rFonts w:ascii="Cambria" w:hAnsi="Cambria" w:cs="Times New Roman"/>
            <w:sz w:val="20"/>
            <w:szCs w:val="20"/>
          </w:rPr>
          <w:id w:val="-66300783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Ing20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(Ingram,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sovereignty and security are interrelated concepts that recognize the importance of local and community-based food systems and the need for equitable distribution of resources and power </w:t>
      </w:r>
      <w:sdt>
        <w:sdtPr>
          <w:rPr>
            <w:rFonts w:ascii="Cambria" w:hAnsi="Cambria" w:cs="Times New Roman"/>
            <w:sz w:val="20"/>
            <w:szCs w:val="20"/>
          </w:rPr>
          <w:id w:val="42462115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Poi23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(Poirier &amp; Neufeld, 2023)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These concepts emphasize the importance of food production and distribution that is ecologically sustainable, socially just, and culturally appropriate, with a focus on supporting small-scale farmers and local food systems </w:t>
      </w:r>
      <w:sdt>
        <w:sdtPr>
          <w:rPr>
            <w:rFonts w:ascii="Cambria" w:hAnsi="Cambria" w:cs="Times New Roman"/>
            <w:sz w:val="20"/>
            <w:szCs w:val="20"/>
          </w:rPr>
          <w:id w:val="-179088629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Des17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(Desmarais,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Moreover, they prioritize the inclusion of marginalized communities and the recognition of their knowledge and expertise in food systems. The issue of food sovereignty and security has important implications for policy and practice.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For example, global food policies and trade agreements can impact the ability of communities to maintain control over their food systems, as large corporations often dominate the global food trade</w:t>
      </w:r>
      <w:sdt>
        <w:sdtPr>
          <w:rPr>
            <w:rFonts w:ascii="Cambria" w:hAnsi="Cambria" w:cs="Times New Roman"/>
            <w:sz w:val="20"/>
            <w:szCs w:val="20"/>
          </w:rPr>
          <w:id w:val="58242016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Cla21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 xml:space="preserve"> (Clapp,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Additionally, the focus on increasing food production through industrial agriculture can have negative impacts on the environment and small-scale farmers, contributing to land degradation, loss of biodiversity, and social inequalities </w:t>
      </w:r>
      <w:sdt>
        <w:sdtPr>
          <w:rPr>
            <w:rFonts w:ascii="Cambria" w:hAnsi="Cambria" w:cs="Times New Roman"/>
            <w:sz w:val="20"/>
            <w:szCs w:val="20"/>
          </w:rPr>
          <w:id w:val="-199440181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To address the issue of food sovereignty and security, it is necessary to adopt a comprehensive approach that includes the perspectives and needs of local communities and small-scale farmers </w:t>
      </w:r>
      <w:sdt>
        <w:sdtPr>
          <w:rPr>
            <w:rFonts w:ascii="Cambria" w:hAnsi="Cambria" w:cs="Times New Roman"/>
            <w:sz w:val="20"/>
            <w:szCs w:val="20"/>
          </w:rPr>
          <w:id w:val="749085083"/>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Adu21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(Adu-Baffour, Daum, &amp; Birner,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Some of the recommended strategies include promoting agroecological and sustainable food production methods, supporting local food systems and small-scale farmers, and incorporating community-led approaches to food governance and decision-making </w:t>
      </w:r>
      <w:sdt>
        <w:sdtPr>
          <w:rPr>
            <w:rFonts w:ascii="Cambria" w:hAnsi="Cambria" w:cs="Times New Roman"/>
            <w:sz w:val="20"/>
            <w:szCs w:val="20"/>
          </w:rPr>
          <w:id w:val="-68667268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Des17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(Desmarais,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Addressing the issue of food sovereignty and security requires a comprehensive approach that considers the perspectives and needs of local communities and small-scale farmers.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iCs/>
          <w:sz w:val="20"/>
          <w:szCs w:val="20"/>
        </w:rPr>
        <w:t>The Importance of Addressing These Key Issues for Sustainable Development</w:t>
      </w:r>
      <w:r w:rsidRPr="009460DA">
        <w:rPr>
          <w:rFonts w:ascii="Cambria" w:hAnsi="Cambria" w:cs="Times New Roman"/>
          <w:sz w:val="20"/>
          <w:szCs w:val="20"/>
        </w:rPr>
        <w:t xml:space="preserve">: Sustainable development aims to meet the needs of the present without compromising the ability of future generations to meet their own needs. This requires addressing the social, economic, and environmental dimensions of food security and ensuring that all individuals have access to safe, nutritious, and culturally appropriate food </w:t>
      </w:r>
      <w:sdt>
        <w:sdtPr>
          <w:rPr>
            <w:rFonts w:ascii="Cambria" w:hAnsi="Cambria" w:cs="Times New Roman"/>
            <w:sz w:val="20"/>
            <w:szCs w:val="20"/>
          </w:rPr>
          <w:id w:val="-16547277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importance of addressing key issues related to food security is multifaceted. For example, reducing food waste can help conserve resources and reduce greenhouse gas emissions while also ensuring that food is used more efficiently </w:t>
      </w:r>
      <w:sdt>
        <w:sdtPr>
          <w:rPr>
            <w:rFonts w:ascii="Cambria" w:hAnsi="Cambria" w:cs="Times New Roman"/>
            <w:sz w:val="20"/>
            <w:szCs w:val="20"/>
          </w:rPr>
          <w:id w:val="116999070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Pan21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(Panchasara, Samrat, &amp; Islam,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Addressing the impacts of climate change on food production can help ensure that food systems remain resilient and adaptable in the face of changing environmental conditions </w:t>
      </w:r>
      <w:sdt>
        <w:sdtPr>
          <w:rPr>
            <w:rFonts w:ascii="Cambria" w:hAnsi="Cambria" w:cs="Times New Roman"/>
            <w:sz w:val="20"/>
            <w:szCs w:val="20"/>
          </w:rPr>
          <w:id w:val="-74187738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IPC19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(IPCC,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Improving access to healthy food can contribute to reducing rates of malnutrition and diet-related diseases while also promoting social and economic development </w:t>
      </w:r>
      <w:sdt>
        <w:sdtPr>
          <w:rPr>
            <w:rFonts w:ascii="Cambria" w:hAnsi="Cambria" w:cs="Times New Roman"/>
            <w:sz w:val="20"/>
            <w:szCs w:val="20"/>
          </w:rPr>
          <w:id w:val="9352615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Moreover, promoting food sovereignty and security can support the development of local and community-based food systems that are sustainable, equitable, and culturally appropriate </w:t>
      </w:r>
      <w:sdt>
        <w:sdtPr>
          <w:rPr>
            <w:rFonts w:ascii="Cambria" w:hAnsi="Cambria" w:cs="Times New Roman"/>
            <w:sz w:val="20"/>
            <w:szCs w:val="20"/>
          </w:rPr>
          <w:id w:val="-7096957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Des17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(Desmarais,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In addition to these benefits, addressing key issues related to food security can also have positive impacts on other global development goals.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Such as reducing poverty, promoting gender equality, and protecting biodiversity </w:t>
      </w:r>
      <w:sdt>
        <w:sdtPr>
          <w:rPr>
            <w:rFonts w:ascii="Cambria" w:hAnsi="Cambria" w:cs="Times New Roman"/>
            <w:sz w:val="20"/>
            <w:szCs w:val="20"/>
          </w:rPr>
          <w:id w:val="-91677579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For example, improving access to healthy and nutritious food can help reduce rates of malnutrition and stunting, which are major contributors to poverty and poor health outcomes </w:t>
      </w:r>
      <w:sdt>
        <w:sdtPr>
          <w:rPr>
            <w:rFonts w:ascii="Cambria" w:hAnsi="Cambria" w:cs="Times New Roman"/>
            <w:sz w:val="20"/>
            <w:szCs w:val="20"/>
          </w:rPr>
          <w:id w:val="173056882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Ago23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(Agostoni, Baglioni, La Vecchia, Molari, &amp; Berti, 2023)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Promoting gender equality in food systems can support the empowerment of women and girls, who are often responsible for food production and preparation in many communities </w:t>
      </w:r>
      <w:sdt>
        <w:sdtPr>
          <w:rPr>
            <w:rFonts w:ascii="Cambria" w:hAnsi="Cambria" w:cs="Times New Roman"/>
            <w:sz w:val="20"/>
            <w:szCs w:val="20"/>
          </w:rPr>
          <w:id w:val="-108838712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Additionally, sustainable food systems can contribute to the conservation of biodiversity and ecosystem services, which are critical for supporting human livelihoods and well-being </w:t>
      </w:r>
      <w:sdt>
        <w:sdtPr>
          <w:rPr>
            <w:rFonts w:ascii="Cambria" w:hAnsi="Cambria" w:cs="Times New Roman"/>
            <w:sz w:val="20"/>
            <w:szCs w:val="20"/>
          </w:rPr>
          <w:id w:val="-185826142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IPB19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(IPBES,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Furthermore, addressing these issues is critical for achieving the Sustainable Development Goals (SDGs) established by the United Nations in </w:t>
      </w:r>
      <w:r w:rsidRPr="009460DA">
        <w:rPr>
          <w:rFonts w:ascii="Cambria" w:hAnsi="Cambria" w:cs="Times New Roman"/>
          <w:sz w:val="20"/>
          <w:szCs w:val="20"/>
        </w:rPr>
        <w:lastRenderedPageBreak/>
        <w:t>2015. The SDGs aim to end poverty, protect the planet, and ensure that all people can enjoy peace and prosperity by 2030. Food security is a critical component of achieving these goals, with many of the goals directly or indirectly related to food security issues. For example, SDG 2 aims to end hunger and achieve food security and improved nutrition, while SDG 13 focuses on climate action to combat climate change, which has significant implications for food security.</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Additionally, SDG 1 aims to end poverty, and SDG 5 aims to achieve gender equality, both of which are closely linked to food security issues. Addressing these key issues requires a multi-sectoral approach involving collaboration and partnerships between researchers, policymakers, practitioners, and community members. It is crucial to incorporate diverse perspectives and voices into food security research, prioritize research on understudied issues and intersections with other global issues, and strengthen partnerships and collaborations between stakeholders. Improving data collection and analysis methods to better capture the complexity of food security issues is also important. Finally, fostering sustainable development requires prioritizing the resolution of fundamental concerns connected to food security. To achieve this goal, it is necessary to use a holistic strategy that values the acknowledgment of the knowledge and experience of marginalized populations and takes into account the social, economic, and environmental aspects of food security. By focusing on these basic concerns, we can encourage the growth of sustainable and equitable food systems that contribute to the present and future well-being of all people.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sz w:val="20"/>
          <w:szCs w:val="20"/>
        </w:rPr>
        <w:t>3. Critical Gaps in Food Security Literature</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Despite the significant amount of research conducted on food security, there are critical gaps in the literature that need to be addressed for sustainable development. These gaps include:</w:t>
      </w:r>
    </w:p>
    <w:p w:rsidR="00077D92" w:rsidRPr="009460DA" w:rsidRDefault="00077D92" w:rsidP="009460DA">
      <w:pPr>
        <w:spacing w:after="0" w:line="240" w:lineRule="auto"/>
        <w:jc w:val="both"/>
        <w:rPr>
          <w:rFonts w:ascii="Cambria" w:hAnsi="Cambria" w:cs="Times New Roman"/>
          <w:i/>
          <w:iCs/>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t>Limited Attention to Certain Issues</w:t>
      </w:r>
      <w:r w:rsidRPr="009460DA">
        <w:rPr>
          <w:rFonts w:ascii="Cambria" w:hAnsi="Cambria" w:cs="Times New Roman"/>
          <w:b/>
          <w:sz w:val="20"/>
          <w:szCs w:val="20"/>
        </w:rPr>
        <w:t>:</w:t>
      </w:r>
      <w:r w:rsidRPr="009460DA">
        <w:rPr>
          <w:rFonts w:ascii="Cambria" w:hAnsi="Cambria" w:cs="Times New Roman"/>
          <w:sz w:val="20"/>
          <w:szCs w:val="20"/>
        </w:rPr>
        <w:t xml:space="preserve"> The food security literature has not given adequate attention to certain issues such as food waste, food sovereignty, and the perspectives and experiences of marginalized groups (Garnett et al., 2013). The issue of food waste has received limited attention in the food security literature despite its significant impact on food availability and accessibility. Globally, around one-third of the food produced for human consumption is lost or wasted each year </w:t>
      </w:r>
      <w:sdt>
        <w:sdtPr>
          <w:rPr>
            <w:rFonts w:ascii="Cambria" w:hAnsi="Cambria" w:cs="Times New Roman"/>
            <w:sz w:val="20"/>
            <w:szCs w:val="20"/>
          </w:rPr>
          <w:id w:val="159813745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This represents a significant loss of resources including land, water, and energy, and has negative environmental and social implications. Addressing food waste is therefore crucial for ensuring food security and sustainable development. Similarly, food sovereignty, which emphasizes the right of people to control their food systems, including production, distribution, and consumption, has not been given adequate attention in the food security literature </w:t>
      </w:r>
      <w:sdt>
        <w:sdtPr>
          <w:rPr>
            <w:rFonts w:ascii="Cambria" w:hAnsi="Cambria" w:cs="Times New Roman"/>
            <w:sz w:val="20"/>
            <w:szCs w:val="20"/>
          </w:rPr>
          <w:id w:val="-164627283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Nis22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(Nisbett,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This is even though food sovereignty is closely linked to food security and has important implications for the resilience and sustainability of food systems. Finally, the perspectives and experiences of marginalized groups, such as small-scale farmers and low-income communities, have received limited attention in the food security literature </w:t>
      </w:r>
      <w:sdt>
        <w:sdtPr>
          <w:rPr>
            <w:rFonts w:ascii="Cambria" w:hAnsi="Cambria" w:cs="Times New Roman"/>
            <w:sz w:val="20"/>
            <w:szCs w:val="20"/>
          </w:rPr>
          <w:id w:val="580151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Sco20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(Scoones, et al.,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This is a significant gap as these groups often face unique challenges in accessing and producing food, and their perspectives and experiences are essential for understanding and addressing food insecurity. To address these gaps, it is essential to incorporate diverse perspectives and voices into food security research and to prioritize research on understudied issues such as food waste and food sovereignty. Furthermore, it is crucial to ensure that the perspectives and experiences of marginalized groups are adequately represented in the literature and to develop effective strategies that promote sustainable and equitable food systems for all.</w:t>
      </w:r>
    </w:p>
    <w:p w:rsidR="00077D92" w:rsidRPr="009460DA" w:rsidRDefault="00077D92" w:rsidP="009460DA">
      <w:pPr>
        <w:spacing w:after="0" w:line="240" w:lineRule="auto"/>
        <w:jc w:val="both"/>
        <w:rPr>
          <w:rFonts w:ascii="Cambria" w:hAnsi="Cambria" w:cs="Times New Roman"/>
          <w:i/>
          <w:iCs/>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t>Insufficient Exploration of Intersections</w:t>
      </w:r>
      <w:r w:rsidRPr="009460DA">
        <w:rPr>
          <w:rFonts w:ascii="Cambria" w:hAnsi="Cambria" w:cs="Times New Roman"/>
          <w:b/>
          <w:sz w:val="20"/>
          <w:szCs w:val="20"/>
        </w:rPr>
        <w:t xml:space="preserve">: </w:t>
      </w:r>
      <w:r w:rsidRPr="009460DA">
        <w:rPr>
          <w:rFonts w:ascii="Cambria" w:hAnsi="Cambria" w:cs="Times New Roman"/>
          <w:sz w:val="20"/>
          <w:szCs w:val="20"/>
        </w:rPr>
        <w:t xml:space="preserve">There has been insufficient exploration of the intersections between food security and other global issues such as gender inequality, environmental sustainability, and animal welfare </w:t>
      </w:r>
      <w:sdt>
        <w:sdtPr>
          <w:rPr>
            <w:rFonts w:ascii="Cambria" w:hAnsi="Cambria" w:cs="Times New Roman"/>
            <w:sz w:val="20"/>
            <w:szCs w:val="20"/>
          </w:rPr>
          <w:id w:val="169334569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Bel20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(Belton,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intersectional nature of food security issues and their links with other global challenges such as gender inequality, environmental sustainability, and animal welfare has been recognized in the literature. For instance, research suggests that women are disproportionately affected by food insecurity due to gender-based discrimination in access to resources and education, as well as cultural norms and gender roles </w:t>
      </w:r>
      <w:sdt>
        <w:sdtPr>
          <w:rPr>
            <w:rFonts w:ascii="Cambria" w:hAnsi="Cambria" w:cs="Times New Roman"/>
            <w:sz w:val="20"/>
            <w:szCs w:val="20"/>
          </w:rPr>
          <w:id w:val="-1892482743"/>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Sin22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(Sinclair,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Additionally, environmental degradation and climate change have direct and indirect impacts on food security, particularly for vulnerable populations in developing countries </w:t>
      </w:r>
      <w:sdt>
        <w:sdtPr>
          <w:rPr>
            <w:rFonts w:ascii="Cambria" w:hAnsi="Cambria" w:cs="Times New Roman"/>
            <w:sz w:val="20"/>
            <w:szCs w:val="20"/>
          </w:rPr>
          <w:id w:val="1741205311"/>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IPC19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(IPCC,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impact of animal agriculture on food security and the environment has also </w:t>
      </w:r>
      <w:r w:rsidRPr="009460DA">
        <w:rPr>
          <w:rFonts w:ascii="Cambria" w:hAnsi="Cambria" w:cs="Times New Roman"/>
          <w:sz w:val="20"/>
          <w:szCs w:val="20"/>
        </w:rPr>
        <w:lastRenderedPageBreak/>
        <w:t xml:space="preserve">gained attention in recent years, with debates on the sustainability of current consumption patterns and production methods </w:t>
      </w:r>
      <w:sdt>
        <w:sdtPr>
          <w:rPr>
            <w:rFonts w:ascii="Cambria" w:hAnsi="Cambria" w:cs="Times New Roman"/>
            <w:sz w:val="20"/>
            <w:szCs w:val="20"/>
          </w:rPr>
          <w:id w:val="-146041124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Gar13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(Garnett, et al., 2013)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Despite these links, the literature on food security has generally focused on food production and distribution while neglecting the broader social and environmental contexts that underlie food security challenges </w:t>
      </w:r>
      <w:sdt>
        <w:sdtPr>
          <w:rPr>
            <w:rFonts w:ascii="Cambria" w:hAnsi="Cambria" w:cs="Times New Roman"/>
            <w:sz w:val="20"/>
            <w:szCs w:val="20"/>
          </w:rPr>
          <w:id w:val="-105654625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Bel20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(Belton,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This lack of attention to intersections limits the effectiveness of food security policies and programs in addressing the complex and multifaceted nature of food insecurity. Therefore, there is a need for research that explores the intersections between food security and other global issues to develop more holistic and effective strategies to address food insecurity.</w:t>
      </w:r>
    </w:p>
    <w:p w:rsidR="00077D92" w:rsidRPr="009460DA" w:rsidRDefault="00077D92" w:rsidP="009460DA">
      <w:pPr>
        <w:spacing w:after="0" w:line="240" w:lineRule="auto"/>
        <w:jc w:val="both"/>
        <w:rPr>
          <w:rFonts w:ascii="Cambria" w:hAnsi="Cambria" w:cs="Times New Roman"/>
          <w:i/>
          <w:iCs/>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t>Limited Focus on Policy Implications</w:t>
      </w:r>
      <w:r w:rsidRPr="009460DA">
        <w:rPr>
          <w:rFonts w:ascii="Cambria" w:hAnsi="Cambria" w:cs="Times New Roman"/>
          <w:b/>
          <w:sz w:val="20"/>
          <w:szCs w:val="20"/>
        </w:rPr>
        <w:t xml:space="preserve">: </w:t>
      </w:r>
      <w:r w:rsidRPr="009460DA">
        <w:rPr>
          <w:rFonts w:ascii="Cambria" w:hAnsi="Cambria" w:cs="Times New Roman"/>
          <w:sz w:val="20"/>
          <w:szCs w:val="20"/>
        </w:rPr>
        <w:t xml:space="preserve">The food security literature has a limited focus on the policy implications of research findings, which can hinder effective policy and practice </w:t>
      </w:r>
      <w:sdt>
        <w:sdtPr>
          <w:rPr>
            <w:rFonts w:ascii="Cambria" w:hAnsi="Cambria" w:cs="Times New Roman"/>
            <w:sz w:val="20"/>
            <w:szCs w:val="20"/>
          </w:rPr>
          <w:id w:val="1798112244"/>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Fil19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(Filippini, Mazzocchi, &amp; Corsi,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This is a critical gap, as policymakers often rely on evidence-based research to make informed decisions. Inadequate consideration of policy implications in food security research can hinder the development of effective policies and practices to address food security issues </w:t>
      </w:r>
      <w:sdt>
        <w:sdtPr>
          <w:rPr>
            <w:rFonts w:ascii="Cambria" w:hAnsi="Cambria" w:cs="Times New Roman"/>
            <w:sz w:val="20"/>
            <w:szCs w:val="20"/>
          </w:rPr>
          <w:id w:val="-14181175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Bal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(Balehegn, et al.,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For example, a study by </w:t>
      </w:r>
      <w:sdt>
        <w:sdtPr>
          <w:rPr>
            <w:rFonts w:ascii="Cambria" w:hAnsi="Cambria" w:cs="Times New Roman"/>
            <w:sz w:val="20"/>
            <w:szCs w:val="20"/>
          </w:rPr>
          <w:id w:val="212272393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Sav22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(Savari &amp; Amghani,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found that while there is a large body of literature on small-scale farming, there is a lack of attention to the policy implications of these findings. This gap in the literature highlights the need for more research on the policy implications of food security research to support the development of effective policies and practices for sustainable development. Research studies that do not provide clear policy implications may not be able to contribute to decision-making and action </w:t>
      </w:r>
      <w:sdt>
        <w:sdtPr>
          <w:rPr>
            <w:rFonts w:ascii="Cambria" w:hAnsi="Cambria" w:cs="Times New Roman"/>
            <w:sz w:val="20"/>
            <w:szCs w:val="20"/>
          </w:rPr>
          <w:id w:val="60338382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Spa22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(Spanaki, Karafili, Sivarajah, Despoudi, &amp; Irani,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Therefore, it is crucial that food security research not only identify the problems but also provide practical policy recommendations for addressing them. Furthermore, some scholars have argued that there is a need for interdisciplinary and cross-sectoral approaches to food security research that consider the role of different actors in policy development and implementation </w:t>
      </w:r>
      <w:sdt>
        <w:sdtPr>
          <w:rPr>
            <w:rFonts w:ascii="Cambria" w:hAnsi="Cambria" w:cs="Times New Roman"/>
            <w:sz w:val="20"/>
            <w:szCs w:val="20"/>
          </w:rPr>
          <w:id w:val="109683028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Zha22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(Zhang, Dhir, &amp; Kaur,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This requires not only collaboration between researchers but also between researchers, policymakers, and practitioners. Policymakers need to be involved in the research process to ensure that the findings are relevant and applicable to policy development and implementation </w:t>
      </w:r>
      <w:sdt>
        <w:sdtPr>
          <w:rPr>
            <w:rFonts w:ascii="Cambria" w:hAnsi="Cambria" w:cs="Times New Roman"/>
            <w:sz w:val="20"/>
            <w:szCs w:val="20"/>
          </w:rPr>
          <w:id w:val="170892039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Nam20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(Namany, Govindan, Alfagih, McKay, &amp; Al-Ansari,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Overall, food security research must provide clear policy implications and recommendations to ensure effective policy and practice for addressing food insecurity. Additionally, interdisciplinary and cross-sectoral approaches to research can enhance the effectiveness of policy and program development and implementation.</w:t>
      </w:r>
    </w:p>
    <w:p w:rsidR="00077D92" w:rsidRPr="009460DA" w:rsidRDefault="00077D92" w:rsidP="009460DA">
      <w:pPr>
        <w:spacing w:after="0" w:line="240" w:lineRule="auto"/>
        <w:jc w:val="both"/>
        <w:rPr>
          <w:rFonts w:ascii="Cambria" w:hAnsi="Cambria" w:cs="Times New Roman"/>
          <w:b/>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t>Impact of Climate Change on Food Security:</w:t>
      </w:r>
      <w:r w:rsidRPr="009460DA">
        <w:rPr>
          <w:rFonts w:ascii="Cambria" w:hAnsi="Cambria" w:cs="Times New Roman"/>
          <w:i/>
          <w:iCs/>
          <w:sz w:val="20"/>
          <w:szCs w:val="20"/>
        </w:rPr>
        <w:t xml:space="preserve"> </w:t>
      </w:r>
      <w:r w:rsidRPr="009460DA">
        <w:rPr>
          <w:rFonts w:ascii="Cambria" w:hAnsi="Cambria" w:cs="Times New Roman"/>
          <w:sz w:val="20"/>
          <w:szCs w:val="20"/>
        </w:rPr>
        <w:t xml:space="preserve">Temperature and CO2 increases can facilitate plant growth to some extent. However, rising temperatures also accelerate plant and soil evapotranspiration, which necessitates adequate water for agricultural growth. Climate change will have increasingly negative effects on agricultural production in countries that are already water-scarce as a result of declining water supplies; an increase in extreme events such as floods and severe storms, heat stress, and an increase in pests and diseases will have devastating effects on agricultural production </w:t>
      </w:r>
      <w:sdt>
        <w:sdtPr>
          <w:rPr>
            <w:rFonts w:ascii="Cambria" w:hAnsi="Cambria" w:cs="Times New Roman"/>
            <w:sz w:val="20"/>
            <w:szCs w:val="20"/>
          </w:rPr>
          <w:id w:val="-10265673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Asi17 \m Ode13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(Asiedu, Adetola, &amp; Odame Kissi, 2017; Odeku, 2013)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At a certain threshold of warming, specifically above a two-degree Celsius increase in average global temperatures, adaptation would become exceedingly difficult and costly. In regions where temperatures are already extremely high, such as the Sahel region of Africa or South Asia, less heat-tolerant crops, such as wheat, could be impacted promptly by temperature increases </w:t>
      </w:r>
      <w:sdt>
        <w:sdtPr>
          <w:rPr>
            <w:rFonts w:ascii="Cambria" w:hAnsi="Cambria" w:cs="Times New Roman"/>
            <w:sz w:val="20"/>
            <w:szCs w:val="20"/>
          </w:rPr>
          <w:id w:val="194903632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Mát21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(Máté, Novotny, &amp; Meyer,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b/>
          <w:sz w:val="20"/>
          <w:szCs w:val="20"/>
        </w:rPr>
      </w:pPr>
      <w:r w:rsidRPr="009460DA">
        <w:rPr>
          <w:rFonts w:ascii="Cambria" w:hAnsi="Cambria" w:cs="Times New Roman"/>
          <w:sz w:val="20"/>
          <w:szCs w:val="20"/>
        </w:rPr>
        <w:t xml:space="preserve">If nothing is done to enhance agricultural yields in the continent's most food-insecure nations, an estimated 43 million more Africans could fall below the poverty line by 2030 </w:t>
      </w:r>
      <w:sdt>
        <w:sdtPr>
          <w:rPr>
            <w:rFonts w:ascii="Cambria" w:hAnsi="Cambria" w:cs="Times New Roman"/>
            <w:sz w:val="20"/>
            <w:szCs w:val="20"/>
          </w:rPr>
          <w:id w:val="166266148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Dja20 \m Wud22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(Djankov &amp; Panizza, 2020; Wudil, Usman, Rosak-Szyrocka, Pilař, &amp; Boye,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It is anticipated that climate change will affect the frequency and intensity of extreme events. Already, the effects of extreme events on agriculture are significant </w:t>
      </w:r>
      <w:sdt>
        <w:sdtPr>
          <w:rPr>
            <w:rFonts w:ascii="Cambria" w:hAnsi="Cambria" w:cs="Times New Roman"/>
            <w:sz w:val="20"/>
            <w:szCs w:val="20"/>
          </w:rPr>
          <w:id w:val="209110787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Bin15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(Bindi, Palosuo, Trnka, &amp; Semenov, 2015)</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Climate change is significantly altering the conditions under which agriculture is practiced. The effects of climate change on agricultural production systems are both direct and indirect. Changes in physical characteristics, such as temperature and precipitation patterns, have direct effects on specific agricultural production systems. Indirect effects include those that alter the productivity of other species, such as pollinators, parasites, disease vectors, and invasive species. These secondary effects can play a significant role. Given a large number of interacting traits and connections, the majority of which are unknown, it is significantly more challenging to evaluate and predict them </w:t>
      </w:r>
      <w:sdt>
        <w:sdtPr>
          <w:rPr>
            <w:rFonts w:ascii="Cambria" w:hAnsi="Cambria" w:cs="Times New Roman"/>
            <w:sz w:val="20"/>
            <w:szCs w:val="20"/>
          </w:rPr>
          <w:id w:val="140317346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Nun18 \m Sch14 \m Wan22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(Nunn &amp; Kumar, 2018; Scholtz, Schönfeldt, Neser, &amp; Schutte, 2014; Wang &amp; Wang,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lastRenderedPageBreak/>
        <w:t>Lack of Standardized Methods</w:t>
      </w:r>
      <w:r w:rsidRPr="009460DA">
        <w:rPr>
          <w:rFonts w:ascii="Cambria" w:hAnsi="Cambria" w:cs="Times New Roman"/>
          <w:b/>
          <w:sz w:val="20"/>
          <w:szCs w:val="20"/>
        </w:rPr>
        <w:t xml:space="preserve">: </w:t>
      </w:r>
      <w:r w:rsidRPr="009460DA">
        <w:rPr>
          <w:rFonts w:ascii="Cambria" w:hAnsi="Cambria" w:cs="Times New Roman"/>
          <w:sz w:val="20"/>
          <w:szCs w:val="20"/>
        </w:rPr>
        <w:t xml:space="preserve">There is a lack of standardized methods for measuring and assessing food security, which can limit comparability and generalizability. Furthermore, the lack of standardized methods also presents challenges in tracking progress toward achieving food security goals, such as those outlined in the Sustainable Development Goals (SDGs) </w:t>
      </w:r>
      <w:sdt>
        <w:sdtPr>
          <w:rPr>
            <w:rFonts w:ascii="Cambria" w:hAnsi="Cambria" w:cs="Times New Roman"/>
            <w:sz w:val="20"/>
            <w:szCs w:val="20"/>
          </w:rPr>
          <w:id w:val="-1285962893"/>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FAO19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(FAO,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SDGs include a specific target to end hunger and achieve food security by 2030, as well as targets related to nutrition and sustainable agriculture. Without standardized methods for measuring and monitoring progress toward these targets, it becomes difficult to assess the effectiveness of interventions and track progress towards achieving the goals </w:t>
      </w:r>
      <w:sdt>
        <w:sdtPr>
          <w:rPr>
            <w:rFonts w:ascii="Cambria" w:hAnsi="Cambria" w:cs="Times New Roman"/>
            <w:sz w:val="20"/>
            <w:szCs w:val="20"/>
          </w:rPr>
          <w:id w:val="159845043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Hei21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(Heidkamp, et al.,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The absence of standardized methods can limit the comparability and generalizability of findings and hinder the development of effective policies and interventions. In addition, the concept of food security is complex, encompassing multiple dimensions such as availability, access, utilization, and stability of food </w:t>
      </w:r>
      <w:sdt>
        <w:sdtPr>
          <w:rPr>
            <w:rFonts w:ascii="Cambria" w:hAnsi="Cambria" w:cs="Times New Roman"/>
            <w:sz w:val="20"/>
            <w:szCs w:val="20"/>
          </w:rPr>
          <w:id w:val="-68196709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Cla22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(Clapp, Moseley, Burlingame, &amp; Termine,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As a result, there is a need for standardized methods to assess food security that capture its multidimensionality and variability across contexts. Some studies have highlighted the importance of using standardized methods for measuring food security.</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For example, a study </w:t>
      </w:r>
      <w:sdt>
        <w:sdtPr>
          <w:rPr>
            <w:rFonts w:ascii="Cambria" w:hAnsi="Cambria" w:cs="Times New Roman"/>
            <w:sz w:val="20"/>
            <w:szCs w:val="20"/>
          </w:rPr>
          <w:id w:val="39339709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Pér08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(Pérez-Escamilla &amp; Segall-Corrêa, 2008)</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emphasized the need for standardized methods to assess food security and proposed a framework that considers the multiple dimensions of food security. Another study </w:t>
      </w:r>
      <w:sdt>
        <w:sdtPr>
          <w:rPr>
            <w:rFonts w:ascii="Cambria" w:hAnsi="Cambria" w:cs="Times New Roman"/>
            <w:sz w:val="20"/>
            <w:szCs w:val="20"/>
          </w:rPr>
          <w:id w:val="86979333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Coa13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(Coates, 2013)</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reviewed various methods for measuring food security and found that the methods differed in their conceptualization and operationalization of food security, leading to variations in the estimated prevalence of food insecurity. To address these gaps, there have been calls for the development of standardized methods for measuring and assessing food security, as well as for the incorporation of a more comprehensive and multidimensional approach to measuring food security </w:t>
      </w:r>
      <w:sdt>
        <w:sdtPr>
          <w:rPr>
            <w:rFonts w:ascii="Cambria" w:hAnsi="Cambria" w:cs="Times New Roman"/>
            <w:sz w:val="20"/>
            <w:szCs w:val="20"/>
          </w:rPr>
          <w:id w:val="-22738050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Pér17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(Pérez-Escamilla, Shamah-Levy, &amp; Candel, 2017)</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This includes the use of mixed-methods approaches and the incorporation of qualitative data to better understand the perspectives and experiences of food-insecure populations. Overall, addressing the lack of standardized methods is critical for improving the accuracy and comparability of food security research and tracking progress toward achieving global food security goals.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iCs/>
          <w:sz w:val="20"/>
          <w:szCs w:val="20"/>
        </w:rPr>
        <w:t>Lack of Advanced Technology</w:t>
      </w:r>
      <w:r w:rsidRPr="009460DA">
        <w:rPr>
          <w:rFonts w:ascii="Cambria" w:hAnsi="Cambria" w:cs="Times New Roman"/>
          <w:b/>
          <w:sz w:val="20"/>
          <w:szCs w:val="20"/>
        </w:rPr>
        <w:t>:</w:t>
      </w:r>
      <w:r w:rsidRPr="009460DA">
        <w:rPr>
          <w:rFonts w:ascii="Cambria" w:hAnsi="Cambria" w:cs="Times New Roman"/>
          <w:sz w:val="20"/>
          <w:szCs w:val="20"/>
        </w:rPr>
        <w:t xml:space="preserve"> There are competing and complementary perspectives on food safety in the era of big data </w:t>
      </w:r>
      <w:sdt>
        <w:sdtPr>
          <w:rPr>
            <w:rFonts w:ascii="Cambria" w:hAnsi="Cambria" w:cs="Times New Roman"/>
            <w:sz w:val="20"/>
            <w:szCs w:val="20"/>
          </w:rPr>
          <w:id w:val="-1165709611"/>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Våg20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(Vågsholm, Arzoomand, &amp; Boqvist,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w:t>
      </w:r>
      <w:sdt>
        <w:sdtPr>
          <w:rPr>
            <w:rFonts w:ascii="Cambria" w:hAnsi="Cambria" w:cs="Times New Roman"/>
            <w:sz w:val="20"/>
            <w:szCs w:val="20"/>
          </w:rPr>
          <w:id w:val="-209052370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Ben21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(Ben Ayed &amp; Hanana,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argue that multidisciplinary approaches should provide the food industry with more effective tools to ensure food quality and safety. Complex and enigmatic processes, such as machine learning and computational intelligence, are used for the real-time processing of these enormous data sets </w:t>
      </w:r>
      <w:sdt>
        <w:sdtPr>
          <w:rPr>
            <w:rFonts w:ascii="Cambria" w:hAnsi="Cambria" w:cs="Times New Roman"/>
            <w:sz w:val="20"/>
            <w:szCs w:val="20"/>
          </w:rPr>
          <w:id w:val="-147297553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Ben21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(Ben Ayed &amp; Hanana,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Lack of transparency makes it more difficult to scrutinize data and provide evidence-based recommendations. Utilizing food supply and demand forecasts and tracking food from farm to table without regard for food safety is also hazardous </w:t>
      </w:r>
      <w:sdt>
        <w:sdtPr>
          <w:rPr>
            <w:rFonts w:ascii="Cambria" w:hAnsi="Cambria" w:cs="Times New Roman"/>
            <w:sz w:val="20"/>
            <w:szCs w:val="20"/>
          </w:rPr>
          <w:id w:val="-1066026417"/>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Sap21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(Sapienza &amp; Vedder,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Consequently, initiatives involving big data must incorporate food safety considerations.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The advantages could include the reduction of food waste, the assurance of food safety through more effective process control, and the restoration of consumer and food industry confidence </w:t>
      </w:r>
      <w:sdt>
        <w:sdtPr>
          <w:rPr>
            <w:rFonts w:ascii="Cambria" w:hAnsi="Cambria" w:cs="Times New Roman"/>
            <w:sz w:val="20"/>
            <w:szCs w:val="20"/>
          </w:rPr>
          <w:id w:val="796104779"/>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Mis22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(Misra, et al., 2022 )</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In addition, it would be advantageous to transition from destructive or invasive testing to sensor-based, non-invasive automated monitoring. Simply deploy these sensors on-site to monitor production in real-time. Large volumes of high-throughput, analytical, and imaging metadata obtained with these instruments will enable more precise food supply forecasting by shedding light on the rotting and decay processes of various food products stored under varying conditions (temperature, packaging). If made available online, this developing knowledge could provide the food company with ongoing benefits </w:t>
      </w:r>
      <w:sdt>
        <w:sdtPr>
          <w:rPr>
            <w:rFonts w:ascii="Cambria" w:hAnsi="Cambria" w:cs="Times New Roman"/>
            <w:sz w:val="20"/>
            <w:szCs w:val="20"/>
          </w:rPr>
          <w:id w:val="-149609757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Rej21 \l 17417  \m Tal22</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(Rejeb, Rejeb, &amp; Zailani, 2021; Talari, Cummins, McNamara, &amp; O’Brien,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sz w:val="20"/>
          <w:szCs w:val="20"/>
        </w:rPr>
        <w:t>4. Addressing Critical Gaps in Food Security</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Several suggestions for further research and action can be made to overcome the significant gaps found in the literature on food security. To better capture the complexity of food security issues, data collection and analysis methods need to be improved. These include incorporating diverse perspectives and voices into food security research, prioritizing research on understudied issues and their connections to other global issues, fostering partnerships and collaborations between researchers, policymakers, and practitioners, and focusing on understudied issues and their intersections with other global issues. First off, multiple viewpoints and voices must be included in food security research to fully comprehend the complexities of the problems </w:t>
      </w:r>
      <w:r w:rsidRPr="009460DA">
        <w:rPr>
          <w:rFonts w:ascii="Cambria" w:hAnsi="Cambria" w:cs="Times New Roman"/>
          <w:sz w:val="20"/>
          <w:szCs w:val="20"/>
        </w:rPr>
        <w:lastRenderedPageBreak/>
        <w:t>involved. In particular, this entails giving special weight to the viewpoints and experiences of marginalized groups that are frequently disproportionately impacted by food insecurity, such as small-scale farmers and low-income communities. To ensure that these groups' needs and perspectives are heard, researchers can use community-based participatory research techniques. Second, it is essential for creating successful policies and practices to alleviate food poverty to prioritize research on understudied topics and how they connect with other global concerns.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This includes expanding studies on food sovereignty </w:t>
      </w:r>
      <w:sdt>
        <w:sdtPr>
          <w:rPr>
            <w:rFonts w:ascii="Cambria" w:hAnsi="Cambria" w:cs="Times New Roman"/>
            <w:sz w:val="20"/>
            <w:szCs w:val="20"/>
          </w:rPr>
          <w:id w:val="177806716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Bez19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(Bezner Kerr, Hickey, Lupafya, &amp; Dakishoni, 2019)</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waste, and how issues like gender inequity, environmental sustainability, and animal welfare connect with concerns about food security </w:t>
      </w:r>
      <w:sdt>
        <w:sdtPr>
          <w:rPr>
            <w:rFonts w:ascii="Cambria" w:hAnsi="Cambria" w:cs="Times New Roman"/>
            <w:sz w:val="20"/>
            <w:szCs w:val="20"/>
          </w:rPr>
          <w:id w:val="17358738"/>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Mar20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(Mardones, et al.,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To ensure a thorough grasp of these difficulties, policymakers might prioritize financing for research in these areas and promote collaboration between academics from diverse disciplines. Thirdly, creating opportunities for knowledge sharing and collaboration between various stakeholders as well as strengthening partnerships and collaborations between researchers, policymakers, and practitioners can help ensure that research findings are effectively translated into practices and policies that address food insecurity. For instance, to discuss research findings and their implications for policy and practice, officials should arrange regular meetings with researchers and practitioners </w:t>
      </w:r>
      <w:sdt>
        <w:sdtPr>
          <w:rPr>
            <w:rFonts w:ascii="Cambria" w:hAnsi="Cambria" w:cs="Times New Roman"/>
            <w:sz w:val="20"/>
            <w:szCs w:val="20"/>
          </w:rPr>
          <w:id w:val="-213007793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CITATION Gav20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(Gava, Bartolini, Venturi, Brunori, &amp; Pardossi,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Developing effective policies and practices requires enhancing data collection and analysis techniques to better represent the complexity of food security concerns. This entails using quantitative and qualitative techniques that can capture the lived experiences of people and communities affected by food poverty, as well as standardized procedures for measuring and assessing food security. To learn more about the social and cultural aspects that contribute to food insecurity, researchers should also look into new data sources like social media and other digital platforms.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sz w:val="20"/>
          <w:szCs w:val="20"/>
        </w:rPr>
        <w:t>5. Conclusion and Recommendations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In conclusion, the food security literature has critical gaps that limit our understanding of the complex nature of food security issues and hinder effective policy and practice. These gaps include inadequate attention to certain issues, insufficient exploration of intersections with other global issues, limited focus on the perspectives and experiences of marginalized groups, a lack of attention to policy implications, and a lack of standardized methods for measuring and assessing food security. Addressing these gaps is crucial for sustainable development, as food security is a fundamental component of global development and has far-reaching implications for social, economic, and environmental well-being. To address these gaps, researchers, policymakers, and practitioners must work together to incorporate diverse perspectives and voices into food security research, prioritize research on understudied issues and intersections with other global issues, strengthen partnerships and collaborations, and improve data collection and analysis methods to better capture the complexity of food security issues? By addressing these critical gaps, we can gain a more comprehensive understanding of food security and develop more effective policies and practices that promote food security for all. It is essential to recognize that food security is a complex and multifaceted issue that requires collaborative efforts from various sectors to achieve sustainable solutions.</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Therefore, it is a call to action for researchers, policymakers, and practitioners to work together and prioritize efforts to address these gaps and improve food security globally. Only then can we create a more just and equitable food system that ensures access to nutritious and culturally appropriate food for all. Gaps in the food security literature can have significant implications for policy and practice as they can limit the effectiveness of efforts to address food insecurity. One of the most pressing implications is the limited attention given to certain issues such as food waste, food sovereignty, and the perspectives and experiences of marginalized groups. This can result in policies and programs that do not fully address the root causes of food insecurity or that inadvertently perpetuate inequalities. For example, the issue of food waste has received inadequate attention in the literature on food security, despite the fact that around one-third of all food produced for human consumption is lost or wasted each year </w:t>
      </w:r>
      <w:sdt>
        <w:sdtPr>
          <w:rPr>
            <w:rFonts w:ascii="Cambria" w:hAnsi="Cambria" w:cs="Times New Roman"/>
            <w:sz w:val="20"/>
            <w:szCs w:val="20"/>
          </w:rPr>
          <w:id w:val="-38677883"/>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San21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(Santeramo &amp; Lamonaca,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Addressing food waste not only reduces food insecurity but also contributes to environmental sustainability by reducing greenhouse gas emissions and conserving natural resources </w:t>
      </w:r>
      <w:sdt>
        <w:sdtPr>
          <w:rPr>
            <w:rFonts w:ascii="Cambria" w:hAnsi="Cambria" w:cs="Times New Roman"/>
            <w:sz w:val="20"/>
            <w:szCs w:val="20"/>
          </w:rPr>
          <w:id w:val="885610820"/>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Pör22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(Pörtner, et al.,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Policies and programs that promote food waste reduction, such as food recovery programs and improved supply chain management, can therefore have significant impacts on both food security and sustainability. Similarly, the concept of food sovereignty has received limited attention in the literature on food security.</w:t>
      </w: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lastRenderedPageBreak/>
        <w:t xml:space="preserve">It’s the potential to challenge the dominant paradigm of global food systems and promote more equitable and sustainable food production and distribution </w:t>
      </w:r>
      <w:sdt>
        <w:sdtPr>
          <w:rPr>
            <w:rFonts w:ascii="Cambria" w:hAnsi="Cambria" w:cs="Times New Roman"/>
            <w:sz w:val="20"/>
            <w:szCs w:val="20"/>
          </w:rPr>
          <w:id w:val="104700572"/>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Cla22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(Clapp, Moseley, Burlingame, &amp; Termine, 2022)</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xml:space="preserve">. Food sovereignty emphasizes the rights of people to define and control their food systems and to produce and consume food that is culturally appropriate, environmentally sustainable, and socially just. By prioritizing the perspectives and needs of small-scale farmers and marginalized communities, food sovereignty can address the root causes of food insecurity and promote more sustainable and equitable food systems. Insufficient exploration of the intersections between food security and other global issues such as gender inequality, environmental sustainability, and animal welfare also has significant implications for policy and practice. For example, the gendered dimensions of food insecurity have been largely overlooked in the food security literature, despite the fact that women and girls are disproportionately affected by food insecurity </w:t>
      </w:r>
      <w:sdt>
        <w:sdtPr>
          <w:rPr>
            <w:rFonts w:ascii="Cambria" w:hAnsi="Cambria" w:cs="Times New Roman"/>
            <w:sz w:val="20"/>
            <w:szCs w:val="20"/>
          </w:rPr>
          <w:id w:val="-387417485"/>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Mor21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(Morales, Morales, &amp; Beltran, 2021)</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Addressing gender inequality in food systems, such as by promoting women's land rights and improving access to education and resources, can therefore be crucial for achieving food security and reducing poverty. Furthermore, the limited focus on policy implications of research findings in the food security literature can hinder effective policy and practice. Without clear and actionable policy recommendations, research may not be translated into effective interventions, and efforts to address food insecurity may be less effective or inefficient.</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sz w:val="20"/>
          <w:szCs w:val="20"/>
        </w:rPr>
        <w:t xml:space="preserve">Therefore, there is a need for greater collaboration between researchers, policymakers, and practitioners to ensure that research findings are translated into effective policies and programs that can address the root causes of food insecurity </w:t>
      </w:r>
      <w:sdt>
        <w:sdtPr>
          <w:rPr>
            <w:rFonts w:ascii="Cambria" w:hAnsi="Cambria" w:cs="Times New Roman"/>
            <w:sz w:val="20"/>
            <w:szCs w:val="20"/>
          </w:rPr>
          <w:id w:val="-1358653406"/>
          <w:citation/>
        </w:sdtPr>
        <w:sdtContent>
          <w:r w:rsidR="00902FB4" w:rsidRPr="009460DA">
            <w:rPr>
              <w:rFonts w:ascii="Cambria" w:hAnsi="Cambria" w:cs="Times New Roman"/>
              <w:sz w:val="20"/>
              <w:szCs w:val="20"/>
            </w:rPr>
            <w:fldChar w:fldCharType="begin"/>
          </w:r>
          <w:r w:rsidRPr="009460DA">
            <w:rPr>
              <w:rFonts w:ascii="Cambria" w:hAnsi="Cambria" w:cs="Times New Roman"/>
              <w:sz w:val="20"/>
              <w:szCs w:val="20"/>
            </w:rPr>
            <w:instrText xml:space="preserve"> CITATION Mur20 \l 17417 </w:instrText>
          </w:r>
          <w:r w:rsidR="00902FB4" w:rsidRPr="009460DA">
            <w:rPr>
              <w:rFonts w:ascii="Cambria" w:hAnsi="Cambria" w:cs="Times New Roman"/>
              <w:sz w:val="20"/>
              <w:szCs w:val="20"/>
            </w:rPr>
            <w:fldChar w:fldCharType="separate"/>
          </w:r>
          <w:r w:rsidRPr="009460DA">
            <w:rPr>
              <w:rFonts w:ascii="Cambria" w:hAnsi="Cambria" w:cs="Times New Roman"/>
              <w:noProof/>
              <w:sz w:val="20"/>
              <w:szCs w:val="20"/>
            </w:rPr>
            <w:t>(Murrell &amp; Jones, 2020)</w:t>
          </w:r>
          <w:r w:rsidR="00902FB4" w:rsidRPr="009460DA">
            <w:rPr>
              <w:rFonts w:ascii="Cambria" w:hAnsi="Cambria" w:cs="Times New Roman"/>
              <w:sz w:val="20"/>
              <w:szCs w:val="20"/>
            </w:rPr>
            <w:fldChar w:fldCharType="end"/>
          </w:r>
        </w:sdtContent>
      </w:sdt>
      <w:r w:rsidRPr="009460DA">
        <w:rPr>
          <w:rFonts w:ascii="Cambria" w:hAnsi="Cambria" w:cs="Times New Roman"/>
          <w:sz w:val="20"/>
          <w:szCs w:val="20"/>
        </w:rPr>
        <w:t>. Finally, the lack of standardized methods for measuring and assessing food security can limit the comparability and generalizability of findings, making it difficult to identify and address food insecurity on a global scale. This underscores the need for the development and implementation of standardized methods and indicators for measuring and assessing food security, which can improve comparability in addition to enabling more effective monitoring and evaluation of interventions. In conclusion, gaps in the food security literature can have significant implications for policy and practice, as they can limit the effectiveness of efforts to address food insecurity. Addressing these gaps will require greater attention to certain issues, such as food waste and food sovereignty, as well as greater exploration of the intersections between food security and other global issues. Additionally, there is a need for greater collaboration between researchers, policymakers, and practitioners to ensure that research findings are translated into effective policies and programs and for the development and implementation of standardized methods and indicators for measuring and assessing food security.</w:t>
      </w:r>
    </w:p>
    <w:p w:rsidR="00077D92" w:rsidRPr="009460DA" w:rsidRDefault="00077D92" w:rsidP="009460DA">
      <w:pPr>
        <w:spacing w:after="0" w:line="240" w:lineRule="auto"/>
        <w:jc w:val="both"/>
        <w:rPr>
          <w:rFonts w:ascii="Cambria" w:hAnsi="Cambria" w:cs="Times New Roman"/>
          <w:sz w:val="20"/>
          <w:szCs w:val="20"/>
        </w:rPr>
      </w:pPr>
    </w:p>
    <w:p w:rsidR="00077D92" w:rsidRPr="009460DA" w:rsidRDefault="00077D92" w:rsidP="009460DA">
      <w:pPr>
        <w:spacing w:after="0" w:line="240" w:lineRule="auto"/>
        <w:jc w:val="both"/>
        <w:rPr>
          <w:rFonts w:ascii="Cambria" w:hAnsi="Cambria" w:cs="Times New Roman"/>
          <w:sz w:val="20"/>
          <w:szCs w:val="20"/>
        </w:rPr>
      </w:pPr>
      <w:r w:rsidRPr="009460DA">
        <w:rPr>
          <w:rFonts w:ascii="Cambria" w:hAnsi="Cambria" w:cs="Times New Roman"/>
          <w:b/>
          <w:bCs/>
          <w:sz w:val="20"/>
          <w:szCs w:val="20"/>
        </w:rPr>
        <w:t>Acknowledgment</w:t>
      </w:r>
      <w:r w:rsidRPr="009460DA">
        <w:rPr>
          <w:rFonts w:ascii="Cambria" w:hAnsi="Cambria" w:cs="Times New Roman"/>
          <w:sz w:val="20"/>
          <w:szCs w:val="20"/>
        </w:rPr>
        <w:t>: The authors would like to thank Universiti Teknologi MARA, Cawangan Melaka for supporting this article.</w:t>
      </w:r>
    </w:p>
    <w:p w:rsidR="00077D92" w:rsidRPr="009460DA" w:rsidRDefault="00077D92" w:rsidP="009460DA">
      <w:pPr>
        <w:spacing w:after="0" w:line="240" w:lineRule="auto"/>
        <w:jc w:val="both"/>
        <w:rPr>
          <w:rFonts w:ascii="Cambria" w:hAnsi="Cambria" w:cs="Times New Roman"/>
          <w:sz w:val="20"/>
          <w:szCs w:val="20"/>
        </w:rPr>
      </w:pPr>
    </w:p>
    <w:sdt>
      <w:sdtPr>
        <w:rPr>
          <w:rFonts w:ascii="Cambria" w:eastAsiaTheme="minorHAnsi" w:hAnsi="Cambria" w:cstheme="minorBidi"/>
          <w:b w:val="0"/>
          <w:bCs w:val="0"/>
          <w:color w:val="auto"/>
          <w:kern w:val="2"/>
          <w:sz w:val="20"/>
          <w:szCs w:val="20"/>
          <w:lang w:val="en-MY"/>
        </w:rPr>
        <w:id w:val="708226607"/>
        <w:docPartObj>
          <w:docPartGallery w:val="Bibliographies"/>
          <w:docPartUnique/>
        </w:docPartObj>
      </w:sdtPr>
      <w:sdtEndPr>
        <w:rPr>
          <w:kern w:val="0"/>
          <w:lang w:val="id-ID"/>
        </w:rPr>
      </w:sdtEndPr>
      <w:sdtContent>
        <w:p w:rsidR="00077D92" w:rsidRPr="009460DA" w:rsidRDefault="00077D92" w:rsidP="009460DA">
          <w:pPr>
            <w:pStyle w:val="Heading1"/>
            <w:spacing w:before="0" w:line="240" w:lineRule="auto"/>
            <w:jc w:val="both"/>
            <w:rPr>
              <w:rFonts w:ascii="Cambria" w:hAnsi="Cambria" w:cs="Times New Roman"/>
              <w:b w:val="0"/>
              <w:color w:val="auto"/>
              <w:sz w:val="20"/>
              <w:szCs w:val="20"/>
            </w:rPr>
          </w:pPr>
          <w:r w:rsidRPr="009460DA">
            <w:rPr>
              <w:rFonts w:ascii="Cambria" w:hAnsi="Cambria" w:cs="Times New Roman"/>
              <w:color w:val="auto"/>
              <w:sz w:val="20"/>
              <w:szCs w:val="20"/>
            </w:rPr>
            <w:t>References</w:t>
          </w:r>
        </w:p>
        <w:p w:rsidR="00077D92" w:rsidRPr="009460DA" w:rsidRDefault="00077D92" w:rsidP="009460DA">
          <w:pPr>
            <w:spacing w:after="0" w:line="240" w:lineRule="auto"/>
            <w:jc w:val="both"/>
            <w:rPr>
              <w:rFonts w:ascii="Cambria" w:hAnsi="Cambria"/>
              <w:sz w:val="20"/>
              <w:szCs w:val="20"/>
              <w:lang w:val="en-US"/>
            </w:rPr>
          </w:pPr>
        </w:p>
        <w:sdt>
          <w:sdtPr>
            <w:rPr>
              <w:rFonts w:ascii="Cambria" w:eastAsiaTheme="minorHAnsi" w:hAnsi="Cambria" w:cstheme="minorBidi"/>
              <w:sz w:val="20"/>
              <w:szCs w:val="20"/>
              <w:lang w:val="id-ID" w:eastAsia="en-US"/>
            </w:rPr>
            <w:id w:val="1701815908"/>
            <w:bibliography/>
          </w:sdtPr>
          <w:sdtContent>
            <w:p w:rsidR="00077D92" w:rsidRPr="009460DA" w:rsidRDefault="00902FB4" w:rsidP="009460DA">
              <w:pPr>
                <w:pStyle w:val="Bibliography"/>
                <w:spacing w:after="0" w:line="240" w:lineRule="auto"/>
                <w:ind w:left="720" w:hanging="720"/>
                <w:jc w:val="both"/>
                <w:rPr>
                  <w:rFonts w:ascii="Cambria" w:hAnsi="Cambria"/>
                  <w:noProof/>
                  <w:sz w:val="20"/>
                  <w:szCs w:val="20"/>
                </w:rPr>
              </w:pPr>
              <w:r w:rsidRPr="00902FB4">
                <w:rPr>
                  <w:rFonts w:ascii="Cambria" w:hAnsi="Cambria" w:cs="Times New Roman"/>
                  <w:sz w:val="20"/>
                  <w:szCs w:val="20"/>
                </w:rPr>
                <w:fldChar w:fldCharType="begin"/>
              </w:r>
              <w:r w:rsidR="00077D92" w:rsidRPr="009460DA">
                <w:rPr>
                  <w:rFonts w:ascii="Cambria" w:hAnsi="Cambria" w:cs="Times New Roman"/>
                  <w:sz w:val="20"/>
                  <w:szCs w:val="20"/>
                </w:rPr>
                <w:instrText xml:space="preserve"> BIBLIOGRAPHY </w:instrText>
              </w:r>
              <w:r w:rsidRPr="00902FB4">
                <w:rPr>
                  <w:rFonts w:ascii="Cambria" w:hAnsi="Cambria" w:cs="Times New Roman"/>
                  <w:sz w:val="20"/>
                  <w:szCs w:val="20"/>
                </w:rPr>
                <w:fldChar w:fldCharType="separate"/>
              </w:r>
              <w:r w:rsidR="00077D92" w:rsidRPr="009460DA">
                <w:rPr>
                  <w:rFonts w:ascii="Cambria" w:hAnsi="Cambria"/>
                  <w:noProof/>
                  <w:sz w:val="20"/>
                  <w:szCs w:val="20"/>
                </w:rPr>
                <w:t xml:space="preserve">Adenle, A. A., Wedig, K. &amp; Azadi, H. (2019). Sustainable agriculture and food security in Africa: The role of innovative technologies and international organizations. </w:t>
              </w:r>
              <w:r w:rsidR="00077D92" w:rsidRPr="009460DA">
                <w:rPr>
                  <w:rFonts w:ascii="Cambria" w:hAnsi="Cambria"/>
                  <w:iCs/>
                  <w:noProof/>
                  <w:sz w:val="20"/>
                  <w:szCs w:val="20"/>
                </w:rPr>
                <w:t>Technology in Society</w:t>
              </w:r>
              <w:r w:rsidR="00077D92" w:rsidRPr="009460DA">
                <w:rPr>
                  <w:rFonts w:ascii="Cambria" w:hAnsi="Cambria"/>
                  <w:noProof/>
                  <w:sz w:val="20"/>
                  <w:szCs w:val="20"/>
                </w:rPr>
                <w:t>, 58.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Adu-Baffour, F., Daum, T. &amp; Birner, R. (2021). Governance challenges of small-scale gold mining in Ghana: Insights from a process net-map study. </w:t>
              </w:r>
              <w:r w:rsidRPr="009460DA">
                <w:rPr>
                  <w:rFonts w:ascii="Cambria" w:hAnsi="Cambria"/>
                  <w:iCs/>
                  <w:noProof/>
                  <w:sz w:val="20"/>
                  <w:szCs w:val="20"/>
                </w:rPr>
                <w:t>Land Use Policy</w:t>
              </w:r>
              <w:r w:rsidRPr="009460DA">
                <w:rPr>
                  <w:rFonts w:ascii="Cambria" w:hAnsi="Cambria"/>
                  <w:noProof/>
                  <w:sz w:val="20"/>
                  <w:szCs w:val="20"/>
                </w:rPr>
                <w:t>, 102.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Agostoni, C., Baglioni, M., La Vecchia, A., Molari, G. &amp; Berti, C. (2023). Interlinkages between Climate Change and Food Systems: The Impact on Child Malnutrition-Narrative Review. </w:t>
              </w:r>
              <w:r w:rsidRPr="009460DA">
                <w:rPr>
                  <w:rFonts w:ascii="Cambria" w:hAnsi="Cambria"/>
                  <w:i/>
                  <w:iCs/>
                  <w:noProof/>
                  <w:sz w:val="20"/>
                  <w:szCs w:val="20"/>
                </w:rPr>
                <w:t>Nutrients</w:t>
              </w:r>
              <w:r w:rsidRPr="009460DA">
                <w:rPr>
                  <w:rFonts w:ascii="Cambria" w:hAnsi="Cambria"/>
                  <w:noProof/>
                  <w:sz w:val="20"/>
                  <w:szCs w:val="20"/>
                </w:rPr>
                <w:t>, 15(2), 416.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Alexander, P., Brown, C., Arneth, A., Finnigan, J. &amp; Rounsevell, M. (2019). Human appropriation of land for food: The role of diet. </w:t>
              </w:r>
              <w:r w:rsidRPr="009460DA">
                <w:rPr>
                  <w:rFonts w:ascii="Cambria" w:hAnsi="Cambria"/>
                  <w:iCs/>
                  <w:noProof/>
                  <w:sz w:val="20"/>
                  <w:szCs w:val="20"/>
                </w:rPr>
                <w:t>Global Environmental Change</w:t>
              </w:r>
              <w:r w:rsidRPr="009460DA">
                <w:rPr>
                  <w:rFonts w:ascii="Cambria" w:hAnsi="Cambria"/>
                  <w:noProof/>
                  <w:sz w:val="20"/>
                  <w:szCs w:val="20"/>
                </w:rPr>
                <w:t>, 58.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Anderson, E., Wei, R., Liu, B., Plummer, R., Kelahan, H., Tamez, M. &amp; Mattei, J. (2021). Improving healthy food choices in low-income settings in the United States using behavioral economic-based adaptations to choice architecture. </w:t>
              </w:r>
              <w:r w:rsidRPr="009460DA">
                <w:rPr>
                  <w:rFonts w:ascii="Cambria" w:hAnsi="Cambria"/>
                  <w:iCs/>
                  <w:noProof/>
                  <w:sz w:val="20"/>
                  <w:szCs w:val="20"/>
                </w:rPr>
                <w:t>Frontiers in Nutrition</w:t>
              </w:r>
              <w:r w:rsidRPr="009460DA">
                <w:rPr>
                  <w:rFonts w:ascii="Cambria" w:hAnsi="Cambria"/>
                  <w:noProof/>
                  <w:sz w:val="20"/>
                  <w:szCs w:val="20"/>
                </w:rPr>
                <w:t>, 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Asiedu, B., Adetola, J. &amp; Odame Kissi, I. (2017). Aquaculture in troubled climate: Farmers’ perception of climate change and their adaptation. </w:t>
              </w:r>
              <w:r w:rsidRPr="009460DA">
                <w:rPr>
                  <w:rFonts w:ascii="Cambria" w:hAnsi="Cambria"/>
                  <w:i/>
                  <w:iCs/>
                  <w:noProof/>
                  <w:sz w:val="20"/>
                  <w:szCs w:val="20"/>
                </w:rPr>
                <w:t>Cogent Food and Agriculture</w:t>
              </w:r>
              <w:r w:rsidRPr="009460DA">
                <w:rPr>
                  <w:rFonts w:ascii="Cambria" w:hAnsi="Cambria"/>
                  <w:noProof/>
                  <w:sz w:val="20"/>
                  <w:szCs w:val="20"/>
                </w:rPr>
                <w:t>, 3(1).</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Balehegn, M., Duncan, A., Tolera, A., Ayantunde, A., Issa, S., Karimou, M. &amp; Adesogan, A. (2020). Improving adoption of technologies and interventions for increasing the supply of quality livestock feed in low-and middle-income countries. </w:t>
              </w:r>
              <w:r w:rsidRPr="009460DA">
                <w:rPr>
                  <w:rFonts w:ascii="Cambria" w:hAnsi="Cambria"/>
                  <w:iCs/>
                  <w:noProof/>
                  <w:sz w:val="20"/>
                  <w:szCs w:val="20"/>
                </w:rPr>
                <w:t>Global food security</w:t>
              </w:r>
              <w:r w:rsidRPr="009460DA">
                <w:rPr>
                  <w:rFonts w:ascii="Cambria" w:hAnsi="Cambria"/>
                  <w:noProof/>
                  <w:sz w:val="20"/>
                  <w:szCs w:val="20"/>
                </w:rPr>
                <w:t>, 26.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Belton, B., Johnson, D., Thrift, E., Olsen, J., Hossain, M. &amp; Thilsted, S. (2022). Dried fish at the intersection of food science, economy, and culture: A global survey. </w:t>
              </w:r>
              <w:r w:rsidRPr="009460DA">
                <w:rPr>
                  <w:rFonts w:ascii="Cambria" w:hAnsi="Cambria"/>
                  <w:i/>
                  <w:iCs/>
                  <w:noProof/>
                  <w:sz w:val="20"/>
                  <w:szCs w:val="20"/>
                </w:rPr>
                <w:t>Fish and Fisheries</w:t>
              </w:r>
              <w:r w:rsidRPr="009460DA">
                <w:rPr>
                  <w:rFonts w:ascii="Cambria" w:hAnsi="Cambria"/>
                  <w:noProof/>
                  <w:sz w:val="20"/>
                  <w:szCs w:val="20"/>
                </w:rPr>
                <w:t>, 23(4), 941-962.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Ben Ayed, R. &amp; Hanana, M. (2021). Artificial intelligence to improve the food and agriculture sector. </w:t>
              </w:r>
              <w:r w:rsidRPr="009460DA">
                <w:rPr>
                  <w:rFonts w:ascii="Cambria" w:hAnsi="Cambria"/>
                  <w:iCs/>
                  <w:noProof/>
                  <w:sz w:val="20"/>
                  <w:szCs w:val="20"/>
                </w:rPr>
                <w:t>Journal of Food Quality</w:t>
              </w:r>
              <w:r w:rsidRPr="009460DA">
                <w:rPr>
                  <w:rFonts w:ascii="Cambria" w:hAnsi="Cambria"/>
                  <w:noProof/>
                  <w:sz w:val="20"/>
                  <w:szCs w:val="20"/>
                </w:rPr>
                <w:t>, 1-7.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Bezner Kerr, R., Hickey, C., Lupafya, E. &amp; Dakishoni, L. (2019). Repairing rifts or reproducing inequalities? Agroecology, food sovereignty, and gender justice in Malawi. </w:t>
              </w:r>
              <w:r w:rsidRPr="009460DA">
                <w:rPr>
                  <w:rFonts w:ascii="Cambria" w:hAnsi="Cambria"/>
                  <w:i/>
                  <w:iCs/>
                  <w:noProof/>
                  <w:sz w:val="20"/>
                  <w:szCs w:val="20"/>
                </w:rPr>
                <w:t>The Journal of Peasant Studies</w:t>
              </w:r>
              <w:r w:rsidRPr="009460DA">
                <w:rPr>
                  <w:rFonts w:ascii="Cambria" w:hAnsi="Cambria"/>
                  <w:noProof/>
                  <w:sz w:val="20"/>
                  <w:szCs w:val="20"/>
                </w:rPr>
                <w:t>, 46(7), 1499-1518.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Bindi, M., Palosuo, T., Trnka, M. &amp; Semenov, M. (2015). Modeling climate change impacts on crop production for food security. </w:t>
              </w:r>
              <w:r w:rsidRPr="009460DA">
                <w:rPr>
                  <w:rFonts w:ascii="Cambria" w:hAnsi="Cambria"/>
                  <w:i/>
                  <w:iCs/>
                  <w:noProof/>
                  <w:sz w:val="20"/>
                  <w:szCs w:val="20"/>
                </w:rPr>
                <w:t>Climate Research</w:t>
              </w:r>
              <w:r w:rsidRPr="009460DA">
                <w:rPr>
                  <w:rFonts w:ascii="Cambria" w:hAnsi="Cambria"/>
                  <w:noProof/>
                  <w:sz w:val="20"/>
                  <w:szCs w:val="20"/>
                </w:rPr>
                <w:t>, 65, 3–5.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Bjornlund, V., Bjornlund, H. &amp; van Rooyen, A. (2022). Why food insecurity persists in sub-Saharan Africa: A review of existing evidence. </w:t>
              </w:r>
              <w:r w:rsidRPr="009460DA">
                <w:rPr>
                  <w:rFonts w:ascii="Cambria" w:hAnsi="Cambria"/>
                  <w:i/>
                  <w:iCs/>
                  <w:noProof/>
                  <w:sz w:val="20"/>
                  <w:szCs w:val="20"/>
                </w:rPr>
                <w:t>Food Security</w:t>
              </w:r>
              <w:r w:rsidRPr="009460DA">
                <w:rPr>
                  <w:rFonts w:ascii="Cambria" w:hAnsi="Cambria"/>
                  <w:noProof/>
                  <w:sz w:val="20"/>
                  <w:szCs w:val="20"/>
                </w:rPr>
                <w:t>, 14(4), 845-864.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Clapp, J. (2021). </w:t>
              </w:r>
              <w:r w:rsidRPr="009460DA">
                <w:rPr>
                  <w:rFonts w:ascii="Cambria" w:hAnsi="Cambria"/>
                  <w:i/>
                  <w:iCs/>
                  <w:noProof/>
                  <w:sz w:val="20"/>
                  <w:szCs w:val="20"/>
                </w:rPr>
                <w:t>Nature Food</w:t>
              </w:r>
              <w:r w:rsidRPr="009460DA">
                <w:rPr>
                  <w:rFonts w:ascii="Cambria" w:hAnsi="Cambria"/>
                  <w:noProof/>
                  <w:sz w:val="20"/>
                  <w:szCs w:val="20"/>
                </w:rPr>
                <w:t>, 2(6), 404-408.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Clapp, J. &amp; Moseley, W. (2020). This food crisis is different: COVID-19 and the fragility of the neoliberal food security order. </w:t>
              </w:r>
              <w:r w:rsidRPr="009460DA">
                <w:rPr>
                  <w:rFonts w:ascii="Cambria" w:hAnsi="Cambria"/>
                  <w:i/>
                  <w:iCs/>
                  <w:noProof/>
                  <w:sz w:val="20"/>
                  <w:szCs w:val="20"/>
                </w:rPr>
                <w:t>The Journal of Peasant Studies</w:t>
              </w:r>
              <w:r w:rsidRPr="009460DA">
                <w:rPr>
                  <w:rFonts w:ascii="Cambria" w:hAnsi="Cambria"/>
                  <w:noProof/>
                  <w:sz w:val="20"/>
                  <w:szCs w:val="20"/>
                </w:rPr>
                <w:t>, 47(7), 1393-1417.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Clapp, J., Moseley, W., Burlingame, B. &amp; Termine, P. (2022). The case for a six-dimensional food security framework. </w:t>
              </w:r>
              <w:r w:rsidRPr="009460DA">
                <w:rPr>
                  <w:rFonts w:ascii="Cambria" w:hAnsi="Cambria"/>
                  <w:iCs/>
                  <w:noProof/>
                  <w:sz w:val="20"/>
                  <w:szCs w:val="20"/>
                </w:rPr>
                <w:t>Food Policy</w:t>
              </w:r>
              <w:r w:rsidRPr="009460DA">
                <w:rPr>
                  <w:rFonts w:ascii="Cambria" w:hAnsi="Cambria"/>
                  <w:noProof/>
                  <w:sz w:val="20"/>
                  <w:szCs w:val="20"/>
                </w:rPr>
                <w:t>, 106.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Coates, J. (2013). Build it back better: Deconstructing food security for improved measurement and action. </w:t>
              </w:r>
              <w:r w:rsidRPr="009460DA">
                <w:rPr>
                  <w:rFonts w:ascii="Cambria" w:hAnsi="Cambria"/>
                  <w:i/>
                  <w:iCs/>
                  <w:noProof/>
                  <w:sz w:val="20"/>
                  <w:szCs w:val="20"/>
                </w:rPr>
                <w:t xml:space="preserve">Global Food Security, </w:t>
              </w:r>
              <w:r w:rsidRPr="009460DA">
                <w:rPr>
                  <w:rFonts w:ascii="Cambria" w:hAnsi="Cambria"/>
                  <w:noProof/>
                  <w:sz w:val="20"/>
                  <w:szCs w:val="20"/>
                </w:rPr>
                <w:t>2(3), 188-194.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Desmarais, A. A. (2017). </w:t>
              </w:r>
              <w:r w:rsidRPr="009460DA">
                <w:rPr>
                  <w:rFonts w:ascii="Cambria" w:hAnsi="Cambria"/>
                  <w:iCs/>
                  <w:noProof/>
                  <w:sz w:val="20"/>
                  <w:szCs w:val="20"/>
                </w:rPr>
                <w:t>Food sovereignty and the challenge of democracy: A public policy perspective.</w:t>
              </w:r>
              <w:r w:rsidRPr="009460DA">
                <w:rPr>
                  <w:rFonts w:ascii="Cambria" w:hAnsi="Cambria"/>
                  <w:noProof/>
                  <w:sz w:val="20"/>
                  <w:szCs w:val="20"/>
                </w:rPr>
                <w:t xml:space="preserve"> Routledge.</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Di Prima, S., Wright, E. P., Sharma, I. K., Syurina, E. &amp; Broerse, J. (2022). Implementation and scale-up of nutrition-sensitive agriculture in low-and middle-income countries: a systematic review of what works, what doesn't work and why. </w:t>
              </w:r>
              <w:r w:rsidRPr="009460DA">
                <w:rPr>
                  <w:rFonts w:ascii="Cambria" w:hAnsi="Cambria"/>
                  <w:iCs/>
                  <w:noProof/>
                  <w:sz w:val="20"/>
                  <w:szCs w:val="20"/>
                </w:rPr>
                <w:t>Global Food Security</w:t>
              </w:r>
              <w:r w:rsidRPr="009460DA">
                <w:rPr>
                  <w:rFonts w:ascii="Cambria" w:hAnsi="Cambria"/>
                  <w:noProof/>
                  <w:sz w:val="20"/>
                  <w:szCs w:val="20"/>
                </w:rPr>
                <w:t>, 32.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Diekmann, L. O., Gray, L. &amp; Thai, C. (2020). More than food: The social benefits of localized urban food systems. </w:t>
              </w:r>
              <w:r w:rsidRPr="009460DA">
                <w:rPr>
                  <w:rFonts w:ascii="Cambria" w:hAnsi="Cambria"/>
                  <w:iCs/>
                  <w:noProof/>
                  <w:sz w:val="20"/>
                  <w:szCs w:val="20"/>
                </w:rPr>
                <w:t>Frontiers in Sustainable Food Systems,</w:t>
              </w:r>
              <w:r w:rsidRPr="009460DA">
                <w:rPr>
                  <w:rFonts w:ascii="Cambria" w:hAnsi="Cambria"/>
                  <w:noProof/>
                  <w:sz w:val="20"/>
                  <w:szCs w:val="20"/>
                </w:rPr>
                <w:t xml:space="preserve"> 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Djankov, S. &amp; Panizza, U. (2020). </w:t>
              </w:r>
              <w:r w:rsidRPr="009460DA">
                <w:rPr>
                  <w:rFonts w:ascii="Cambria" w:hAnsi="Cambria"/>
                  <w:iCs/>
                  <w:noProof/>
                  <w:sz w:val="20"/>
                  <w:szCs w:val="20"/>
                </w:rPr>
                <w:t>COVID-19 in developing economies.</w:t>
              </w:r>
              <w:r w:rsidRPr="009460DA">
                <w:rPr>
                  <w:rFonts w:ascii="Cambria" w:hAnsi="Cambria"/>
                  <w:noProof/>
                  <w:sz w:val="20"/>
                  <w:szCs w:val="20"/>
                </w:rPr>
                <w:t xml:space="preserve"> Örebro: EconPapers.</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Fanzo, J. (2014). Strengthening the engagement of food and health systems to improve nutrition security: Synthesis and overview of approaches to address malnutrition. </w:t>
              </w:r>
              <w:r w:rsidRPr="009460DA">
                <w:rPr>
                  <w:rFonts w:ascii="Cambria" w:hAnsi="Cambria"/>
                  <w:i/>
                  <w:iCs/>
                  <w:noProof/>
                  <w:sz w:val="20"/>
                  <w:szCs w:val="20"/>
                </w:rPr>
                <w:t>Global food security</w:t>
              </w:r>
              <w:r w:rsidRPr="009460DA">
                <w:rPr>
                  <w:rFonts w:ascii="Cambria" w:hAnsi="Cambria"/>
                  <w:noProof/>
                  <w:sz w:val="20"/>
                  <w:szCs w:val="20"/>
                </w:rPr>
                <w:t>, 3(3-4), 183-192.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FAO. (2019). </w:t>
              </w:r>
              <w:r w:rsidRPr="009460DA">
                <w:rPr>
                  <w:rFonts w:ascii="Cambria" w:hAnsi="Cambria"/>
                  <w:iCs/>
                  <w:noProof/>
                  <w:sz w:val="20"/>
                  <w:szCs w:val="20"/>
                </w:rPr>
                <w:t>The State of Food and Agriculture 2019: Moving Forward on Food Loss and Waste Reduction. Rome.</w:t>
              </w:r>
              <w:r w:rsidRPr="009460DA">
                <w:rPr>
                  <w:rFonts w:ascii="Cambria" w:hAnsi="Cambria"/>
                  <w:noProof/>
                  <w:sz w:val="20"/>
                  <w:szCs w:val="20"/>
                </w:rPr>
                <w:t xml:space="preserve"> Retrieved from World Food and Agriculture – Statistical Pocketbook 2019.: https:www.fao.org</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Filippini, R., Mazzocchi, C. &amp; Corsi, S. (2019). The contribution of Urban Food Policies toward food security in developing and developed countries: A network analysis approach. </w:t>
              </w:r>
              <w:r w:rsidRPr="009460DA">
                <w:rPr>
                  <w:rFonts w:ascii="Cambria" w:hAnsi="Cambria"/>
                  <w:iCs/>
                  <w:noProof/>
                  <w:sz w:val="20"/>
                  <w:szCs w:val="20"/>
                </w:rPr>
                <w:t>Sustainable Cities and Society</w:t>
              </w:r>
              <w:r w:rsidRPr="009460DA">
                <w:rPr>
                  <w:rFonts w:ascii="Cambria" w:hAnsi="Cambria"/>
                  <w:noProof/>
                  <w:sz w:val="20"/>
                  <w:szCs w:val="20"/>
                </w:rPr>
                <w:t>, 47.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Fitzpatrick, K., Greenhalgh-Stanley, N. &amp; Ver Ploeg, M. (2019). Food deserts and diet-related health outcomes of the elderly. </w:t>
              </w:r>
              <w:r w:rsidRPr="009460DA">
                <w:rPr>
                  <w:rFonts w:ascii="Cambria" w:hAnsi="Cambria"/>
                  <w:iCs/>
                  <w:noProof/>
                  <w:sz w:val="20"/>
                  <w:szCs w:val="20"/>
                </w:rPr>
                <w:t>Food Policy</w:t>
              </w:r>
              <w:r w:rsidRPr="009460DA">
                <w:rPr>
                  <w:rFonts w:ascii="Cambria" w:hAnsi="Cambria"/>
                  <w:noProof/>
                  <w:sz w:val="20"/>
                  <w:szCs w:val="20"/>
                </w:rPr>
                <w:t>, 87.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Galli, F. &amp; Watters, R. (2019). </w:t>
              </w:r>
              <w:r w:rsidRPr="009460DA">
                <w:rPr>
                  <w:rFonts w:ascii="Cambria" w:hAnsi="Cambria"/>
                  <w:iCs/>
                  <w:noProof/>
                  <w:sz w:val="20"/>
                  <w:szCs w:val="20"/>
                </w:rPr>
                <w:t>Food systems and the SDGs: Bridging the policy gap.</w:t>
              </w:r>
              <w:r w:rsidRPr="009460DA">
                <w:rPr>
                  <w:rFonts w:ascii="Cambria" w:hAnsi="Cambria"/>
                  <w:noProof/>
                  <w:sz w:val="20"/>
                  <w:szCs w:val="20"/>
                </w:rPr>
                <w:t xml:space="preserve"> Rome: FAO.</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Garnett, T., Appleby, M., Balmford, A., Bateman, I., Benton, T., Bloomer, P. &amp; Godfray, H. (2013). Sustainable intensification in agriculture: premises and policies. </w:t>
              </w:r>
              <w:r w:rsidRPr="009460DA">
                <w:rPr>
                  <w:rFonts w:ascii="Cambria" w:hAnsi="Cambria"/>
                  <w:i/>
                  <w:iCs/>
                  <w:noProof/>
                  <w:sz w:val="20"/>
                  <w:szCs w:val="20"/>
                </w:rPr>
                <w:t>Science</w:t>
              </w:r>
              <w:r w:rsidRPr="009460DA">
                <w:rPr>
                  <w:rFonts w:ascii="Cambria" w:hAnsi="Cambria"/>
                  <w:noProof/>
                  <w:sz w:val="20"/>
                  <w:szCs w:val="20"/>
                </w:rPr>
                <w:t>, 341(6141), 33-34.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Gava, O., Bartolini, F., Venturi, F., Brunori, G. &amp; Pardossi, A. (2020). Improving the policy evidence base for agricultural sustainability and food security: A content analysis of life cycle assessment research. </w:t>
              </w:r>
              <w:r w:rsidRPr="009460DA">
                <w:rPr>
                  <w:rFonts w:ascii="Cambria" w:hAnsi="Cambria"/>
                  <w:i/>
                  <w:iCs/>
                  <w:noProof/>
                  <w:sz w:val="20"/>
                  <w:szCs w:val="20"/>
                </w:rPr>
                <w:t>Sustainability</w:t>
              </w:r>
              <w:r w:rsidRPr="009460DA">
                <w:rPr>
                  <w:rFonts w:ascii="Cambria" w:hAnsi="Cambria"/>
                  <w:noProof/>
                  <w:sz w:val="20"/>
                  <w:szCs w:val="20"/>
                </w:rPr>
                <w:t>, 12(3), 1033.</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Geekiyanage, D., Fernando, T. &amp; Keraminiyage, K. (2020). Assessing the state of the art in community engagement for participatory decision-making in disaster risk-sensitive urban development. </w:t>
              </w:r>
              <w:r w:rsidRPr="009460DA">
                <w:rPr>
                  <w:rFonts w:ascii="Cambria" w:hAnsi="Cambria"/>
                  <w:iCs/>
                  <w:noProof/>
                  <w:sz w:val="20"/>
                  <w:szCs w:val="20"/>
                </w:rPr>
                <w:t>International journal of disaster risk reduction</w:t>
              </w:r>
              <w:r w:rsidRPr="009460DA">
                <w:rPr>
                  <w:rFonts w:ascii="Cambria" w:hAnsi="Cambria"/>
                  <w:noProof/>
                  <w:sz w:val="20"/>
                  <w:szCs w:val="20"/>
                </w:rPr>
                <w:t>, 51.</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Godde, C. M., Mason-D’Croz, D., Mayberry, D. &amp; Thornton, P. (2021). Impacts of climate change on the livestock food supply chain; a review of the evidence. </w:t>
              </w:r>
              <w:r w:rsidRPr="009460DA">
                <w:rPr>
                  <w:rFonts w:ascii="Cambria" w:hAnsi="Cambria"/>
                  <w:iCs/>
                  <w:noProof/>
                  <w:sz w:val="20"/>
                  <w:szCs w:val="20"/>
                </w:rPr>
                <w:t>Global food security</w:t>
              </w:r>
              <w:r w:rsidRPr="009460DA">
                <w:rPr>
                  <w:rFonts w:ascii="Cambria" w:hAnsi="Cambria"/>
                  <w:noProof/>
                  <w:sz w:val="20"/>
                  <w:szCs w:val="20"/>
                </w:rPr>
                <w:t>, 28.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Heidkamp, R. A., Piwoz, E., Gillespie, S., Keats, E., D'Alimonte, M., Menon, P. &amp; Bhutta, Z. (2021). Mobilizing evidence, data, and resources to achieve global maternal and child undernutrition targets and the Sustainable Development Goals: An agenda for action. </w:t>
              </w:r>
              <w:r w:rsidRPr="009460DA">
                <w:rPr>
                  <w:rFonts w:ascii="Cambria" w:hAnsi="Cambria"/>
                  <w:i/>
                  <w:iCs/>
                  <w:noProof/>
                  <w:sz w:val="20"/>
                  <w:szCs w:val="20"/>
                </w:rPr>
                <w:t>The Lancet</w:t>
              </w:r>
              <w:r w:rsidRPr="009460DA">
                <w:rPr>
                  <w:rFonts w:ascii="Cambria" w:hAnsi="Cambria"/>
                  <w:noProof/>
                  <w:sz w:val="20"/>
                  <w:szCs w:val="20"/>
                </w:rPr>
                <w:t>, 397(10282), 1400-1418.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Ignowski, L., Belton, B., Tran, N. &amp; Ameye, H. (2023). Dietary inadequacy in Tanzania is linked to the rising cost of nutritious foods and the consumption of food away from home. </w:t>
              </w:r>
              <w:r w:rsidRPr="009460DA">
                <w:rPr>
                  <w:rFonts w:ascii="Cambria" w:hAnsi="Cambria"/>
                  <w:iCs/>
                  <w:noProof/>
                  <w:sz w:val="20"/>
                  <w:szCs w:val="20"/>
                </w:rPr>
                <w:t>Global Food Security</w:t>
              </w:r>
              <w:r w:rsidRPr="009460DA">
                <w:rPr>
                  <w:rFonts w:ascii="Cambria" w:hAnsi="Cambria"/>
                  <w:noProof/>
                  <w:sz w:val="20"/>
                  <w:szCs w:val="20"/>
                </w:rPr>
                <w:t>, 37.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Ingram, J. (2020). Nutrition security is more than food security. </w:t>
              </w:r>
              <w:r w:rsidRPr="009460DA">
                <w:rPr>
                  <w:rFonts w:ascii="Cambria" w:hAnsi="Cambria"/>
                  <w:i/>
                  <w:iCs/>
                  <w:noProof/>
                  <w:sz w:val="20"/>
                  <w:szCs w:val="20"/>
                </w:rPr>
                <w:t>Nature food</w:t>
              </w:r>
              <w:r w:rsidRPr="009460DA">
                <w:rPr>
                  <w:rFonts w:ascii="Cambria" w:hAnsi="Cambria"/>
                  <w:noProof/>
                  <w:sz w:val="20"/>
                  <w:szCs w:val="20"/>
                </w:rPr>
                <w:t>, 1(1), 2-2.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IPBES. (2019). </w:t>
              </w:r>
              <w:r w:rsidRPr="009460DA">
                <w:rPr>
                  <w:rFonts w:ascii="Cambria" w:hAnsi="Cambria"/>
                  <w:iCs/>
                  <w:noProof/>
                  <w:sz w:val="20"/>
                  <w:szCs w:val="20"/>
                </w:rPr>
                <w:t>Summary for policymakers of the global assessment report on biodiversity and ecosystem services of the Intergovernmental Science-Policy Platform on Biodiversity and Ecosystem Services.</w:t>
              </w:r>
              <w:r w:rsidRPr="009460DA">
                <w:rPr>
                  <w:rFonts w:ascii="Cambria" w:hAnsi="Cambria"/>
                  <w:noProof/>
                  <w:sz w:val="20"/>
                  <w:szCs w:val="20"/>
                </w:rPr>
                <w:t xml:space="preserve"> Bonn: IPBES Secretariat.</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IPCC. (2019). </w:t>
              </w:r>
              <w:r w:rsidRPr="009460DA">
                <w:rPr>
                  <w:rFonts w:ascii="Cambria" w:hAnsi="Cambria"/>
                  <w:iCs/>
                  <w:noProof/>
                  <w:sz w:val="20"/>
                  <w:szCs w:val="20"/>
                </w:rPr>
                <w:t>Climate Change and Land: An IPCC Special Report on Climate Change, Desertification, Land Degradation, Sustainable Land Management, Food Security, and Greenhouse Gas Fluxes in Terrestrial Ecosystems.</w:t>
              </w:r>
              <w:r w:rsidRPr="009460DA">
                <w:rPr>
                  <w:rFonts w:ascii="Cambria" w:hAnsi="Cambria"/>
                  <w:noProof/>
                  <w:sz w:val="20"/>
                  <w:szCs w:val="20"/>
                </w:rPr>
                <w:t xml:space="preserve"> Geneva: IPCC.</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Leip, A., Caldeira, C., Corrado, S., Hutchings, N., Schaap, M. &amp; van Grinsven, H. (2022). Halving nitrogen waste in the European Union food systems requires both dietary shifts and farm-level actions. </w:t>
              </w:r>
              <w:r w:rsidRPr="009460DA">
                <w:rPr>
                  <w:rFonts w:ascii="Cambria" w:hAnsi="Cambria"/>
                  <w:iCs/>
                  <w:noProof/>
                  <w:sz w:val="20"/>
                  <w:szCs w:val="20"/>
                </w:rPr>
                <w:t>Global Food Security</w:t>
              </w:r>
              <w:r w:rsidRPr="009460DA">
                <w:rPr>
                  <w:rFonts w:ascii="Cambria" w:hAnsi="Cambria"/>
                  <w:noProof/>
                  <w:sz w:val="20"/>
                  <w:szCs w:val="20"/>
                </w:rPr>
                <w:t>, 35.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Liguori, J., Trübswasser, U., Pradeilles, R., Le Port, A., Landais, E., Talsma, E. &amp; Holdsworth, M. (2022). How do food safety concerns affect consumer behaviors and diets in low-and middle-income countries? A systematic review. </w:t>
              </w:r>
              <w:r w:rsidRPr="009460DA">
                <w:rPr>
                  <w:rFonts w:ascii="Cambria" w:hAnsi="Cambria"/>
                  <w:iCs/>
                  <w:noProof/>
                  <w:sz w:val="20"/>
                  <w:szCs w:val="20"/>
                </w:rPr>
                <w:t>Global Food Security</w:t>
              </w:r>
              <w:r w:rsidRPr="009460DA">
                <w:rPr>
                  <w:rFonts w:ascii="Cambria" w:hAnsi="Cambria"/>
                  <w:noProof/>
                  <w:sz w:val="20"/>
                  <w:szCs w:val="20"/>
                </w:rPr>
                <w:t>, 35.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Mardones, F. O., Rich, K., Boden, L., Moreno-Switt, A., Caipo, M., Zimin-Veselkoff, N. &amp; Baltenweck, I. (2020). The COVID-19 pandemic and global food security. </w:t>
              </w:r>
              <w:r w:rsidRPr="009460DA">
                <w:rPr>
                  <w:rFonts w:ascii="Cambria" w:hAnsi="Cambria"/>
                  <w:iCs/>
                  <w:noProof/>
                  <w:sz w:val="20"/>
                  <w:szCs w:val="20"/>
                </w:rPr>
                <w:t>Frontiers in Veterinary Science</w:t>
              </w:r>
              <w:r w:rsidRPr="009460DA">
                <w:rPr>
                  <w:rFonts w:ascii="Cambria" w:hAnsi="Cambria"/>
                  <w:noProof/>
                  <w:sz w:val="20"/>
                  <w:szCs w:val="20"/>
                </w:rPr>
                <w:t>, 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Máté, D., Novotny, A. &amp; Meyer, D. (2021). The impact of sustainability goals on productivity growth: The moderating role of global warming. </w:t>
              </w:r>
              <w:r w:rsidRPr="009460DA">
                <w:rPr>
                  <w:rFonts w:ascii="Cambria" w:hAnsi="Cambria"/>
                  <w:i/>
                  <w:iCs/>
                  <w:noProof/>
                  <w:sz w:val="20"/>
                  <w:szCs w:val="20"/>
                </w:rPr>
                <w:t>International Journal of Environmental Research and Public Health</w:t>
              </w:r>
              <w:r w:rsidRPr="009460DA">
                <w:rPr>
                  <w:rFonts w:ascii="Cambria" w:hAnsi="Cambria"/>
                  <w:noProof/>
                  <w:sz w:val="20"/>
                  <w:szCs w:val="20"/>
                </w:rPr>
                <w:t>, 18(21).</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Mattas, K., Tsakiridou, E., Karelakis, C., Lazaridou, D., Gorton, M., Filipović, J. &amp; Veneziani, M. (2021). Strengthening the sustainability of European food chains through quality and procurement policies. </w:t>
              </w:r>
              <w:r w:rsidRPr="009460DA">
                <w:rPr>
                  <w:rFonts w:ascii="Cambria" w:hAnsi="Cambria"/>
                  <w:i/>
                  <w:iCs/>
                  <w:noProof/>
                  <w:sz w:val="20"/>
                  <w:szCs w:val="20"/>
                </w:rPr>
                <w:t>Trends in Food Science &amp; Technology</w:t>
              </w:r>
              <w:r w:rsidRPr="009460DA">
                <w:rPr>
                  <w:rFonts w:ascii="Cambria" w:hAnsi="Cambria"/>
                  <w:noProof/>
                  <w:sz w:val="20"/>
                  <w:szCs w:val="20"/>
                </w:rPr>
                <w:t>, 120, 248-253.</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Misra, N. N., Dixit, Y., Al-Mallahi, A., Bhullar, M., Upadhyay, R. &amp; Martynenko, A. (2022 ). IoT, Big Data, and Artificial Intelligence in Agriculture and Food Industry. </w:t>
              </w:r>
              <w:r w:rsidRPr="009460DA">
                <w:rPr>
                  <w:rFonts w:ascii="Cambria" w:hAnsi="Cambria"/>
                  <w:i/>
                  <w:iCs/>
                  <w:noProof/>
                  <w:sz w:val="20"/>
                  <w:szCs w:val="20"/>
                </w:rPr>
                <w:t>IEEE Internet of Things Journal</w:t>
              </w:r>
              <w:r w:rsidRPr="009460DA">
                <w:rPr>
                  <w:rFonts w:ascii="Cambria" w:hAnsi="Cambria"/>
                  <w:noProof/>
                  <w:sz w:val="20"/>
                  <w:szCs w:val="20"/>
                </w:rPr>
                <w:t>, 9(9), 6305–6324.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Morales, D. X., Morales, S. &amp; Beltran, T. (2021). Racial/ethnic disparities in household food insecurity during the COVID-19 pandemic: a nationally representative study. </w:t>
              </w:r>
              <w:r w:rsidRPr="009460DA">
                <w:rPr>
                  <w:rFonts w:ascii="Cambria" w:hAnsi="Cambria"/>
                  <w:i/>
                  <w:iCs/>
                  <w:noProof/>
                  <w:sz w:val="20"/>
                  <w:szCs w:val="20"/>
                </w:rPr>
                <w:t>Journal of racial and ethnic health disparities</w:t>
              </w:r>
              <w:r w:rsidRPr="009460DA">
                <w:rPr>
                  <w:rFonts w:ascii="Cambria" w:hAnsi="Cambria"/>
                  <w:noProof/>
                  <w:sz w:val="20"/>
                  <w:szCs w:val="20"/>
                </w:rPr>
                <w:t>, 8, 1300-1314.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Murrell, A. &amp; Jones, R. (2020). Measuring Food insecurity using the food abundance index: implications for economic, health and social well-being. </w:t>
              </w:r>
              <w:r w:rsidRPr="009460DA">
                <w:rPr>
                  <w:rFonts w:ascii="Cambria" w:hAnsi="Cambria"/>
                  <w:i/>
                  <w:iCs/>
                  <w:noProof/>
                  <w:sz w:val="20"/>
                  <w:szCs w:val="20"/>
                </w:rPr>
                <w:t>International journal of environmental research and public health</w:t>
              </w:r>
              <w:r w:rsidRPr="009460DA">
                <w:rPr>
                  <w:rFonts w:ascii="Cambria" w:hAnsi="Cambria"/>
                  <w:noProof/>
                  <w:sz w:val="20"/>
                  <w:szCs w:val="20"/>
                </w:rPr>
                <w:t>, 17(7), 2434.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Nabuuma, D., Reimers, C., Hoang, K., Stomph, T. &amp; Swaans, K. (2022). Impact of seed system interventions on food and nutrition security in low-and middle-income countries: A scoping review. </w:t>
              </w:r>
              <w:r w:rsidRPr="009460DA">
                <w:rPr>
                  <w:rFonts w:ascii="Cambria" w:hAnsi="Cambria"/>
                  <w:iCs/>
                  <w:noProof/>
                  <w:sz w:val="20"/>
                  <w:szCs w:val="20"/>
                </w:rPr>
                <w:t>Global Food Security</w:t>
              </w:r>
              <w:r w:rsidRPr="009460DA">
                <w:rPr>
                  <w:rFonts w:ascii="Cambria" w:hAnsi="Cambria"/>
                  <w:noProof/>
                  <w:sz w:val="20"/>
                  <w:szCs w:val="20"/>
                </w:rPr>
                <w:t>, 33.</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Nakawuka, P., Langan, S., Schmitter, P. &amp; Barron, J. (2018). A review of trends, constraints and opportunities of smallholder irrigation in East Africa. </w:t>
              </w:r>
              <w:r w:rsidRPr="009460DA">
                <w:rPr>
                  <w:rFonts w:ascii="Cambria" w:hAnsi="Cambria"/>
                  <w:i/>
                  <w:iCs/>
                  <w:noProof/>
                  <w:sz w:val="20"/>
                  <w:szCs w:val="20"/>
                </w:rPr>
                <w:t>Global food security</w:t>
              </w:r>
              <w:r w:rsidRPr="009460DA">
                <w:rPr>
                  <w:rFonts w:ascii="Cambria" w:hAnsi="Cambria"/>
                  <w:noProof/>
                  <w:sz w:val="20"/>
                  <w:szCs w:val="20"/>
                </w:rPr>
                <w:t>, 17, 196-212.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Namany, S., Govindan, R., Alfagih, L., McKay, G. &amp; Al-Ansari, T. (2020). Sustainable food security decision-making: an agent-based modeling approach. </w:t>
              </w:r>
              <w:r w:rsidRPr="009460DA">
                <w:rPr>
                  <w:rFonts w:ascii="Cambria" w:hAnsi="Cambria"/>
                  <w:iCs/>
                  <w:noProof/>
                  <w:sz w:val="20"/>
                  <w:szCs w:val="20"/>
                </w:rPr>
                <w:t>Journal of Cleaner Production</w:t>
              </w:r>
              <w:r w:rsidRPr="009460DA">
                <w:rPr>
                  <w:rFonts w:ascii="Cambria" w:hAnsi="Cambria"/>
                  <w:noProof/>
                  <w:sz w:val="20"/>
                  <w:szCs w:val="20"/>
                </w:rPr>
                <w:t>, 255.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Nisbett, N., Harris, J., Backholer, K., Baker, P., Jernigan, V. &amp; Friel, S. (2022). Holding no-one back: the nutrition equity framework in theory and practice. </w:t>
              </w:r>
              <w:r w:rsidRPr="009460DA">
                <w:rPr>
                  <w:rFonts w:ascii="Cambria" w:hAnsi="Cambria"/>
                  <w:iCs/>
                  <w:noProof/>
                  <w:sz w:val="20"/>
                  <w:szCs w:val="20"/>
                </w:rPr>
                <w:t>Global Food Security</w:t>
              </w:r>
              <w:r w:rsidRPr="009460DA">
                <w:rPr>
                  <w:rFonts w:ascii="Cambria" w:hAnsi="Cambria"/>
                  <w:noProof/>
                  <w:sz w:val="20"/>
                  <w:szCs w:val="20"/>
                </w:rPr>
                <w:t>, 32.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Nunn, P. &amp; Kumar, R. (2018). Understanding climate-human interactions in Small Island Developing States (SIDS): Implications for future livelihood sustainability. </w:t>
              </w:r>
              <w:r w:rsidRPr="009460DA">
                <w:rPr>
                  <w:rFonts w:ascii="Cambria" w:hAnsi="Cambria"/>
                  <w:i/>
                  <w:iCs/>
                  <w:noProof/>
                  <w:sz w:val="20"/>
                  <w:szCs w:val="20"/>
                </w:rPr>
                <w:t>International Journal of Climate Change Strategies and Management</w:t>
              </w:r>
              <w:r w:rsidRPr="009460DA">
                <w:rPr>
                  <w:rFonts w:ascii="Cambria" w:hAnsi="Cambria"/>
                  <w:noProof/>
                  <w:sz w:val="20"/>
                  <w:szCs w:val="20"/>
                </w:rPr>
                <w:t>, 10(2), 245–271.</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Odeku, K. O. (2013). Global climate change, the threat to food safety and poverty. </w:t>
              </w:r>
              <w:r w:rsidRPr="009460DA">
                <w:rPr>
                  <w:rFonts w:ascii="Cambria" w:hAnsi="Cambria"/>
                  <w:i/>
                  <w:iCs/>
                  <w:noProof/>
                  <w:sz w:val="20"/>
                  <w:szCs w:val="20"/>
                </w:rPr>
                <w:t>Mediterranean Journal of Social Sciences</w:t>
              </w:r>
              <w:r w:rsidRPr="009460DA">
                <w:rPr>
                  <w:rFonts w:ascii="Cambria" w:hAnsi="Cambria"/>
                  <w:noProof/>
                  <w:sz w:val="20"/>
                  <w:szCs w:val="20"/>
                </w:rPr>
                <w:t>, 4(14), 827–834.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O'Hara, S. &amp; Toussaint, E. (2021). Food access in crisis: Food security and COVID-19. </w:t>
              </w:r>
              <w:r w:rsidRPr="009460DA">
                <w:rPr>
                  <w:rFonts w:ascii="Cambria" w:hAnsi="Cambria"/>
                  <w:iCs/>
                  <w:noProof/>
                  <w:sz w:val="20"/>
                  <w:szCs w:val="20"/>
                </w:rPr>
                <w:t>Ecological Economics</w:t>
              </w:r>
              <w:r w:rsidRPr="009460DA">
                <w:rPr>
                  <w:rFonts w:ascii="Cambria" w:hAnsi="Cambria"/>
                  <w:noProof/>
                  <w:sz w:val="20"/>
                  <w:szCs w:val="20"/>
                </w:rPr>
                <w:t>, 180.</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Panchasara, H., Samrat, N. &amp; Islam, N. (2021). Greenhouse gas emissions trends and mitigation measures in Australian agriculture sector—a review. </w:t>
              </w:r>
              <w:r w:rsidRPr="009460DA">
                <w:rPr>
                  <w:rFonts w:ascii="Cambria" w:hAnsi="Cambria"/>
                  <w:i/>
                  <w:iCs/>
                  <w:noProof/>
                  <w:sz w:val="20"/>
                  <w:szCs w:val="20"/>
                </w:rPr>
                <w:t>Agriculture</w:t>
              </w:r>
              <w:r w:rsidRPr="009460DA">
                <w:rPr>
                  <w:rFonts w:ascii="Cambria" w:hAnsi="Cambria"/>
                  <w:noProof/>
                  <w:sz w:val="20"/>
                  <w:szCs w:val="20"/>
                </w:rPr>
                <w:t>, 11(2), 85.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Penne, T. &amp; Goedemé, T. (2021). Can low-income households afford a healthy diet? Insufficient income as a driver of food insecurity in Europe. </w:t>
              </w:r>
              <w:r w:rsidRPr="009460DA">
                <w:rPr>
                  <w:rFonts w:ascii="Cambria" w:hAnsi="Cambria"/>
                  <w:iCs/>
                  <w:noProof/>
                  <w:sz w:val="20"/>
                  <w:szCs w:val="20"/>
                </w:rPr>
                <w:t>Food Policy</w:t>
              </w:r>
              <w:r w:rsidRPr="009460DA">
                <w:rPr>
                  <w:rFonts w:ascii="Cambria" w:hAnsi="Cambria"/>
                  <w:noProof/>
                  <w:sz w:val="20"/>
                  <w:szCs w:val="20"/>
                </w:rPr>
                <w:t>, 99.</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Pérez-Escamilla, R. &amp; Segall-Corrêa, A. (2008). </w:t>
              </w:r>
              <w:r w:rsidRPr="009460DA">
                <w:rPr>
                  <w:rFonts w:ascii="Cambria" w:hAnsi="Cambria"/>
                  <w:i/>
                  <w:iCs/>
                  <w:noProof/>
                  <w:sz w:val="20"/>
                  <w:szCs w:val="20"/>
                </w:rPr>
                <w:t>Revista de Nutrição</w:t>
              </w:r>
              <w:r w:rsidRPr="009460DA">
                <w:rPr>
                  <w:rFonts w:ascii="Cambria" w:hAnsi="Cambria"/>
                  <w:noProof/>
                  <w:sz w:val="20"/>
                  <w:szCs w:val="20"/>
                </w:rPr>
                <w:t>, 21, 15-26.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Pérez-Escamilla, R., Shamah-Levy, T. &amp; Candel, J. (2017). </w:t>
              </w:r>
              <w:r w:rsidRPr="009460DA">
                <w:rPr>
                  <w:rFonts w:ascii="Cambria" w:hAnsi="Cambria"/>
                  <w:i/>
                  <w:iCs/>
                  <w:noProof/>
                  <w:sz w:val="20"/>
                  <w:szCs w:val="20"/>
                </w:rPr>
                <w:t>Global Food Security</w:t>
              </w:r>
              <w:r w:rsidRPr="009460DA">
                <w:rPr>
                  <w:rFonts w:ascii="Cambria" w:hAnsi="Cambria"/>
                  <w:noProof/>
                  <w:sz w:val="20"/>
                  <w:szCs w:val="20"/>
                </w:rPr>
                <w:t>, 14, 68-72.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Philippidis, G., Sartori, M., Ferrari, E. &amp; M'Barek, R. (2019). Waste not, want not: A bio-economic impact assessment of household food waste reductions in the EU. </w:t>
              </w:r>
              <w:r w:rsidRPr="009460DA">
                <w:rPr>
                  <w:rFonts w:ascii="Cambria" w:hAnsi="Cambria"/>
                  <w:i/>
                  <w:iCs/>
                  <w:noProof/>
                  <w:sz w:val="20"/>
                  <w:szCs w:val="20"/>
                </w:rPr>
                <w:t>Resources, Conservation and Recycling</w:t>
              </w:r>
              <w:r w:rsidRPr="009460DA">
                <w:rPr>
                  <w:rFonts w:ascii="Cambria" w:hAnsi="Cambria"/>
                  <w:noProof/>
                  <w:sz w:val="20"/>
                  <w:szCs w:val="20"/>
                </w:rPr>
                <w:t>, 146, 514-522.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Poirier, B. &amp; Neufeld, H. (2023). We Need to Live off the Land: An Exploration and Conceptualization of Community-Based Indigenous Food Sovereignty Experiences and Practices. </w:t>
              </w:r>
              <w:r w:rsidRPr="009460DA">
                <w:rPr>
                  <w:rFonts w:ascii="Cambria" w:hAnsi="Cambria"/>
                  <w:i/>
                  <w:iCs/>
                  <w:noProof/>
                  <w:sz w:val="20"/>
                  <w:szCs w:val="20"/>
                </w:rPr>
                <w:t>International Journal of Environmental Research and Public Health</w:t>
              </w:r>
              <w:r w:rsidRPr="009460DA">
                <w:rPr>
                  <w:rFonts w:ascii="Cambria" w:hAnsi="Cambria"/>
                  <w:noProof/>
                  <w:sz w:val="20"/>
                  <w:szCs w:val="20"/>
                </w:rPr>
                <w:t>, 20(5), 4627.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Pörtner, L. M., Lambrecht, N., Springmann, M., Bodirsky, B., Gaupp, F., Freund, F. &amp; Gabrysch, S. (2022). We need a food system transformation—In the face of the Russia-Ukraine war, now more than ever. </w:t>
              </w:r>
              <w:r w:rsidRPr="009460DA">
                <w:rPr>
                  <w:rFonts w:ascii="Cambria" w:hAnsi="Cambria"/>
                  <w:i/>
                  <w:iCs/>
                  <w:noProof/>
                  <w:sz w:val="20"/>
                  <w:szCs w:val="20"/>
                </w:rPr>
                <w:t>One Earth</w:t>
              </w:r>
              <w:r w:rsidRPr="009460DA">
                <w:rPr>
                  <w:rFonts w:ascii="Cambria" w:hAnsi="Cambria"/>
                  <w:noProof/>
                  <w:sz w:val="20"/>
                  <w:szCs w:val="20"/>
                </w:rPr>
                <w:t>, 5(5), 470-472.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Rejeb, A., Rejeb, K. &amp; Zailani, S. (2021). Big data for sustainable agri‐food supply chains: a review and future research perspectives. </w:t>
              </w:r>
              <w:r w:rsidRPr="009460DA">
                <w:rPr>
                  <w:rFonts w:ascii="Cambria" w:hAnsi="Cambria"/>
                  <w:i/>
                  <w:iCs/>
                  <w:noProof/>
                  <w:sz w:val="20"/>
                  <w:szCs w:val="20"/>
                </w:rPr>
                <w:t>Journal of Data, Information and Management</w:t>
              </w:r>
              <w:r w:rsidRPr="009460DA">
                <w:rPr>
                  <w:rFonts w:ascii="Cambria" w:hAnsi="Cambria"/>
                  <w:noProof/>
                  <w:sz w:val="20"/>
                  <w:szCs w:val="20"/>
                </w:rPr>
                <w:t>, 3, 167-182.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Ripkey, C., Little, P., Dominguez-Salas, P., Kinabo, J., Mwanri, A. &amp; Girard, A. (2021). Increased climate variability and sedentarization in Tanzania: Health and nutrition implications on pastoral communities of Mvomero and Handeni districts, Tanzania. </w:t>
              </w:r>
              <w:r w:rsidRPr="009460DA">
                <w:rPr>
                  <w:rFonts w:ascii="Cambria" w:hAnsi="Cambria"/>
                  <w:iCs/>
                  <w:noProof/>
                  <w:sz w:val="20"/>
                  <w:szCs w:val="20"/>
                </w:rPr>
                <w:t>Global Food Security</w:t>
              </w:r>
              <w:r w:rsidRPr="009460DA">
                <w:rPr>
                  <w:rFonts w:ascii="Cambria" w:hAnsi="Cambria"/>
                  <w:noProof/>
                  <w:sz w:val="20"/>
                  <w:szCs w:val="20"/>
                </w:rPr>
                <w:t>, 29.</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Rosenthal, J. P., Quinn, M., Hatt, E. &amp; Wallinga, D. (2021). Food systems and public health: Linkages to achieve healthier diets and healthier communities. </w:t>
              </w:r>
              <w:r w:rsidRPr="009460DA">
                <w:rPr>
                  <w:rFonts w:ascii="Cambria" w:hAnsi="Cambria"/>
                  <w:i/>
                  <w:iCs/>
                  <w:noProof/>
                  <w:sz w:val="20"/>
                  <w:szCs w:val="20"/>
                </w:rPr>
                <w:t>Annual Review of Public Health</w:t>
              </w:r>
              <w:r w:rsidRPr="009460DA">
                <w:rPr>
                  <w:rFonts w:ascii="Cambria" w:hAnsi="Cambria"/>
                  <w:noProof/>
                  <w:sz w:val="20"/>
                  <w:szCs w:val="20"/>
                </w:rPr>
                <w:t>, 42, 183-198.</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Santeramo, F. G. &amp; Lamonaca, E. (2021). Food loss–food waste–food security: a new research agenda. </w:t>
              </w:r>
              <w:r w:rsidRPr="009460DA">
                <w:rPr>
                  <w:rFonts w:ascii="Cambria" w:hAnsi="Cambria"/>
                  <w:i/>
                  <w:iCs/>
                  <w:noProof/>
                  <w:sz w:val="20"/>
                  <w:szCs w:val="20"/>
                </w:rPr>
                <w:t>Sustainability</w:t>
              </w:r>
              <w:r w:rsidRPr="009460DA">
                <w:rPr>
                  <w:rFonts w:ascii="Cambria" w:hAnsi="Cambria"/>
                  <w:noProof/>
                  <w:sz w:val="20"/>
                  <w:szCs w:val="20"/>
                </w:rPr>
                <w:t>, 13(9), 4642.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Sapienza, S. &amp; Vedder, A. (2021). Principle-based recommendations for big data and machine learning in food safety: the P-SAFETY model. </w:t>
              </w:r>
              <w:r w:rsidRPr="009460DA">
                <w:rPr>
                  <w:rFonts w:ascii="Cambria" w:hAnsi="Cambria"/>
                  <w:i/>
                  <w:iCs/>
                  <w:noProof/>
                  <w:sz w:val="20"/>
                  <w:szCs w:val="20"/>
                </w:rPr>
                <w:t>AI and Society</w:t>
              </w:r>
              <w:r w:rsidRPr="009460DA">
                <w:rPr>
                  <w:rFonts w:ascii="Cambria" w:hAnsi="Cambria"/>
                  <w:noProof/>
                  <w:sz w:val="20"/>
                  <w:szCs w:val="20"/>
                </w:rPr>
                <w:t>, 38(1), 5–20.</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Savari, M. &amp; Amghani, M. (2022). SWOT-FAHP-TOWS analysis for adaptation strategies development among small-scale farmers in drought conditions. </w:t>
              </w:r>
              <w:r w:rsidRPr="009460DA">
                <w:rPr>
                  <w:rFonts w:ascii="Cambria" w:hAnsi="Cambria"/>
                  <w:iCs/>
                  <w:noProof/>
                  <w:sz w:val="20"/>
                  <w:szCs w:val="20"/>
                </w:rPr>
                <w:t>International Journal of Disaster Risk Reduction</w:t>
              </w:r>
              <w:r w:rsidRPr="009460DA">
                <w:rPr>
                  <w:rFonts w:ascii="Cambria" w:hAnsi="Cambria"/>
                  <w:noProof/>
                  <w:sz w:val="20"/>
                  <w:szCs w:val="20"/>
                </w:rPr>
                <w:t>, 67.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Scholtz, M. M., Schönfeldt, H., Neser, F. &amp; Schutte, G. (2014). Research and development on climate change and greenhouse gases in support of climate-smart livestock production and a vibrant industry. </w:t>
              </w:r>
              <w:r w:rsidRPr="009460DA">
                <w:rPr>
                  <w:rFonts w:ascii="Cambria" w:hAnsi="Cambria"/>
                  <w:i/>
                  <w:iCs/>
                  <w:noProof/>
                  <w:sz w:val="20"/>
                  <w:szCs w:val="20"/>
                </w:rPr>
                <w:t>South African Journal of Animal Sciences</w:t>
              </w:r>
              <w:r w:rsidRPr="009460DA">
                <w:rPr>
                  <w:rFonts w:ascii="Cambria" w:hAnsi="Cambria"/>
                  <w:noProof/>
                  <w:sz w:val="20"/>
                  <w:szCs w:val="20"/>
                </w:rPr>
                <w:t>, 44(5), 1–7.</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Scoones, I., Stirling, A., Abrol, D., Atela, J., Charli-Joseph, L., Eakin, H. &amp; Yang, L. (2020). Transformations to sustainability: combining structural, systemic and enabling approaches. </w:t>
              </w:r>
              <w:r w:rsidRPr="009460DA">
                <w:rPr>
                  <w:rFonts w:ascii="Cambria" w:hAnsi="Cambria"/>
                  <w:i/>
                  <w:iCs/>
                  <w:noProof/>
                  <w:sz w:val="20"/>
                  <w:szCs w:val="20"/>
                </w:rPr>
                <w:t>Current Opinion in Environmental Sustainability</w:t>
              </w:r>
              <w:r w:rsidRPr="009460DA">
                <w:rPr>
                  <w:rFonts w:ascii="Cambria" w:hAnsi="Cambria"/>
                  <w:noProof/>
                  <w:sz w:val="20"/>
                  <w:szCs w:val="20"/>
                </w:rPr>
                <w:t>, 42, 65-75.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Sharifi, A. (2020). Trade-offs and conflicts between urban climate change mitigation and adaptation measures: A literature review. </w:t>
              </w:r>
              <w:r w:rsidRPr="009460DA">
                <w:rPr>
                  <w:rFonts w:ascii="Cambria" w:hAnsi="Cambria"/>
                  <w:iCs/>
                  <w:noProof/>
                  <w:sz w:val="20"/>
                  <w:szCs w:val="20"/>
                </w:rPr>
                <w:t>Journal of Cleaner Production,</w:t>
              </w:r>
              <w:r w:rsidRPr="009460DA">
                <w:rPr>
                  <w:rFonts w:ascii="Cambria" w:hAnsi="Cambria"/>
                  <w:noProof/>
                  <w:sz w:val="20"/>
                  <w:szCs w:val="20"/>
                </w:rPr>
                <w:t xml:space="preserve"> 276.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Sinclair, K., Thompson-Colón, T., Bastidas-Granja, A., Matamoros, S., Olaya, E. &amp; Melgar-Quiñonez, H. (2022). Women's autonomy and food security: connecting the dots from the perspective of Indigenous women in rural Colombia. </w:t>
              </w:r>
              <w:r w:rsidRPr="009460DA">
                <w:rPr>
                  <w:rFonts w:ascii="Cambria" w:hAnsi="Cambria"/>
                  <w:iCs/>
                  <w:noProof/>
                  <w:sz w:val="20"/>
                  <w:szCs w:val="20"/>
                </w:rPr>
                <w:t>SSM-Qualitative Research in Health</w:t>
              </w:r>
              <w:r w:rsidRPr="009460DA">
                <w:rPr>
                  <w:rFonts w:ascii="Cambria" w:hAnsi="Cambria"/>
                  <w:noProof/>
                  <w:sz w:val="20"/>
                  <w:szCs w:val="20"/>
                </w:rPr>
                <w:t>, 2.</w:t>
              </w:r>
            </w:p>
            <w:p w:rsidR="00077D92" w:rsidRPr="009460DA" w:rsidRDefault="00077D92" w:rsidP="009460DA">
              <w:pPr>
                <w:pStyle w:val="Bibliography"/>
                <w:spacing w:after="0" w:line="240" w:lineRule="auto"/>
                <w:ind w:left="720" w:hanging="720"/>
                <w:jc w:val="both"/>
                <w:rPr>
                  <w:rFonts w:ascii="Cambria" w:hAnsi="Cambria"/>
                  <w:noProof/>
                  <w:sz w:val="20"/>
                  <w:szCs w:val="20"/>
                  <w:lang w:val="sv-SE"/>
                </w:rPr>
              </w:pPr>
              <w:r w:rsidRPr="009460DA">
                <w:rPr>
                  <w:rFonts w:ascii="Cambria" w:hAnsi="Cambria"/>
                  <w:noProof/>
                  <w:sz w:val="20"/>
                  <w:szCs w:val="20"/>
                </w:rPr>
                <w:t xml:space="preserve">Smith, L. P., Ng, S. &amp; Popkin, B. (2017). Trends in US home food preparation and consumption: analysis of national nutrition surveys and time use studies from 1965-1966 to 2007-2008. </w:t>
              </w:r>
              <w:r w:rsidRPr="009460DA">
                <w:rPr>
                  <w:rFonts w:ascii="Cambria" w:hAnsi="Cambria"/>
                  <w:i/>
                  <w:iCs/>
                  <w:noProof/>
                  <w:sz w:val="20"/>
                  <w:szCs w:val="20"/>
                  <w:lang w:val="sv-SE"/>
                </w:rPr>
                <w:t>Nutrition Journal</w:t>
              </w:r>
              <w:r w:rsidRPr="009460DA">
                <w:rPr>
                  <w:rFonts w:ascii="Cambria" w:hAnsi="Cambria"/>
                  <w:noProof/>
                  <w:sz w:val="20"/>
                  <w:szCs w:val="20"/>
                  <w:lang w:val="sv-SE"/>
                </w:rPr>
                <w:t>, 16(1), 1-16.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lang w:val="sv-SE"/>
                </w:rPr>
                <w:t xml:space="preserve">Spanaki, K., Karafili, E., Sivarajah, U., Despoudi, S. &amp; Irani, Z. (2022). </w:t>
              </w:r>
              <w:r w:rsidRPr="009460DA">
                <w:rPr>
                  <w:rFonts w:ascii="Cambria" w:hAnsi="Cambria"/>
                  <w:noProof/>
                  <w:sz w:val="20"/>
                  <w:szCs w:val="20"/>
                </w:rPr>
                <w:t xml:space="preserve">Artificial intelligence and food security: swarm intelligence of AgriTech drones for smart AgriFood operations. </w:t>
              </w:r>
              <w:r w:rsidRPr="009460DA">
                <w:rPr>
                  <w:rFonts w:ascii="Cambria" w:hAnsi="Cambria"/>
                  <w:i/>
                  <w:iCs/>
                  <w:noProof/>
                  <w:sz w:val="20"/>
                  <w:szCs w:val="20"/>
                </w:rPr>
                <w:t>Production Planning &amp; Control</w:t>
              </w:r>
              <w:r w:rsidRPr="009460DA">
                <w:rPr>
                  <w:rFonts w:ascii="Cambria" w:hAnsi="Cambria"/>
                  <w:noProof/>
                  <w:sz w:val="20"/>
                  <w:szCs w:val="20"/>
                </w:rPr>
                <w:t>, 33(16), 1498-1516.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Speich, C., Barth-Jaeggi, T., Musard, C., Havugimana, C., Gakuba, E. &amp; Prytherch, H. (2023). Nutrition in City Ecosystems (NICE): Protocol of a multi-sectoral development project to improve food and nutrition security of secondary city populations in Bangladesh, Kenya and Rwanda. </w:t>
              </w:r>
              <w:r w:rsidRPr="009460DA">
                <w:rPr>
                  <w:rFonts w:ascii="Cambria" w:hAnsi="Cambria"/>
                  <w:i/>
                  <w:iCs/>
                  <w:noProof/>
                  <w:sz w:val="20"/>
                  <w:szCs w:val="20"/>
                </w:rPr>
                <w:t>Frontiers in Public Health</w:t>
              </w:r>
              <w:r w:rsidRPr="009460DA">
                <w:rPr>
                  <w:rFonts w:ascii="Cambria" w:hAnsi="Cambria"/>
                  <w:noProof/>
                  <w:sz w:val="20"/>
                  <w:szCs w:val="20"/>
                </w:rPr>
                <w:t>, 11, 211.</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Talari, G., Cummins, E., McNamara, C. &amp; O’Brien, J. (2022). State-of-the-art review of Big Data and web-based Decision Support Systems (DSS) for food safety risk assessment with respect to climate change. </w:t>
              </w:r>
              <w:r w:rsidRPr="009460DA">
                <w:rPr>
                  <w:rFonts w:ascii="Cambria" w:hAnsi="Cambria"/>
                  <w:i/>
                  <w:iCs/>
                  <w:noProof/>
                  <w:sz w:val="20"/>
                  <w:szCs w:val="20"/>
                </w:rPr>
                <w:t>Trends in Food Science &amp; Technology</w:t>
              </w:r>
              <w:r w:rsidRPr="009460DA">
                <w:rPr>
                  <w:rFonts w:ascii="Cambria" w:hAnsi="Cambria"/>
                  <w:noProof/>
                  <w:sz w:val="20"/>
                  <w:szCs w:val="20"/>
                </w:rPr>
                <w:t>, 126, 192–204.</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Vågsholm, I., Arzoomand, N. &amp; Boqvist, S. (2020). Food Security, Safety, and Sustainability—Getting the Trade-Offs Right. </w:t>
              </w:r>
              <w:r w:rsidRPr="009460DA">
                <w:rPr>
                  <w:rFonts w:ascii="Cambria" w:hAnsi="Cambria"/>
                  <w:i/>
                  <w:iCs/>
                  <w:noProof/>
                  <w:sz w:val="20"/>
                  <w:szCs w:val="20"/>
                </w:rPr>
                <w:t>Frontiers in Sustainable Food Systems</w:t>
              </w:r>
              <w:r w:rsidRPr="009460DA">
                <w:rPr>
                  <w:rFonts w:ascii="Cambria" w:hAnsi="Cambria"/>
                  <w:noProof/>
                  <w:sz w:val="20"/>
                  <w:szCs w:val="20"/>
                </w:rPr>
                <w:t>, 4, 16.</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Wang, H. L. &amp; Wang, D. (2022). Agricultural Insurance, Climate Change, and Food Security: Evidence from Chinese Farmers. </w:t>
              </w:r>
              <w:r w:rsidRPr="009460DA">
                <w:rPr>
                  <w:rFonts w:ascii="Cambria" w:hAnsi="Cambria"/>
                  <w:i/>
                  <w:iCs/>
                  <w:noProof/>
                  <w:sz w:val="20"/>
                  <w:szCs w:val="20"/>
                </w:rPr>
                <w:t>Sustainability (Switzerland)</w:t>
              </w:r>
              <w:r w:rsidRPr="009460DA">
                <w:rPr>
                  <w:rFonts w:ascii="Cambria" w:hAnsi="Cambria"/>
                  <w:noProof/>
                  <w:sz w:val="20"/>
                  <w:szCs w:val="20"/>
                </w:rPr>
                <w:t>, 14(15).</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Wudil, A., Usman, M., Rosak-Szyrocka, J., Pilař, L. &amp; Boye, M. (2022). Reversing Years for Global Food Security: A Review of the Food Security Situation in Sub-Saharan Africa (SSA). </w:t>
              </w:r>
              <w:r w:rsidRPr="009460DA">
                <w:rPr>
                  <w:rFonts w:ascii="Cambria" w:hAnsi="Cambria"/>
                  <w:i/>
                  <w:iCs/>
                  <w:noProof/>
                  <w:sz w:val="20"/>
                  <w:szCs w:val="20"/>
                </w:rPr>
                <w:t>International Journal of Environmental Research and Public Health</w:t>
              </w:r>
              <w:r w:rsidRPr="009460DA">
                <w:rPr>
                  <w:rFonts w:ascii="Cambria" w:hAnsi="Cambria"/>
                  <w:noProof/>
                  <w:sz w:val="20"/>
                  <w:szCs w:val="20"/>
                </w:rPr>
                <w:t>, 19(22).</w:t>
              </w:r>
            </w:p>
            <w:p w:rsidR="00077D92" w:rsidRPr="009460DA" w:rsidRDefault="00077D92" w:rsidP="009460DA">
              <w:pPr>
                <w:pStyle w:val="Bibliography"/>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Zhang, Q., Dhir, A. &amp; Kaur, P. (2022). Circular economy and the food sector: A systematic literature review. </w:t>
              </w:r>
              <w:r w:rsidRPr="009460DA">
                <w:rPr>
                  <w:rFonts w:ascii="Cambria" w:hAnsi="Cambria"/>
                  <w:i/>
                  <w:iCs/>
                  <w:noProof/>
                  <w:sz w:val="20"/>
                  <w:szCs w:val="20"/>
                </w:rPr>
                <w:t>Sustainable Production and Consumption</w:t>
              </w:r>
              <w:r w:rsidRPr="009460DA">
                <w:rPr>
                  <w:rFonts w:ascii="Cambria" w:hAnsi="Cambria"/>
                  <w:noProof/>
                  <w:sz w:val="20"/>
                  <w:szCs w:val="20"/>
                </w:rPr>
                <w:t>, 32, 655-668.</w:t>
              </w:r>
            </w:p>
            <w:p w:rsidR="00077D92" w:rsidRPr="009460DA" w:rsidRDefault="00902FB4" w:rsidP="009460DA">
              <w:pPr>
                <w:spacing w:after="0" w:line="240" w:lineRule="auto"/>
                <w:ind w:left="720" w:hanging="720"/>
                <w:jc w:val="both"/>
                <w:rPr>
                  <w:rFonts w:ascii="Cambria" w:hAnsi="Cambria"/>
                  <w:sz w:val="20"/>
                  <w:szCs w:val="20"/>
                </w:rPr>
              </w:pPr>
              <w:r w:rsidRPr="009460DA">
                <w:rPr>
                  <w:rFonts w:ascii="Cambria" w:hAnsi="Cambria" w:cs="Times New Roman"/>
                  <w:b/>
                  <w:bCs/>
                  <w:noProof/>
                  <w:sz w:val="20"/>
                  <w:szCs w:val="20"/>
                </w:rPr>
                <w:fldChar w:fldCharType="end"/>
              </w:r>
            </w:p>
          </w:sdtContent>
        </w:sdt>
      </w:sdtContent>
    </w:sdt>
    <w:p w:rsidR="00077D92" w:rsidRPr="009460DA" w:rsidRDefault="00077D92" w:rsidP="009460DA">
      <w:pPr>
        <w:spacing w:after="0" w:line="240" w:lineRule="auto"/>
        <w:jc w:val="both"/>
        <w:rPr>
          <w:rFonts w:ascii="Cambria" w:hAnsi="Cambria" w:cs="Times New Roman"/>
          <w:b/>
          <w:bCs/>
          <w:sz w:val="20"/>
          <w:szCs w:val="20"/>
        </w:rPr>
      </w:pPr>
    </w:p>
    <w:p w:rsidR="00077D92" w:rsidRPr="009460DA" w:rsidRDefault="00902FB4" w:rsidP="009460DA">
      <w:pPr>
        <w:widowControl w:val="0"/>
        <w:autoSpaceDE w:val="0"/>
        <w:autoSpaceDN w:val="0"/>
        <w:adjustRightInd w:val="0"/>
        <w:spacing w:after="0" w:line="240" w:lineRule="auto"/>
        <w:jc w:val="both"/>
        <w:rPr>
          <w:rFonts w:ascii="Cambria" w:hAnsi="Cambria" w:cs="Times New Roman"/>
          <w:sz w:val="20"/>
          <w:szCs w:val="20"/>
        </w:rPr>
      </w:pPr>
      <w:r w:rsidRPr="009460DA">
        <w:rPr>
          <w:rFonts w:ascii="Cambria" w:hAnsi="Cambria" w:cs="Times New Roman"/>
          <w:sz w:val="20"/>
          <w:szCs w:val="20"/>
        </w:rPr>
        <w:fldChar w:fldCharType="begin" w:fldLock="1"/>
      </w:r>
      <w:r w:rsidR="00077D92" w:rsidRPr="009460DA">
        <w:rPr>
          <w:rFonts w:ascii="Cambria" w:hAnsi="Cambria" w:cs="Times New Roman"/>
          <w:sz w:val="20"/>
          <w:szCs w:val="20"/>
        </w:rPr>
        <w:instrText xml:space="preserve">ADDIN Mendeley Bibliography CSL_BIBLIOGRAPHY </w:instrText>
      </w:r>
      <w:r w:rsidRPr="009460DA">
        <w:rPr>
          <w:rFonts w:ascii="Cambria" w:hAnsi="Cambria" w:cs="Times New Roman"/>
          <w:sz w:val="20"/>
          <w:szCs w:val="20"/>
        </w:rPr>
        <w:fldChar w:fldCharType="end"/>
      </w:r>
    </w:p>
    <w:p w:rsidR="008B2F5A" w:rsidRPr="009460DA" w:rsidRDefault="008B2F5A" w:rsidP="009460DA">
      <w:pPr>
        <w:spacing w:after="0" w:line="240" w:lineRule="auto"/>
        <w:jc w:val="both"/>
        <w:rPr>
          <w:rFonts w:ascii="Cambria" w:hAnsi="Cambria"/>
          <w:sz w:val="20"/>
          <w:szCs w:val="20"/>
        </w:rPr>
      </w:pPr>
    </w:p>
    <w:p w:rsidR="008B2F5A" w:rsidRPr="009460DA" w:rsidRDefault="008B2F5A" w:rsidP="009460DA">
      <w:pPr>
        <w:spacing w:after="0" w:line="240" w:lineRule="auto"/>
        <w:jc w:val="both"/>
        <w:rPr>
          <w:rFonts w:ascii="Cambria" w:hAnsi="Cambria"/>
          <w:sz w:val="20"/>
          <w:szCs w:val="20"/>
          <w:lang w:val="en-US" w:eastAsia="zh-CN"/>
        </w:rPr>
      </w:pPr>
    </w:p>
    <w:p w:rsidR="003A1358" w:rsidRPr="009460DA" w:rsidRDefault="003A1358" w:rsidP="009460DA">
      <w:pPr>
        <w:spacing w:after="0" w:line="240" w:lineRule="auto"/>
        <w:jc w:val="both"/>
        <w:rPr>
          <w:rFonts w:ascii="Cambria" w:hAnsi="Cambria"/>
          <w:sz w:val="20"/>
          <w:szCs w:val="20"/>
          <w:lang w:val="en-US" w:eastAsia="zh-CN"/>
        </w:rPr>
      </w:pPr>
    </w:p>
    <w:p w:rsidR="003A1358" w:rsidRPr="009460DA" w:rsidRDefault="003A1358" w:rsidP="009460DA">
      <w:pPr>
        <w:spacing w:after="0" w:line="240" w:lineRule="auto"/>
        <w:jc w:val="both"/>
        <w:rPr>
          <w:rFonts w:ascii="Cambria" w:hAnsi="Cambria"/>
          <w:sz w:val="20"/>
          <w:szCs w:val="20"/>
          <w:lang w:val="en-US" w:eastAsia="zh-CN"/>
        </w:rPr>
      </w:pPr>
    </w:p>
    <w:p w:rsidR="003A1358" w:rsidRPr="009460DA" w:rsidRDefault="003A1358" w:rsidP="009460DA">
      <w:pPr>
        <w:spacing w:after="0" w:line="240" w:lineRule="auto"/>
        <w:jc w:val="both"/>
        <w:rPr>
          <w:rFonts w:ascii="Cambria" w:hAnsi="Cambria"/>
          <w:sz w:val="20"/>
          <w:szCs w:val="20"/>
          <w:lang w:val="en-US" w:eastAsia="zh-CN"/>
        </w:rPr>
      </w:pPr>
    </w:p>
    <w:p w:rsidR="003A1358" w:rsidRPr="009460DA" w:rsidRDefault="003A1358" w:rsidP="008471BD">
      <w:pPr>
        <w:spacing w:after="0" w:line="240" w:lineRule="auto"/>
        <w:jc w:val="center"/>
        <w:rPr>
          <w:rFonts w:ascii="Cambria" w:hAnsi="Cambria" w:cs="Arial"/>
          <w:b/>
          <w:sz w:val="20"/>
          <w:szCs w:val="20"/>
        </w:rPr>
      </w:pPr>
      <w:r w:rsidRPr="009460DA">
        <w:rPr>
          <w:rFonts w:ascii="Cambria" w:hAnsi="Cambria" w:cs="Arial"/>
          <w:b/>
          <w:bCs/>
          <w:sz w:val="20"/>
          <w:szCs w:val="20"/>
        </w:rPr>
        <w:lastRenderedPageBreak/>
        <w:t xml:space="preserve">The Effect of HRM Practices on Organizational Performance: A Survey of </w:t>
      </w:r>
      <w:r w:rsidRPr="009460DA">
        <w:rPr>
          <w:rFonts w:ascii="Cambria" w:hAnsi="Cambria" w:cs="Arial"/>
          <w:b/>
          <w:sz w:val="20"/>
          <w:szCs w:val="20"/>
        </w:rPr>
        <w:t>Malaysian State Sports Councils’ Employees</w:t>
      </w:r>
    </w:p>
    <w:p w:rsidR="003A1358" w:rsidRPr="009460DA" w:rsidRDefault="003A1358" w:rsidP="008471BD">
      <w:pPr>
        <w:spacing w:after="0" w:line="240" w:lineRule="auto"/>
        <w:jc w:val="center"/>
        <w:rPr>
          <w:rFonts w:ascii="Cambria" w:hAnsi="Cambria" w:cs="Arial"/>
          <w:b/>
          <w:bCs/>
          <w:sz w:val="20"/>
          <w:szCs w:val="20"/>
        </w:rPr>
      </w:pPr>
    </w:p>
    <w:p w:rsidR="003A1358" w:rsidRPr="009460DA" w:rsidRDefault="003A1358" w:rsidP="008471BD">
      <w:pPr>
        <w:spacing w:after="0" w:line="240" w:lineRule="auto"/>
        <w:jc w:val="center"/>
        <w:rPr>
          <w:rFonts w:ascii="Cambria" w:hAnsi="Cambria" w:cs="Segoe UI"/>
          <w:color w:val="7030A0"/>
          <w:sz w:val="20"/>
          <w:szCs w:val="20"/>
          <w:shd w:val="clear" w:color="auto" w:fill="DDDDDD"/>
          <w:vertAlign w:val="superscript"/>
        </w:rPr>
      </w:pPr>
      <w:r w:rsidRPr="009460DA">
        <w:rPr>
          <w:rFonts w:ascii="Cambria" w:hAnsi="Cambria" w:cs="Segoe UI"/>
          <w:color w:val="7030A0"/>
          <w:sz w:val="20"/>
          <w:szCs w:val="20"/>
          <w:shd w:val="clear" w:color="auto" w:fill="FFFFFF" w:themeFill="background1"/>
        </w:rPr>
        <w:t>Nur Syazwani Zulaikha Safwan</w:t>
      </w:r>
      <w:r w:rsidRPr="009460DA">
        <w:rPr>
          <w:rFonts w:ascii="Cambria" w:hAnsi="Cambria" w:cs="Segoe UI"/>
          <w:color w:val="7030A0"/>
          <w:sz w:val="20"/>
          <w:szCs w:val="20"/>
          <w:shd w:val="clear" w:color="auto" w:fill="FFFFFF" w:themeFill="background1"/>
          <w:vertAlign w:val="superscript"/>
        </w:rPr>
        <w:t>1</w:t>
      </w:r>
      <w:r w:rsidRPr="009460DA">
        <w:rPr>
          <w:rFonts w:ascii="Cambria" w:hAnsi="Cambria" w:cs="Segoe UI"/>
          <w:color w:val="7030A0"/>
          <w:sz w:val="20"/>
          <w:szCs w:val="20"/>
          <w:shd w:val="clear" w:color="auto" w:fill="FFFFFF" w:themeFill="background1"/>
        </w:rPr>
        <w:t>, Mohamad Firdaus Ahmad</w:t>
      </w:r>
      <w:r w:rsidRPr="009460DA">
        <w:rPr>
          <w:rFonts w:ascii="Cambria" w:hAnsi="Cambria" w:cs="Segoe UI"/>
          <w:color w:val="7030A0"/>
          <w:sz w:val="20"/>
          <w:szCs w:val="20"/>
          <w:shd w:val="clear" w:color="auto" w:fill="FFFFFF" w:themeFill="background1"/>
          <w:vertAlign w:val="superscript"/>
        </w:rPr>
        <w:t>2*</w:t>
      </w:r>
      <w:r w:rsidRPr="009460DA">
        <w:rPr>
          <w:rFonts w:ascii="Cambria" w:hAnsi="Cambria" w:cs="Segoe UI"/>
          <w:color w:val="7030A0"/>
          <w:sz w:val="20"/>
          <w:szCs w:val="20"/>
          <w:shd w:val="clear" w:color="auto" w:fill="FFFFFF" w:themeFill="background1"/>
        </w:rPr>
        <w:t xml:space="preserve"> &amp; Muhammad Syukri Abdullah</w:t>
      </w:r>
      <w:r w:rsidRPr="009460DA">
        <w:rPr>
          <w:rFonts w:ascii="Cambria" w:hAnsi="Cambria" w:cs="Segoe UI"/>
          <w:color w:val="7030A0"/>
          <w:sz w:val="20"/>
          <w:szCs w:val="20"/>
          <w:shd w:val="clear" w:color="auto" w:fill="FFFFFF" w:themeFill="background1"/>
          <w:vertAlign w:val="superscript"/>
        </w:rPr>
        <w:t>3</w:t>
      </w:r>
    </w:p>
    <w:p w:rsidR="003A1358" w:rsidRPr="009460DA" w:rsidRDefault="003A1358" w:rsidP="008471BD">
      <w:pPr>
        <w:shd w:val="clear" w:color="auto" w:fill="FFFFFF" w:themeFill="background1"/>
        <w:spacing w:after="0" w:line="240" w:lineRule="auto"/>
        <w:jc w:val="center"/>
        <w:rPr>
          <w:rFonts w:ascii="Cambria" w:hAnsi="Cambria" w:cs="Segoe UI"/>
          <w:color w:val="7030A0"/>
          <w:sz w:val="20"/>
          <w:szCs w:val="20"/>
          <w:shd w:val="clear" w:color="auto" w:fill="DDDDDD"/>
        </w:rPr>
      </w:pPr>
      <w:r w:rsidRPr="009460DA">
        <w:rPr>
          <w:rFonts w:ascii="Cambria" w:hAnsi="Cambria" w:cs="Segoe UI"/>
          <w:color w:val="7030A0"/>
          <w:sz w:val="20"/>
          <w:szCs w:val="20"/>
          <w:shd w:val="clear" w:color="auto" w:fill="FFFFFF" w:themeFill="background1"/>
          <w:vertAlign w:val="superscript"/>
        </w:rPr>
        <w:t>1,2</w:t>
      </w:r>
      <w:r w:rsidR="00A11748" w:rsidRPr="00A11748">
        <w:rPr>
          <w:rFonts w:ascii="Cambria" w:hAnsi="Cambria" w:cs="Segoe UI"/>
          <w:color w:val="7030A0"/>
          <w:sz w:val="20"/>
          <w:szCs w:val="20"/>
          <w:shd w:val="clear" w:color="auto" w:fill="FFFFFF" w:themeFill="background1"/>
        </w:rPr>
        <w:t xml:space="preserve"> </w:t>
      </w:r>
      <w:r w:rsidR="00A11748" w:rsidRPr="00E42667">
        <w:rPr>
          <w:rFonts w:ascii="Cambria" w:hAnsi="Cambria" w:cs="Segoe UI"/>
          <w:color w:val="7030A0"/>
          <w:sz w:val="20"/>
          <w:szCs w:val="20"/>
          <w:shd w:val="clear" w:color="auto" w:fill="FFFFFF" w:themeFill="background1"/>
        </w:rPr>
        <w:t>Faculty of Sports Science and Recreation, Universiti Teknologi MARA, Cawangan Negeri Sembilan, Kampus Seremban</w:t>
      </w:r>
      <w:r w:rsidR="00A11748" w:rsidRPr="00CC0789">
        <w:rPr>
          <w:rFonts w:ascii="Cambria" w:hAnsi="Cambria" w:cs="Segoe UI"/>
          <w:color w:val="7030A0"/>
          <w:sz w:val="20"/>
          <w:szCs w:val="20"/>
          <w:shd w:val="clear" w:color="auto" w:fill="FFFFFF" w:themeFill="background1"/>
        </w:rPr>
        <w:t>, Malaysia</w:t>
      </w:r>
    </w:p>
    <w:p w:rsidR="003A1358" w:rsidRPr="009460DA" w:rsidRDefault="003A1358" w:rsidP="008471BD">
      <w:pPr>
        <w:shd w:val="clear" w:color="auto" w:fill="FFFFFF" w:themeFill="background1"/>
        <w:spacing w:after="0" w:line="240" w:lineRule="auto"/>
        <w:jc w:val="center"/>
        <w:rPr>
          <w:rFonts w:ascii="Cambria" w:hAnsi="Cambria" w:cs="Segoe UI"/>
          <w:color w:val="7030A0"/>
          <w:sz w:val="20"/>
          <w:szCs w:val="20"/>
          <w:shd w:val="clear" w:color="auto" w:fill="DDDDDD"/>
        </w:rPr>
      </w:pPr>
      <w:r w:rsidRPr="009460DA">
        <w:rPr>
          <w:rFonts w:ascii="Cambria" w:hAnsi="Cambria" w:cs="Segoe UI"/>
          <w:color w:val="7030A0"/>
          <w:sz w:val="20"/>
          <w:szCs w:val="20"/>
          <w:shd w:val="clear" w:color="auto" w:fill="FFFFFF" w:themeFill="background1"/>
          <w:vertAlign w:val="superscript"/>
        </w:rPr>
        <w:t>3</w:t>
      </w:r>
      <w:r w:rsidR="00A11748" w:rsidRPr="00A11748">
        <w:rPr>
          <w:rFonts w:ascii="Cambria" w:hAnsi="Cambria" w:cs="Segoe UI"/>
          <w:color w:val="7030A0"/>
          <w:sz w:val="20"/>
          <w:szCs w:val="20"/>
          <w:shd w:val="clear" w:color="auto" w:fill="FFFFFF" w:themeFill="background1"/>
        </w:rPr>
        <w:t xml:space="preserve"> </w:t>
      </w:r>
      <w:r w:rsidR="00A11748" w:rsidRPr="00E42667">
        <w:rPr>
          <w:rFonts w:ascii="Cambria" w:hAnsi="Cambria" w:cs="Segoe UI"/>
          <w:color w:val="7030A0"/>
          <w:sz w:val="20"/>
          <w:szCs w:val="20"/>
          <w:shd w:val="clear" w:color="auto" w:fill="FFFFFF" w:themeFill="background1"/>
        </w:rPr>
        <w:t>Faculty of Business and Management, Universiti Teknologi MARA, Cawangan Melaka, Kampus Alor Gajah</w:t>
      </w:r>
      <w:r w:rsidRPr="009460DA">
        <w:rPr>
          <w:rFonts w:ascii="Cambria" w:hAnsi="Cambria" w:cs="Segoe UI"/>
          <w:color w:val="7030A0"/>
          <w:sz w:val="20"/>
          <w:szCs w:val="20"/>
          <w:shd w:val="clear" w:color="auto" w:fill="FFFFFF" w:themeFill="background1"/>
        </w:rPr>
        <w:t>, Malaysia</w:t>
      </w:r>
    </w:p>
    <w:p w:rsidR="003A1358" w:rsidRPr="008471BD" w:rsidRDefault="003A1358" w:rsidP="008471BD">
      <w:pPr>
        <w:spacing w:after="0" w:line="240" w:lineRule="auto"/>
        <w:jc w:val="center"/>
        <w:rPr>
          <w:rFonts w:ascii="Cambria" w:hAnsi="Cambria" w:cs="Arial"/>
          <w:iCs/>
          <w:color w:val="7030A0"/>
          <w:sz w:val="20"/>
          <w:szCs w:val="20"/>
        </w:rPr>
      </w:pPr>
      <w:r w:rsidRPr="009460DA">
        <w:rPr>
          <w:rFonts w:ascii="Cambria" w:hAnsi="Cambria" w:cs="Segoe UI"/>
          <w:color w:val="7030A0"/>
          <w:sz w:val="20"/>
          <w:szCs w:val="20"/>
          <w:shd w:val="clear" w:color="auto" w:fill="FFFFFF"/>
        </w:rPr>
        <w:t xml:space="preserve">syazwanisafwan@gmail.com, firdaus466@uitm.edu.my*, </w:t>
      </w:r>
      <w:r w:rsidRPr="008471BD">
        <w:rPr>
          <w:rFonts w:ascii="Cambria" w:hAnsi="Cambria" w:cs="Segoe UI"/>
          <w:color w:val="7030A0"/>
          <w:sz w:val="20"/>
          <w:szCs w:val="20"/>
          <w:shd w:val="clear" w:color="auto" w:fill="FFFFFF"/>
        </w:rPr>
        <w:t>syukriabdullah@uitm.edu.my</w:t>
      </w:r>
    </w:p>
    <w:p w:rsidR="003A1358" w:rsidRPr="009460DA" w:rsidRDefault="003A1358" w:rsidP="009460DA">
      <w:pPr>
        <w:spacing w:after="0" w:line="240" w:lineRule="auto"/>
        <w:jc w:val="both"/>
        <w:rPr>
          <w:rFonts w:ascii="Cambria" w:hAnsi="Cambria" w:cs="Arial"/>
          <w:iCs/>
          <w:sz w:val="20"/>
          <w:szCs w:val="20"/>
        </w:rPr>
      </w:pPr>
    </w:p>
    <w:p w:rsidR="003A1358" w:rsidRPr="009460DA" w:rsidRDefault="003A1358" w:rsidP="009460DA">
      <w:pPr>
        <w:spacing w:after="0" w:line="240" w:lineRule="auto"/>
        <w:jc w:val="both"/>
        <w:rPr>
          <w:rFonts w:ascii="Cambria" w:hAnsi="Cambria" w:cs="Arial"/>
          <w:iCs/>
          <w:sz w:val="20"/>
          <w:szCs w:val="20"/>
        </w:rPr>
      </w:pPr>
      <w:r w:rsidRPr="009460DA">
        <w:rPr>
          <w:rFonts w:ascii="Cambria" w:hAnsi="Cambria" w:cs="Arial"/>
          <w:b/>
          <w:iCs/>
          <w:sz w:val="20"/>
          <w:szCs w:val="20"/>
        </w:rPr>
        <w:t xml:space="preserve">Abstract: </w:t>
      </w:r>
      <w:r w:rsidRPr="009460DA">
        <w:rPr>
          <w:rFonts w:ascii="Cambria" w:hAnsi="Cambria" w:cs="Arial"/>
          <w:sz w:val="20"/>
          <w:szCs w:val="20"/>
        </w:rPr>
        <w:t>Organizational performance can be evaluated through the effectiveness of human resource management (HRM) practices implemented in the organization. However, the problem of improper and misguided implementation of HRM practices causes conflict between employees and organizations, influencing organizational performance. This study examines the effect between HRM practices and organizational performance among Malaysian State Sports Councils’ (MSSC) employees by adapting the Social Exchange Theory. This survey involved a total of 280 MSSC employees. This research instrument consists of 35 items that measure HRM practices and organizational performance. Data were analyzed using regression analysis. Based on the findings, there is a significant and direct effect between HRM practices and organizational performance among MSSC employees. In conclusion, the organization’s excellent structure of HRM practices enables employees to commit to work and perform tasks according to the organizational goals. Future researchers are recommended to extend the sample of study to other sports organizations or other public and private organizations in measuring HRM practices and organizational performance.</w:t>
      </w:r>
    </w:p>
    <w:p w:rsidR="003A1358" w:rsidRPr="009460DA" w:rsidRDefault="003A1358" w:rsidP="009460DA">
      <w:pPr>
        <w:spacing w:after="0" w:line="240" w:lineRule="auto"/>
        <w:jc w:val="both"/>
        <w:rPr>
          <w:rFonts w:ascii="Cambria" w:hAnsi="Cambria" w:cs="Arial"/>
          <w:iCs/>
          <w:sz w:val="20"/>
          <w:szCs w:val="20"/>
          <w:highlight w:val="yellow"/>
        </w:rPr>
      </w:pPr>
    </w:p>
    <w:p w:rsidR="003A1358" w:rsidRPr="009460DA" w:rsidRDefault="003A1358" w:rsidP="009460DA">
      <w:pPr>
        <w:pBdr>
          <w:bottom w:val="single" w:sz="4" w:space="1" w:color="auto"/>
        </w:pBdr>
        <w:spacing w:after="0" w:line="240" w:lineRule="auto"/>
        <w:jc w:val="both"/>
        <w:rPr>
          <w:rFonts w:ascii="Cambria" w:hAnsi="Cambria" w:cs="Arial"/>
          <w:bCs/>
          <w:i/>
          <w:iCs/>
          <w:color w:val="FF0000"/>
          <w:sz w:val="20"/>
          <w:szCs w:val="20"/>
        </w:rPr>
      </w:pPr>
      <w:r w:rsidRPr="009460DA">
        <w:rPr>
          <w:rFonts w:ascii="Cambria" w:hAnsi="Cambria" w:cs="Arial"/>
          <w:b/>
          <w:iCs/>
          <w:sz w:val="20"/>
          <w:szCs w:val="20"/>
        </w:rPr>
        <w:t>Keywords:</w:t>
      </w:r>
      <w:r w:rsidRPr="009460DA">
        <w:rPr>
          <w:rFonts w:ascii="Cambria" w:hAnsi="Cambria" w:cs="Arial"/>
          <w:bCs/>
          <w:iCs/>
          <w:sz w:val="20"/>
          <w:szCs w:val="20"/>
        </w:rPr>
        <w:t xml:space="preserve"> </w:t>
      </w:r>
      <w:r w:rsidRPr="009460DA">
        <w:rPr>
          <w:rFonts w:ascii="Cambria" w:hAnsi="Cambria" w:cs="Arial"/>
          <w:bCs/>
          <w:i/>
          <w:iCs/>
          <w:sz w:val="20"/>
          <w:szCs w:val="20"/>
        </w:rPr>
        <w:t xml:space="preserve">HRM practices, Organizational Performance, </w:t>
      </w:r>
      <w:r w:rsidRPr="009460DA">
        <w:rPr>
          <w:rFonts w:ascii="Cambria" w:hAnsi="Cambria" w:cs="Arial"/>
          <w:i/>
          <w:iCs/>
          <w:sz w:val="20"/>
          <w:szCs w:val="20"/>
        </w:rPr>
        <w:t>Malaysian State Sports Council.</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cs="Arial"/>
          <w:sz w:val="20"/>
          <w:szCs w:val="20"/>
        </w:rPr>
      </w:pPr>
      <w:r w:rsidRPr="009460DA">
        <w:rPr>
          <w:rFonts w:ascii="Cambria" w:hAnsi="Cambria" w:cs="Arial"/>
          <w:b/>
          <w:sz w:val="20"/>
          <w:szCs w:val="20"/>
        </w:rPr>
        <w:t>1. Introduction</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sz w:val="20"/>
          <w:szCs w:val="20"/>
        </w:rPr>
      </w:pPr>
      <w:r w:rsidRPr="009460DA">
        <w:rPr>
          <w:rFonts w:ascii="Cambria" w:hAnsi="Cambria"/>
          <w:sz w:val="20"/>
          <w:szCs w:val="20"/>
        </w:rPr>
        <w:t>HRM practices have made the organization implement policies to recruit, select and train employees, enabling them to develop organizations to become more flexible, intelligent and competent in business management than their competitors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{"citationItems":[{"id":"ITEM-1","itemData":{"DOI":"10.1108/IJSSP-10-2019-0216","ISSN":"17586720","abstract":"Purpose: The purpose of this study was to investigate the role of human resource management and employee job satisfaction in predicting organizational commitment in the Saudi Arabian banking sector. Design/methodology/approach: For the purpose of this study, quantitative survey research was employed. The independent variables are human resource management and employee job satisfaction, while the dependent variable is organizational commitment. Findings: Human resource management correlated positively with employee job satisfaction and organizational commitment. On the other hand, employee job satisfaction was found to be positively correlated with organizational commitment. The two independent variables made significant individual contributions to the prediction of organizational commitment. Research limitations/implications: This study has some limitations. First, convenient sampling method was used to recruit the participants. Therefore, the findings of the study have limited generalizability in other regions and age groups. Second, as a cross-sectional study, there has to be caution in making any generalization of the results. Future researchers should get more respondents from wider geographical location, that is from different bans, private and public. Furthermore, self-report questionnaires were used to collect data from respondents. It is recommended that future researchers use different methods such as personal interview or telephone interview to collect data. This may help get reliable data after clarifying and removing what may be ambiguous. Practical implications: The results of this study have corroborated with previous research and confirmed correlations between and among human resource management (HRM), employee job satisfaction and organizational commitment in the Saudi Arabian banking sector. These findings have practical implications. Having high levels of job satisfaction among bank employees will prevent low levels of turnover rate, absenteeism and levels of productivity and increase organizational commitment. HRM practices, on the other hand, help in career development opportunities and hence provide better job opportunities. This study can recommend that to ensure high levels of job satisfaction among employees and enhanced organizational commitment, organizations, especially banks, should emphasize more on HRM practices. Originality/value: This study could contribute to the literature on HRM, job satisfaction and organizational com…","author":[{"dropping-particle":"","family":"Cherif","given":"Fatma","non-dropping-particle":"","parse-names":false,"suffix":""}],"container-title":"International Journal of Sociology and Social Policy","id":"ITEM-1","issue":"7-8","issued":{"date-parts":[["2020"]]},"page":"529-541","title":"The role of human resource management practices and employee job satisfaction in predicting organizational commitment in Saudi Arabian banking sector","type":"article-journal","volume":"40"},"uris":["http://www.mendeley.com/documents/?uuid=b85f834f-3b5d-4cbb-bba3-232c21ddb2ba"]}],"mendeley":{"formattedCitation":"(Cherif, 2020)","manualFormatting":"Cherif, 2020)","plainTextFormattedCitation":"(Cherif, 2020)","previouslyFormattedCitation":"(Cherif, 2020)"},"properties":{"noteIndex":0},"schema":"https://github.com/citation-style-language/schema/raw/master/csl-citation.json"}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Cherif, 2020)</w:t>
      </w:r>
      <w:r w:rsidR="00902FB4" w:rsidRPr="009460DA">
        <w:rPr>
          <w:rFonts w:ascii="Cambria" w:hAnsi="Cambria"/>
          <w:sz w:val="20"/>
          <w:szCs w:val="20"/>
        </w:rPr>
        <w:fldChar w:fldCharType="end"/>
      </w:r>
      <w:r w:rsidRPr="009460DA">
        <w:rPr>
          <w:rFonts w:ascii="Cambria" w:hAnsi="Cambria"/>
          <w:sz w:val="20"/>
          <w:szCs w:val="20"/>
        </w:rPr>
        <w:t xml:space="preserve">. </w:t>
      </w:r>
      <w:r w:rsidRPr="009460DA">
        <w:rPr>
          <w:rFonts w:ascii="Cambria" w:hAnsi="Cambria"/>
          <w:color w:val="000000" w:themeColor="text1"/>
          <w:sz w:val="20"/>
          <w:szCs w:val="20"/>
        </w:rPr>
        <w:t xml:space="preserve">An organization's efforts must increase the motivation of its employees. This is supported by </w:t>
      </w:r>
      <w:r w:rsidR="00902FB4" w:rsidRPr="009460DA">
        <w:rPr>
          <w:rFonts w:ascii="Cambria" w:hAnsi="Cambria"/>
          <w:color w:val="000000" w:themeColor="text1"/>
          <w:sz w:val="20"/>
          <w:szCs w:val="20"/>
        </w:rPr>
        <w:fldChar w:fldCharType="begin" w:fldLock="1"/>
      </w:r>
      <w:r w:rsidRPr="009460DA">
        <w:rPr>
          <w:rFonts w:ascii="Cambria" w:hAnsi="Cambria"/>
          <w:color w:val="000000" w:themeColor="text1"/>
          <w:sz w:val="20"/>
          <w:szCs w:val="20"/>
        </w:rPr>
        <w:instrText>ADDIN CSL_CITATION {"citationItems":[{"id":"ITEM-1","itemData":{"DOI":"10.3390/su10072429","ISSN":"20711050","abstract":"Corporate social responsibility is emerging topic in the modern business world. Employees are vital assets for any organization. Corporate Social Responsibility practices have a significant influence on employee's performance. The study aimed to investigate the relationship between employee perception of corporate social responsibility (CSR) and employee's outcome in Pakistan for SMEs. Additionally, it examined the relationship of Employee' Perception of CSR as an independent variable. Further, this study considers mediating role of organizational justice between employee's perception of CSR and employee' outcomes. The quantitative method was used to collect data from 300 SME's. Hypotheses were tested by using statistical software (SPSS). Correlation analysis shows the significant relationship between variables, i.e., employee's perception of CSR and employee outcomes. Moreover, regression analysis was performed for mediation analysis. The results show that organizational justice partially mediated between employee's perception of corporate social responsibility and employee's outcomes. Practical implications were discussed, and future research directions were recommended.","author":[{"dropping-particle":"","family":"Sarfraz","given":"Muddassar","non-dropping-particle":"","parse-names":false,"suffix":""},{"dropping-particle":"","family":"Qun","given":"Wang","non-dropping-particle":"","parse-names":false,"suffix":""},{"dropping-particle":"","family":"Abdullah","given":"Muhammad Ibrahim","non-dropping-particle":"","parse-names":false,"suffix":""},{"dropping-particle":"","family":"Alvi","given":"Adnan Tariq","non-dropping-particle":"","parse-names":false,"suffix":""}],"container-title":"Sustainability (Switzerland)","id":"ITEM-1","issue":"7","issued":{"date-parts":[["2018"]]},"title":"Employees' perception of Corporate Social Responsibility impact on employee outcomes: Mediating role of organizational justice for Small and Medium Enterprises (SMEs)","type":"article-journal","volume":"10"},"uris":["http://www.mendeley.com/documents/?uuid=43a94536-ccb0-4987-80a3-49bc2edca5e0"]}],"mendeley":{"formattedCitation":"(Sarfraz et al., 2018)","manualFormatting":"Sarfraz et al. (2018)","plainTextFormattedCitation":"(Sarfraz et al., 2018)","previouslyFormattedCitation":"(Sarfraz et al., 2018)"},"properties":{"noteIndex":0},"schema":"https://github.com/citation-style-language/schema/raw/master/csl-citation.json"}</w:instrText>
      </w:r>
      <w:r w:rsidR="00902FB4" w:rsidRPr="009460DA">
        <w:rPr>
          <w:rFonts w:ascii="Cambria" w:hAnsi="Cambria"/>
          <w:color w:val="000000" w:themeColor="text1"/>
          <w:sz w:val="20"/>
          <w:szCs w:val="20"/>
        </w:rPr>
        <w:fldChar w:fldCharType="separate"/>
      </w:r>
      <w:r w:rsidRPr="009460DA">
        <w:rPr>
          <w:rFonts w:ascii="Cambria" w:hAnsi="Cambria"/>
          <w:noProof/>
          <w:color w:val="000000" w:themeColor="text1"/>
          <w:sz w:val="20"/>
          <w:szCs w:val="20"/>
        </w:rPr>
        <w:t>Sarfraz et al. (2018)</w:t>
      </w:r>
      <w:r w:rsidR="00902FB4" w:rsidRPr="009460DA">
        <w:rPr>
          <w:rFonts w:ascii="Cambria" w:hAnsi="Cambria"/>
          <w:color w:val="000000" w:themeColor="text1"/>
          <w:sz w:val="20"/>
          <w:szCs w:val="20"/>
        </w:rPr>
        <w:fldChar w:fldCharType="end"/>
      </w:r>
      <w:r w:rsidRPr="009460DA">
        <w:rPr>
          <w:rFonts w:ascii="Cambria" w:hAnsi="Cambria"/>
          <w:color w:val="000000" w:themeColor="text1"/>
          <w:sz w:val="20"/>
          <w:szCs w:val="20"/>
        </w:rPr>
        <w:t xml:space="preserve">, that </w:t>
      </w:r>
      <w:r w:rsidRPr="009460DA">
        <w:rPr>
          <w:rFonts w:ascii="Cambria" w:hAnsi="Cambria"/>
          <w:sz w:val="20"/>
          <w:szCs w:val="20"/>
        </w:rPr>
        <w:t>effective HRM practices may secure talented employees as they are vital for an organization to accomplish its mission and vision</w:t>
      </w:r>
      <w:r w:rsidRPr="009460DA">
        <w:rPr>
          <w:rFonts w:ascii="Cambria" w:hAnsi="Cambria"/>
          <w:noProof/>
          <w:sz w:val="20"/>
          <w:szCs w:val="20"/>
        </w:rPr>
        <w:t xml:space="preserve">. </w:t>
      </w:r>
      <w:r w:rsidRPr="009460DA">
        <w:rPr>
          <w:rFonts w:ascii="Cambria" w:hAnsi="Cambria"/>
          <w:sz w:val="20"/>
          <w:szCs w:val="20"/>
        </w:rPr>
        <w:t>T</w:t>
      </w:r>
      <w:r w:rsidRPr="009460DA">
        <w:rPr>
          <w:rFonts w:ascii="Cambria" w:hAnsi="Cambria"/>
          <w:color w:val="000000" w:themeColor="text1"/>
          <w:sz w:val="20"/>
          <w:szCs w:val="20"/>
        </w:rPr>
        <w:t xml:space="preserve">his is due to </w:t>
      </w:r>
      <w:r w:rsidRPr="009460DA">
        <w:rPr>
          <w:rFonts w:ascii="Cambria" w:hAnsi="Cambria"/>
          <w:sz w:val="20"/>
          <w:szCs w:val="20"/>
        </w:rPr>
        <w:t xml:space="preserve">the capabilities of HRM practices that have been recognized as essential aspects that can contribute to achieving desired outcomes. </w:t>
      </w:r>
      <w:r w:rsidRPr="009460DA">
        <w:rPr>
          <w:rFonts w:ascii="Cambria" w:hAnsi="Cambria"/>
          <w:color w:val="000000" w:themeColor="text1"/>
          <w:kern w:val="36"/>
          <w:sz w:val="20"/>
          <w:szCs w:val="20"/>
        </w:rPr>
        <w:t xml:space="preserve">It indicates the </w:t>
      </w:r>
      <w:r w:rsidRPr="009460DA">
        <w:rPr>
          <w:rFonts w:ascii="Cambria" w:hAnsi="Cambria"/>
          <w:sz w:val="20"/>
          <w:szCs w:val="20"/>
        </w:rPr>
        <w:t>excellent application of HRM practices</w:t>
      </w:r>
      <w:r w:rsidRPr="009460DA">
        <w:rPr>
          <w:rFonts w:ascii="Cambria" w:hAnsi="Cambria"/>
          <w:color w:val="000000" w:themeColor="text1"/>
          <w:sz w:val="20"/>
          <w:szCs w:val="20"/>
        </w:rPr>
        <w:t xml:space="preserve"> may influence the employees' productivity, which indirectly addresses the high performance of organizations.</w:t>
      </w:r>
      <w:r w:rsidRPr="009460DA">
        <w:rPr>
          <w:rFonts w:ascii="Cambria" w:hAnsi="Cambria" w:cs="Arial"/>
          <w:sz w:val="20"/>
          <w:szCs w:val="20"/>
        </w:rPr>
        <w:t xml:space="preserve"> </w:t>
      </w:r>
      <w:r w:rsidRPr="009460DA">
        <w:rPr>
          <w:rFonts w:ascii="Cambria" w:hAnsi="Cambria"/>
          <w:sz w:val="20"/>
          <w:szCs w:val="20"/>
        </w:rPr>
        <w:t xml:space="preserve">Organizational success results from employees’ commitment to the organization. Every organization aspires to sustain a high level of performance to maintain long-term. Organizational performance is regarded as the aggregate of an organization's achievements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{"citationItems":[{"id":"ITEM-1","itemData":{"abstract":"The main objective of this study is to examine how Strategic orientation and innovation influence the performance of manufacturing firm working in Pakistan. This study examine the direct impact of strategic orientation (SO) and innovation (INO) on firm performance (FP), meanwhile also examine the indirect effect of innovation among strategic orientation and firm performance. Self-administered survey was used to collect the data from 320 large firms. Simple random sampling technique was used for collection of data. For statistical analysis, PLS-SEM technique was utilized by using Smart-PLS 3.2.8. The results indicate that SO is positively related to FP, and its positive relationship is mediated by innovation. These findings provide useful insights for firms, particularly for the manufacturing industry, seeking to be competitive and responsive to environmental changes by successfully introducing innovations. Conclusions emphasize that mechanisms to encourage and foster an innovative culture in the organization are likely to facilitate the introduction, adoption, and diffusion of innovations which, in turn, is likely to result in the achievement of superior FP. This paper makes a significant contribution to the prevailing literature by empirically examining the relationship between SO, innovation, and FP.","author":[{"dropping-particle":"","family":"Khan","given":"Waris Ali","non-dropping-particle":"","parse-names":false,"suffix":""},{"dropping-particle":"","family":"Wafa","given":"Syed Azizi","non-dropping-particle":"","parse-names":false,"suffix":""},{"dropping-particle":"","family":"Hassan","given":"Ramraini Ali","non-dropping-particle":"","parse-names":false,"suffix":""},{"dropping-particle":"","family":"Kashif","given":"Umair","non-dropping-particle":"","parse-names":false,"suffix":""}],"container-title":"Malaysian Journal of Business and Economics","id":"ITEM-1","issue":"2","issued":{"date-parts":[["2020"]]},"page":"1-15","title":"The mediating effect of innovation on the relationship between organisational culture and performance of large manufacturing firm in Pakistan","type":"article-journal","volume":"6"},"uris":["http://www.mendeley.com/documents/?uuid=62b88a40-8cea-4b9e-92e7-c4a05a2866f1"]}],"mendeley":{"formattedCitation":"(Khan et al., 2020)","manualFormatting":"(Khan et al., 2020)","plainTextFormattedCitation":"(Khan et al., 2020)","previouslyFormattedCitation":"(W. A. Khan et al., 2020)"},"properties":{"noteIndex":0},"schema":"https://github.com/citation-style-language/schema/raw/master/csl-citation.json"}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(Khan et al., 2020)</w:t>
      </w:r>
      <w:r w:rsidR="00902FB4" w:rsidRPr="009460DA">
        <w:rPr>
          <w:rFonts w:ascii="Cambria" w:hAnsi="Cambria"/>
          <w:sz w:val="20"/>
          <w:szCs w:val="20"/>
        </w:rPr>
        <w:fldChar w:fldCharType="end"/>
      </w:r>
      <w:r w:rsidRPr="009460DA">
        <w:rPr>
          <w:rFonts w:ascii="Cambria" w:hAnsi="Cambria"/>
          <w:sz w:val="20"/>
          <w:szCs w:val="20"/>
        </w:rPr>
        <w:t xml:space="preserve">. According to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{"citationItems":[{"id":"ITEM-1","itemData":{"DOI":"10.28945/4088","ISSN":"15551237","abstract":"Aim/Purpose: The objective of this study was to assess the interrelationships among knowledge management infrastructure, knowledge management process, intellectual capital, and organization performance. Background: Although knowledge management capability is extensively used by organizations, reaching their maximum financial and non-financial performances has not been fully researched. Therefore, organizations need to optimize their performance by exploiting knowledge management capability through the accumulation of intellectual capital, where the new competitiveness is shifting from tangible to intangible resources. Methodology: This study adopted a positivist philosophy and deductive approach to accomplish the main goal of this research. Moreover, this research employed a quantitative approach since this study is concerned with causal relationship between variables. A questionnaire-based survey was designed to evaluate the research model using a convenience sample of 134 employees from the food industry sector in Jordan. Surveyed data was examined following the structural equation modeling procedures. Contribution: This study highlighted the potential benefits of applying the knowledge management capabilities, intellectual capital, and organizational performance to the food industrial sector in Jordan. Future research suggestions are also provided. Findings: Results indicated that knowledge management infrastructure had a positive effect on knowledge management process. In addition, knowledge management process impacted positively intellectual capital and organization performance and mediated the relationship between knowledge management infrastructure and intellectual capital. However, knowledge management infrastructure did not positively associate to organization performance. Recommendations for Practitioners: The current model is designed to help managers and decision makers to improve their management capabilities as well as their organization financial and non-financial performance through exploiting the organizational knowledge management infrastructure and intellectual capital approaches. Recommendations for Researchers: Our findings can be used as a base of knowledge to conduct further studies about knowledge management capabilities, intellectual capital, and organization performance following different criteria and research procedures. Impact on Society: The designed model highlights a significant organizational performance approach that ca…","author":[{"dropping-particle":"","family":"Abualoush","given":"Shadi","non-dropping-particle":"","parse-names":false,"suffix":""},{"dropping-particle":"","family":"Masa'deh","given":"Ra'ed","non-dropping-particle":"","parse-names":false,"suffix":""},{"dropping-particle":"","family":"Bataineh","given":"Khaled","non-dropping-particle":"","parse-names":false,"suffix":""},{"dropping-particle":"","family":"Alrowwad","given":"Ala'aldin","non-dropping-particle":"","parse-names":false,"suffix":""}],"container-title":"Interdisciplinary Journal of Information, Knowledge, and Management","id":"ITEM-1","issued":{"date-parts":[["2018"]]},"page":"279-309","title":"The role of knowledge management process and intellectual capital as intermediary variables between knowledge management infrastructure and organization performance","type":"article-journal","volume":"13"},"uris":["http://www.mendeley.com/documents/?uuid=71ac41e7-41c6-4f5c-9f26-1f4bdcfff180"]}],"mendeley":{"formattedCitation":"(Abualoush et al., 2018)","manualFormatting":"Abualoush et al. (2018)","plainTextFormattedCitation":"(Abualoush et al., 2018)","previouslyFormattedCitation":"(Abualoush et al., 2018)"},"properties":{"noteIndex":0},"schema":"https://github.com/citation-style-language/schema/raw/master/csl-citation.json"}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Abualoush et al. (2018)</w:t>
      </w:r>
      <w:r w:rsidR="00902FB4" w:rsidRPr="009460DA">
        <w:rPr>
          <w:rFonts w:ascii="Cambria" w:hAnsi="Cambria"/>
          <w:sz w:val="20"/>
          <w:szCs w:val="20"/>
        </w:rPr>
        <w:fldChar w:fldCharType="end"/>
      </w:r>
      <w:r w:rsidRPr="009460DA">
        <w:rPr>
          <w:rFonts w:ascii="Cambria" w:hAnsi="Cambria"/>
          <w:sz w:val="20"/>
          <w:szCs w:val="20"/>
        </w:rPr>
        <w:t>, organizational performance is the organization's ability to fulfill its mission, activities, tasks, and outcomes. Likewise, researchers stated that organizational performance is the capacity to satisfy the organization's objectives and stakeholders. This shows that it can act as an evaluation for the organization to quantify and determine its efficiency and effectiveness over a specified period.</w:t>
      </w:r>
    </w:p>
    <w:p w:rsidR="003A1358" w:rsidRPr="009460DA" w:rsidRDefault="003A1358" w:rsidP="009460DA">
      <w:pPr>
        <w:spacing w:after="0" w:line="240" w:lineRule="auto"/>
        <w:jc w:val="both"/>
        <w:rPr>
          <w:rFonts w:ascii="Cambria" w:hAnsi="Cambria"/>
          <w:sz w:val="20"/>
          <w:szCs w:val="20"/>
        </w:rPr>
      </w:pPr>
    </w:p>
    <w:p w:rsidR="003A1358" w:rsidRPr="009460DA" w:rsidRDefault="003A1358" w:rsidP="009460DA">
      <w:pPr>
        <w:spacing w:after="0" w:line="240" w:lineRule="auto"/>
        <w:jc w:val="both"/>
        <w:rPr>
          <w:rFonts w:ascii="Cambria" w:hAnsi="Cambria" w:cs="Arial"/>
          <w:sz w:val="20"/>
          <w:szCs w:val="20"/>
        </w:rPr>
      </w:pPr>
      <w:r w:rsidRPr="009460DA">
        <w:rPr>
          <w:rFonts w:ascii="Cambria" w:hAnsi="Cambria"/>
          <w:sz w:val="20"/>
          <w:szCs w:val="20"/>
        </w:rPr>
        <w:t>Good organizational performance symbolizes profit, effectiveness, and survival in achieving its goals.</w:t>
      </w:r>
      <w:r w:rsidRPr="009460DA">
        <w:rPr>
          <w:rFonts w:ascii="Cambria" w:hAnsi="Cambria" w:cs="Arial"/>
          <w:sz w:val="20"/>
          <w:szCs w:val="20"/>
        </w:rPr>
        <w:t xml:space="preserve"> </w:t>
      </w:r>
      <w:r w:rsidRPr="009460DA">
        <w:rPr>
          <w:rFonts w:ascii="Cambria" w:hAnsi="Cambria"/>
          <w:sz w:val="20"/>
          <w:szCs w:val="20"/>
        </w:rPr>
        <w:t xml:space="preserve">Besides, a well-performing organization is seen from work produced as it can positively impact organizational productivity. However, every organization will undoubtedly experience problems in creating success, such as the issue of workplace isolation </w:t>
      </w:r>
      <w:r w:rsidR="00902FB4" w:rsidRPr="009460DA">
        <w:rPr>
          <w:rFonts w:ascii="Cambria" w:hAnsi="Cambria"/>
          <w:color w:val="000000"/>
          <w:sz w:val="20"/>
          <w:szCs w:val="20"/>
        </w:rPr>
        <w:fldChar w:fldCharType="begin" w:fldLock="1"/>
      </w:r>
      <w:r w:rsidRPr="009460DA">
        <w:rPr>
          <w:rFonts w:ascii="Cambria" w:hAnsi="Cambria"/>
          <w:color w:val="000000"/>
          <w:sz w:val="20"/>
          <w:szCs w:val="20"/>
        </w:rPr>
        <w:instrText>ADDIN CSL_CITATION {"citationItems":[{"id":"ITEM-1","itemData":{"DOI":"10.3390/ijerph17030912","ISSN":"16604601","PMID":"32024195","abstract":"The purpose of this study is to analyze the relationships between workplace violence, occupational stress, and sustainable work performance. Multiple dimensions of workplace violence (harassment, mobbing, ostracism, and stalking) were used in this study. A questionnaire survey was used, composed of 48 items with a 5-point Likert scale (1, strongly disagree, to 5, strongly agree). Data were collected from 15 hospitals in the vicinity of Karachi, Lahore, and Islamabad, Pakistan. The target population of this study consisted of doctors, nurses, and paramedical staff. We distributed 500 questionnaires among the target population. In total, 345 usable questionnaires were returned, resulting in a response rate of 69%. Partial least squares structural equation modeling was used to test the direct and indirect effects. The results of this study highlight that in both direct and indirect relationships, workplace violence negatively influences sustainable work performance. The findings of this study are as follows: First, harassment reduces employee morale, which consistently lessens employees' work performance. Second, mobbing at the workplace reduces productivity, increases levels of stress, anxiety, depression, and irritability, and increases low work engagement, work absences, and work destruction. Third, ostracism at the workplace reduces motivation among workers and organizations, which reduces work efficiency. Work performance is undermined due to stalking at the workplace because it creates a bad image and brings toxicity among colleagues and peers. Fourth, occupational stress is considered a stigma among employees who are facing stress at the workplace. We can conclude that if employees are happy and healthy, they can be their most productive. So, organizations need to construct a culture where employees can be at their best and shine.","author":[{"dropping-particle":"","family":"Rasool","given":"Samma Faiz","non-dropping-particle":"","parse-names":false,"suffix":""},{"dropping-particle":"","family":"Wang","given":"Mansi","non-dropping-particle":"","parse-names":false,"suffix":""},{"dropping-particle":"","family":"Zhang","given":"Yanping","non-dropping-particle":"","parse-names":false,"suffix":""},{"dropping-particle":"","family":"Samma","given":"Madeeha","non-dropping-particle":"","parse-names":false,"suffix":""}],"container-title":"International Journal of Environmental Research and Public Health","id":"ITEM-1","issue":"3","issued":{"date-parts":[["2020"]]},"title":"Sustainable work performance: the roles of workplace violence and occupational stress","type":"article-journal","volume":"17"},"uris":["http://www.mendeley.com/documents/?uuid=556a308f-f5de-4aeb-a093-77caacac5016"]}],"mendeley":{"formattedCitation":"(Rasool et al., 2020)","plainTextFormattedCitation":"(Rasool et al., 2020)","previouslyFormattedCitation":"(Rasool et al., 2020)"},"properties":{"noteIndex":0},"schema":"https://github.com/citation-style-language/schema/raw/master/csl-citation.json"}</w:instrText>
      </w:r>
      <w:r w:rsidR="00902FB4" w:rsidRPr="009460DA">
        <w:rPr>
          <w:rFonts w:ascii="Cambria" w:hAnsi="Cambria"/>
          <w:color w:val="000000"/>
          <w:sz w:val="20"/>
          <w:szCs w:val="20"/>
        </w:rPr>
        <w:fldChar w:fldCharType="separate"/>
      </w:r>
      <w:r w:rsidRPr="009460DA">
        <w:rPr>
          <w:rFonts w:ascii="Cambria" w:hAnsi="Cambria"/>
          <w:noProof/>
          <w:color w:val="000000"/>
          <w:sz w:val="20"/>
          <w:szCs w:val="20"/>
        </w:rPr>
        <w:t>(Rasool et al., 2020)</w:t>
      </w:r>
      <w:r w:rsidR="00902FB4" w:rsidRPr="009460DA">
        <w:rPr>
          <w:rFonts w:ascii="Cambria" w:hAnsi="Cambria"/>
          <w:color w:val="000000"/>
          <w:sz w:val="20"/>
          <w:szCs w:val="20"/>
        </w:rPr>
        <w:fldChar w:fldCharType="end"/>
      </w:r>
      <w:r w:rsidRPr="009460DA">
        <w:rPr>
          <w:rFonts w:ascii="Cambria" w:hAnsi="Cambria"/>
          <w:sz w:val="20"/>
          <w:szCs w:val="20"/>
        </w:rPr>
        <w:t xml:space="preserve">. This issue has been considered an internal problem that can affect the performance of an organization.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{"citationItems":[{"id":"ITEM-1","itemData":{"DOI":"10.30880/rmtb.2021.02.01.009","abstract":"… And the results showed that the commitment-based human resource management practice has a positive impact on the job engagement [9]. Thus, we hypothesize: Hypothesis 1: Commitment-based human resource management will be positively related to …","author":[{"dropping-particle":"","family":"Terng","given":"Lim Chuan","non-dropping-particle":"","parse-names":false,"suffix":""},{"dropping-particle":"","family":"Ahmad","given":"Nurazwa","non-dropping-particle":"","parse-names":false,"suffix":""}],"container-title":"Research In Management Of Technology And Business","id":"ITEM-1","issue":"1","issued":{"date-parts":[["2021"]]},"page":"123-136","title":"The Relationship Between Human Resource Management Practices and Employee Performance","type":"article-journal","volume":"2"},"uris":["http://www.mendeley.com/documents/?uuid=6112df88-272f-4aea-bcce-ad43036046b1"]}],"mendeley":{"formattedCitation":"(Terng &amp; Ahmad, 2021)","manualFormatting":"Terng and Ahmad (2021)","plainTextFormattedCitation":"(Terng &amp; Ahmad, 2021)","previouslyFormattedCitation":"(Terng &amp; Ahmad, 2021)"},"properties":{"noteIndex":0},"schema":"https://github.com/citation-style-language/schema/raw/master/csl-citation.json"}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Terng and Ahmad (2021)</w:t>
      </w:r>
      <w:r w:rsidR="00902FB4" w:rsidRPr="009460DA">
        <w:rPr>
          <w:rFonts w:ascii="Cambria" w:hAnsi="Cambria"/>
          <w:sz w:val="20"/>
          <w:szCs w:val="20"/>
        </w:rPr>
        <w:fldChar w:fldCharType="end"/>
      </w:r>
      <w:r w:rsidRPr="009460DA">
        <w:rPr>
          <w:rFonts w:ascii="Cambria" w:hAnsi="Cambria"/>
          <w:sz w:val="20"/>
          <w:szCs w:val="20"/>
        </w:rPr>
        <w:t xml:space="preserve"> support that this happens because of insufficient information sharing and social support from coworkers and management. This makes employees feel alone and makes them perform poorly in a job, which can negatively impact the management in making plans and decisions. It shows a better understanding of how the environment affects employees' behavior and how to conduct drives to achieve goals that need to be created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{"citationItems":[{"id":"ITEM-1","itemData":{"DOI":"10.1002/csr.1694","ISSN":"15353966","abstract":"Success of organizational initiatives for environmental sustainability hinges upon employees' proenvironmental behaviors. One of the contemporary important challenges faced by HR professionals is to ensure proper integration of environmental sustainability into human resource policies. The green human resource management (green HRM) has emerged from organizations engaging in practices related to protection of environment and maintaining ecological balance. The aim of this study is to examine the effects of green HRM practices (green recruitment and selection, green training and development, green performance management and appraisal, green reward and compensation, and green empowerment) on employee's proenvironmental behavior. Moreover, this study is going to test the mediating effect of proenvironmental psychological capital and the moderating effect of environmental knowledge on green HRM practices–proenvironmental behavior. Data from 347 employees working in coal generating, power industry, food, chemical, and pharmaceutical industries were collected. Results revealed that green HRM practices positively affected employee's proenvironmental behavior, and proenvironmental psychological capital mediated this link. Employee's environmental knowledge moderated the effect of green HRM practices on proenvironmental behavior.","author":[{"dropping-particle":"Bin","family":"Saeed","given":"Bilal","non-dropping-particle":"","parse-names":false,"suffix":""},{"dropping-particle":"","family":"Afsar","given":"Bilal","non-dropping-particle":"","parse-names":false,"suffix":""},{"dropping-particle":"","family":"Hafeez","given":"Shakir","non-dropping-particle":"","parse-names":false,"suffix":""},{"dropping-particle":"","family":"Khan","given":"Imran","non-dropping-particle":"","parse-names":false,"suffix":""},{"dropping-particle":"","family":"Tahir","given":"Muhammad","non-dropping-particle":"","parse-names":false,"suffix":""},{"dropping-particle":"","family":"Afridi","given":"Muhammad Asim","non-dropping-particle":"","parse-names":false,"suffix":""}],"container-title":"Corporate Social Responsibility and Environmental Management","id":"ITEM-1","issue":"2","issued":{"date-parts":[["2019"]]},"page":"424-438","title":"Promoting employee's proenvironmental behavior through green human resource management practices","type":"article-journal","volume":"26"},"uris":["http://www.mendeley.com/documents/?uuid=a30d0615-07ba-4da9-ae6c-ae0f2b11906c"]}],"mendeley":{"formattedCitation":"(Saeed et al., 2019)","plainTextFormattedCitation":"(Saeed et al., 2019)","previouslyFormattedCitation":"(Saeed et al., 2019)"},"properties":{"noteIndex":0},"schema":"https://github.com/citation-style-language/schema/raw/master/csl-citation.json"}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(Saeed et al., 2019)</w:t>
      </w:r>
      <w:r w:rsidR="00902FB4" w:rsidRPr="009460DA">
        <w:rPr>
          <w:rFonts w:ascii="Cambria" w:hAnsi="Cambria"/>
          <w:sz w:val="20"/>
          <w:szCs w:val="20"/>
        </w:rPr>
        <w:fldChar w:fldCharType="end"/>
      </w:r>
      <w:r w:rsidRPr="009460DA">
        <w:rPr>
          <w:rFonts w:ascii="Cambria" w:hAnsi="Cambria"/>
          <w:sz w:val="20"/>
          <w:szCs w:val="20"/>
        </w:rPr>
        <w:t xml:space="preserve">. On top of the above discussion, good HRM practices must be the key to influencing organizational performance, especially in the sports industry. According to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{"citationItems":[{"id":"ITEM-1","itemData":{"author":[{"dropping-particle":"","family":"Durisic","given":"Danial Bin Azizan","non-dropping-particle":"","parse-names":false,"suffix":""}],"id":"ITEM-1","issued":{"date-parts":[["2022"]]},"title":"ISU ReD : Research and eData National Athletes ' Perceived Image of the Government in the Development of Sports in Malaysia","type":"article-journal"},"uris":["http://www.mendeley.com/documents/?uuid=0ae5f863-c4b4-4761-8333-c1021af37924"]}],"mendeley":{"formattedCitation":"(Durisic, 2022)","manualFormatting":"Durisic (2022)","plainTextFormattedCitation":"(Durisic, 2022)","previouslyFormattedCitation":"(Durisic, 2022)"},"properties":{"noteIndex":0},"schema":"https://github.com/citation-style-language/schema/raw/master/csl-citation.json"}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Durisic (2022)</w:t>
      </w:r>
      <w:r w:rsidR="00902FB4" w:rsidRPr="009460DA">
        <w:rPr>
          <w:rFonts w:ascii="Cambria" w:hAnsi="Cambria"/>
          <w:sz w:val="20"/>
          <w:szCs w:val="20"/>
        </w:rPr>
        <w:fldChar w:fldCharType="end"/>
      </w:r>
      <w:r w:rsidRPr="009460DA">
        <w:rPr>
          <w:rFonts w:ascii="Cambria" w:hAnsi="Cambria"/>
          <w:sz w:val="20"/>
          <w:szCs w:val="20"/>
        </w:rPr>
        <w:t xml:space="preserve">, many athletes are developed annually to fulfill Malaysia's sports industry's demands. The consensus from this situation indicates that HRM practices are one of the elements </w:t>
      </w:r>
      <w:r w:rsidRPr="009460DA">
        <w:rPr>
          <w:rFonts w:ascii="Cambria" w:hAnsi="Cambria"/>
          <w:sz w:val="20"/>
          <w:szCs w:val="20"/>
        </w:rPr>
        <w:lastRenderedPageBreak/>
        <w:t>needed by top management and HR practitioners to maintain and grow athletes' performance. HRM practices applied by management can lead the organization to perform well. Hence, this study examines the effect of HRM practices on organizational performance in the Malaysian State Sports Council (MSSC).</w:t>
      </w:r>
    </w:p>
    <w:p w:rsidR="003A1358" w:rsidRPr="009460DA" w:rsidRDefault="003A1358" w:rsidP="009460DA">
      <w:pPr>
        <w:spacing w:after="0" w:line="240" w:lineRule="auto"/>
        <w:jc w:val="both"/>
        <w:rPr>
          <w:rFonts w:ascii="Cambria" w:hAnsi="Cambria" w:cs="Arial"/>
          <w:b/>
          <w:sz w:val="20"/>
          <w:szCs w:val="20"/>
        </w:rPr>
      </w:pPr>
    </w:p>
    <w:p w:rsidR="003A1358" w:rsidRPr="009460DA" w:rsidRDefault="003A1358" w:rsidP="009460DA">
      <w:pPr>
        <w:spacing w:after="0" w:line="240" w:lineRule="auto"/>
        <w:jc w:val="both"/>
        <w:rPr>
          <w:rFonts w:ascii="Cambria" w:hAnsi="Cambria" w:cs="Arial"/>
          <w:sz w:val="20"/>
          <w:szCs w:val="20"/>
        </w:rPr>
      </w:pPr>
      <w:r w:rsidRPr="009460DA">
        <w:rPr>
          <w:rFonts w:ascii="Cambria" w:hAnsi="Cambria" w:cs="Arial"/>
          <w:b/>
          <w:sz w:val="20"/>
          <w:szCs w:val="20"/>
        </w:rPr>
        <w:t>2. Literature Review</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cstheme="majorBidi"/>
          <w:sz w:val="20"/>
          <w:szCs w:val="20"/>
          <w:lang w:eastAsia="en-GB"/>
        </w:rPr>
      </w:pPr>
      <w:r w:rsidRPr="009460DA">
        <w:rPr>
          <w:rFonts w:ascii="Cambria" w:hAnsi="Cambria" w:cstheme="majorBidi"/>
          <w:sz w:val="20"/>
          <w:szCs w:val="20"/>
          <w:lang w:eastAsia="en-GB"/>
        </w:rPr>
        <w:t xml:space="preserve">Recently, the utilization of HRM can determine the achievement of an organization in handling employees to achieve goals. HRM practices have been regarded as an important indicator in influencing organizational performance. This is due to the high level of HRM perceived by employees that can enable them to perform work. In contrast, if employees anticipated less HRM, they would be less emotionally invested in accomplishing the mission and vision. This statement shows HRM can be positively associated with performance when a strategic plan is used by management for the employee. </w:t>
      </w:r>
      <w:r w:rsidRPr="009460DA">
        <w:rPr>
          <w:rFonts w:ascii="Cambria" w:hAnsi="Cambria" w:cstheme="majorBidi"/>
          <w:sz w:val="20"/>
          <w:szCs w:val="20"/>
          <w:lang w:eastAsia="en-MY"/>
        </w:rPr>
        <w:t>The ineffectiveness of HRM will undoubtedly make the efforts of employees to achieve success futile. Therefore, this part of the literature review documented past studies regarding HRM practices and organizational performance.</w:t>
      </w:r>
      <w:r w:rsidRPr="009460DA">
        <w:rPr>
          <w:rFonts w:ascii="Cambria" w:hAnsi="Cambria" w:cs="Arial"/>
          <w:b/>
          <w:sz w:val="20"/>
          <w:szCs w:val="20"/>
        </w:rPr>
        <w:t xml:space="preserve"> </w:t>
      </w:r>
      <w:r w:rsidRPr="009460DA">
        <w:rPr>
          <w:rFonts w:ascii="Cambria" w:hAnsi="Cambria" w:cstheme="majorBidi"/>
          <w:sz w:val="20"/>
          <w:szCs w:val="20"/>
          <w:lang w:eastAsia="en-GB"/>
        </w:rPr>
        <w:t xml:space="preserve">Based on a study carried out by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{"citationItems":[{"id":"ITEM-1","itemData":{"author":[{"dropping-particle":"","family":"Foo","given":"Lee-yen","non-dropping-particle":"","parse-names":false,"suffix":""},{"dropping-particle":"","family":"Dahlia","given":"Hazrina Ghazali","non-dropping-particle":"","parse-names":false,"suffix":""},{"dropping-particle":"","family":"Zawawi","given":"Dahlia","non-dropping-particle":"","parse-names":false,"suffix":""},{"dropping-particle":"","family":"Othman","given":"Siti Fatimah","non-dropping-particle":"","parse-names":false,"suffix":""},{"dropping-particle":"","family":"Mohhidin","given":"Mohamad","non-dropping-particle":"","parse-names":false,"suffix":""}],"container-title":"Journal of Tourism, Hospitality &amp; Culinary Arts","id":"ITEM-1","issue":"1","issued":{"date-parts":[["2020"]]},"page":"48-68","title":"A model linking HRM practices, service- oriented OCBs &amp; organizational performance in Malaysian hotel industry","type":"article-journal","volume":"12"},"uris":["http://www.mendeley.com/documents/?uuid=6105f3e6-f0f3-4ed2-bc14-0e09a5d47cd3"]}],"mendeley":{"formattedCitation":"(Foo et al., 2020)","manualFormatting":"Foo et al. (2020)","plainTextFormattedCitation":"(Foo et al., 2020)","previouslyFormattedCitation":"(Foo et al., 2020)"},"properties":{"noteIndex":0},"schema":"https://github.com/citation-style-language/schema/raw/master/csl-citation.json"}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Foo et al. (2020)</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in the hotel industry in Malaysia shows a significant relationship between HRM practices and organizational performance. The result of this study aligned with past research, which revealed a positive association between the two variables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{"citationItems":[{"id":"ITEM-1","itemData":{"DOI":"10.36902/rjsser-vol1-iss2-2020(85-92)","ISSN":"2707-9015","abstract":"The management of human resources is indispensable for each organization, whether public or private including higher educational institutions. Concerning the management of human resources, there are certain globally recognized practices those which are considered as the building blocks for organizational performance and success. Along with this, some other factors are also considered as crucial elements in the success of these organizations. Among these factors, organizational trust is considered as the most critical due to its vital role in reshaping the confidence of the individuals in organizations. The trust of employees has been identified as a critical factor in defining the overall organizational behavior of the workforce. For this purpose, some hypotheses have been developed from the theoretical framework about the relationships between HRM practices (predictors) organizational performance (criterion) and the organizational trust (mediator) which were tested over the statistical tools like correlation, regression, and mediation. This study aimed to explore above-said relationships by taking higher educational institutions under consideration with teachers as respondents in the southern region of Khyber Pakhtunkhwa, Pakistan by providing some valuable recommendations to the higher education management and the future researchers.","author":[{"dropping-particle":"","family":"Ali","given":"Ahmad","non-dropping-particle":"","parse-names":false,"suffix":""},{"dropping-particle":"","family":"Awan","given":"Prof. Dr. Muhammad Zahid","non-dropping-particle":"","parse-names":false,"suffix":""},{"dropping-particle":"","family":"Javed","given":"Dr. Aziz","non-dropping-particle":"","parse-names":false,"suffix":""}],"container-title":"Research Journal of Social Sciences and Economics Review (RJSSER)","id":"ITEM-1","issue":"2","issued":{"date-parts":[["2020"]]},"page":"85-92","title":"Exploring Organizational Trust as Mediator in the Relationship between HRM Practices and Organizational Performance","type":"article-journal","volume":"1"},"uris":["http://www.mendeley.com/documents/?uuid=ba2c2934-682d-40dd-be74-a3c88b180201"]}],"mendeley":{"formattedCitation":"(Ali et al., 2020)","manualFormatting":"Ali et al., 2020","plainTextFormattedCitation":"(Ali et al., 2020)","previouslyFormattedCitation":"(Ali et al., 2020)"},"properties":{"noteIndex":0},"schema":"https://github.com/citation-style-language/schema/raw/master/csl-citation.json"}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Ali et al., 2020</w:t>
      </w:r>
      <w:r w:rsidR="00902FB4" w:rsidRPr="009460DA">
        <w:rPr>
          <w:rFonts w:ascii="Cambria" w:hAnsi="Cambria"/>
          <w:sz w:val="20"/>
          <w:szCs w:val="20"/>
        </w:rPr>
        <w:fldChar w:fldCharType="end"/>
      </w:r>
      <w:r w:rsidRPr="009460DA">
        <w:rPr>
          <w:rFonts w:ascii="Cambria" w:hAnsi="Cambria"/>
          <w:sz w:val="20"/>
          <w:szCs w:val="20"/>
        </w:rPr>
        <w:t xml:space="preserve">;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{"citationItems":[{"id":"ITEM-1","itemData":{"DOI":"10.4995/wpom.17243","abstract":"Human resource development practices focus on the specific goals of the organization, about what needs to be done and the change that needs to be applied. The most important and effective ways of human resource development are training and development, employee involvement and professional development. The employees of the organization pointed out. The main purpose of this study was to investigate the effect of using human resources practices on improving organizational performance with regard to the mediating role of transformational leadership style in the electricity industry in Iran. The present study was based on the purpose of an applied research and in terms of method was a descriptive-survey study. A questionnaire was used to collect research data. The statistical population of the present study consisted of senior and middle managers of companies under the Ministry of Energy that were active in the Iranian electricity industry. The number of these people was estimated at 883 in the initial study, and finally, using the Cochran's formula, 268 people were selected as the sample size. After collecting data through a questionnaire, data analysis was performed using structural equation modeling. The results showed that human resource development practices have a positive and significant effect on the organizational performance of the companies under study.Has an effective mediating role. Since transformational leadership style is one of the prerequisites for the development of service organizations, by applying this style of leadership in the organization, as well as implementing effective measures and practices such as training with individual development approach and employee participation, organizational performance can be improved.","author":[{"dropping-particle":"","family":"Shayegan","given":"Shady","non-dropping-particle":"","parse-names":false,"suffix":""},{"dropping-particle":"","family":"Yavari","given":"Neda","non-dropping-particle":"","parse-names":false,"suffix":""},{"dropping-particle":"","family":"Bazrkar","given":"Ardeshir","non-dropping-particle":"","parse-names":false,"suffix":""}],"container-title":"WPOM-Working Papers on Operations Management","id":"ITEM-1","issue":"2","issued":{"date-parts":[["2022"]]},"page":"64-85","title":"Human resource development practices and organizational performance: Examining the mediating role of transformational leadership style","type":"article-journal","volume":"13"},"uris":["http://www.mendeley.com/documents/?uuid=0639a88d-ebb4-4474-8b5a-47dc162ffa35"]}],"mendeley":{"formattedCitation":"(Shayegan et al., 2022)","manualFormatting":"Shayegan et al., 2022)","plainTextFormattedCitation":"(Shayegan et al., 2022)","previouslyFormattedCitation":"(Shayegan et al., 2022)"},"properties":{"noteIndex":0},"schema":"https://github.com/citation-style-language/schema/raw/master/csl-citation.json"}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Shayegan et al., 2022)</w:t>
      </w:r>
      <w:r w:rsidR="00902FB4" w:rsidRPr="009460DA">
        <w:rPr>
          <w:rFonts w:ascii="Cambria" w:hAnsi="Cambria"/>
          <w:sz w:val="20"/>
          <w:szCs w:val="20"/>
        </w:rPr>
        <w:fldChar w:fldCharType="end"/>
      </w:r>
      <w:r w:rsidRPr="009460DA">
        <w:rPr>
          <w:rFonts w:ascii="Cambria" w:hAnsi="Cambria"/>
          <w:sz w:val="20"/>
          <w:szCs w:val="20"/>
        </w:rPr>
        <w:t xml:space="preserve">. </w:t>
      </w:r>
      <w:r w:rsidRPr="009460DA">
        <w:rPr>
          <w:rFonts w:ascii="Cambria" w:hAnsi="Cambria" w:cstheme="majorBidi"/>
          <w:sz w:val="20"/>
          <w:szCs w:val="20"/>
          <w:lang w:eastAsia="en-GB"/>
        </w:rPr>
        <w:t xml:space="preserve">According to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{"citationItems":[{"id":"ITEM-1","itemData":{"DOI":"10.1108/SBR-03-2020-0033","ISSN":"17465699","abstract":"Purpose: This paper aims to provide an empirical investigation into the mediating role of high-performance work systems (HPWS) on health harm (HH). The study also examines the negative moderated role of workplace well-being (WW) and its indirect effect on work intensification (WI) and HH. The paper highlights the implications of the HH on individuals, organizations, families and societies and recognizes the need for sustainable human resource management (HRM) practices that drive employee well-being, thereby reducing the HH. More importantly, the study extends the understanding of sustainable goals through sustainable HRM. Design/methodology/approach: Data was collected using four established scales. The data collected from 324 executives were analyzed using the SPSS 25.0 Version and AMOS 21.0. Findings: The study results confirmed that WW practices reduce the adverse effects arising out of HPWS and WI. The results proved that WI is positively related to HH, and that WW moderates the relationship between HPWS and HH such that HPWS is more positively associated with HH when the WW is low compared to when WW is high. Research limitations/implications: The data were collected from executives working in Information Technology (IT) organizations in India. The findings and the implications may not be generalized to other industries, as the data is collected from IT professionals. Practical implications: The study highlights the need for organizations to develop sustainable HRM practices to minimize the HH of work. Organizations should implement well-being interventions and develop activities that promote an individual’s mental and physical well-being alongside limiting work intensity. Originality/value: HRM Literature reveals the positive effect of HPWS that it engages employees to achieve a competitive advantage to the firm. However, this study examines and empirically proves the negative impact of HPWS on employee health and well-being.","author":[{"dropping-particle":"","family":"Chillakuri","given":"Bharat","non-dropping-particle":"","parse-names":false,"suffix":""},{"dropping-particle":"","family":"Vanka","given":"Sita","non-dropping-particle":"","parse-names":false,"suffix":""}],"container-title":"Society and Business Review","id":"ITEM-1","issue":"1","issued":{"date-parts":[["2021"]]},"page":"71-93","title":"Examining the effects of workplace well-being and high-performance work systems on health harm: a Sustainable HRM perspective","type":"article-journal","volume":"16"},"uris":["http://www.mendeley.com/documents/?uuid=b62cfc8f-a670-4ba6-9dfa-999f9e871d5a"]}],"mendeley":{"formattedCitation":"(Chillakuri &amp; Vanka, 2021)","manualFormatting":"Chillakuri and Vanka (2021)","plainTextFormattedCitation":"(Chillakuri &amp; Vanka, 2021)","previouslyFormattedCitation":"(Chillakuri &amp; Vanka, 2021)"},"properties":{"noteIndex":0},"schema":"https://github.com/citation-style-language/schema/raw/master/csl-citation.json"}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Chillakuri and Vanka (2021)</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HRM motivates employees to improve their self-development by assisting them in reaching goals &amp; reducing their stress physically &amp; mentally.</w:t>
      </w:r>
    </w:p>
    <w:p w:rsidR="003A1358" w:rsidRPr="009460DA" w:rsidRDefault="003A1358" w:rsidP="009460DA">
      <w:pPr>
        <w:spacing w:after="0" w:line="240" w:lineRule="auto"/>
        <w:jc w:val="both"/>
        <w:rPr>
          <w:rFonts w:ascii="Cambria" w:hAnsi="Cambria" w:cstheme="majorBidi"/>
          <w:sz w:val="20"/>
          <w:szCs w:val="20"/>
          <w:lang w:eastAsia="en-GB"/>
        </w:rPr>
      </w:pPr>
    </w:p>
    <w:p w:rsidR="003A1358" w:rsidRPr="009460DA" w:rsidRDefault="003A1358" w:rsidP="009460DA">
      <w:pPr>
        <w:spacing w:after="0" w:line="240" w:lineRule="auto"/>
        <w:jc w:val="both"/>
        <w:rPr>
          <w:rFonts w:ascii="Cambria" w:hAnsi="Cambria" w:cstheme="majorBidi"/>
          <w:sz w:val="20"/>
          <w:szCs w:val="20"/>
          <w:lang w:eastAsia="en-GB"/>
        </w:rPr>
      </w:pPr>
      <w:r w:rsidRPr="009460DA">
        <w:rPr>
          <w:rFonts w:ascii="Cambria" w:hAnsi="Cambria" w:cstheme="majorBidi"/>
          <w:sz w:val="20"/>
          <w:szCs w:val="20"/>
          <w:lang w:eastAsia="en-GB"/>
        </w:rPr>
        <w:t xml:space="preserve">The finding from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{"citationItems":[{"id":"ITEM-1","itemData":{"DOI":"10.1016/j.heliyon.2020.e04094","ISSN":"24058440","abstract":"The study of HRM and Performance of public service is an extremely relevant theme. Although studies on the HRM-performance link have been well documented, the results were inconclusive. Besides, previous studies have paid little attention to the public service from developing country's context. Drawing on the AMO Model and SET, the present study examined the effect of HRM System on Employee Engagement and Organizational Performance. Likewise, this study tested the intervening effect of Employee Engagement in the HRM-performance link. Using a sample of federal employees (n=340) in government organizations, we tested the hypothesized three-factor model using SEM. The finding of the study shows that there is a positive and significant relationship between HRM, Employee Engagement and Organization Performance. Besides, employee engagement partially mediated the link between HRM and Performance. Concerning the effect of the individual HR practices, the present study revealed a positive and differing effect of HR practices on both engagement and performance although the magnitude effect is smaller than, the combined effect of the HR practices together. Moreover, Autonomy was identified as an important driver of both engagement and performance. This result contributes to the HRM-performance debate. As a final point, the present study incorporates conclusions, implication and future research direction.","author":[{"dropping-particle":"","family":"Tensay","given":"Assefa Tsegay","non-dropping-particle":"","parse-names":false,"suffix":""},{"dropping-particle":"","family":"Singh","given":"Manjit","non-dropping-particle":"","parse-names":false,"suffix":""}],"container-title":"Heliyon","id":"ITEM-1","issue":"6","issued":{"date-parts":[["2020"]]},"page":"e04094","publisher":"Elsevier Ltd","title":"The nexus between HRM, employee engagement and organizational performance of federal public service organizations in Ethiopia","type":"article-journal","volume":"6"},"uris":["http://www.mendeley.com/documents/?uuid=f9cd1a53-bc0b-4ffa-ad98-15c0997cab68"]}],"mendeley":{"formattedCitation":"(Tensay &amp; Singh, 2020)","manualFormatting":"Tensay and Singh (2020)","plainTextFormattedCitation":"(Tensay &amp; Singh, 2020)","previouslyFormattedCitation":"(Tensay &amp; Singh, 2020)"},"properties":{"noteIndex":0},"schema":"https://github.com/citation-style-language/schema/raw/master/csl-citation.json"}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Tensay and Singh (2020)</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also established a connection between HRM practices and organizational performance among public service employees in Ethiopia. Researchers stated that the fundamental services provided to the citizens play a main role in helping the organization to develop HRM as it helps to improve the service quality and satisfaction of customers.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{"citationItems":[{"id":"ITEM-1","itemData":{"DOI":"10.1108/SCM-05-2019-0177","ISSN":"13598546","abstract":"Purpose: This paper aims to investigate the relationships among supply chain management (SCM) implementation, human resource management (HRM) practices and small- and medium-sized enterprises (SMEs) firm performance in Thailand. It further examines whether HRM practices have a mediating effect on such relationship. Design/methodology/approach: A survey instrument was developed based on the literature review which then was verified by SCM expert opinions. Cross-sectional surveys of sample employees of SMEs in Thailand were undertaken by both direct and mail surveys. Of about 779 questionnaires distributed, 203 usable questionnaires were returned. Structural equation modeling (SEM) was performed to analyze the obtained data. Findings: The statistical results reveal that SCM indirectly improves firm performance of small- and medium-sized firms through HRM practices. The latter, HRM practices, is found to fully mediate the impact of SCM implementation on SME firm performance. These results suggest that SCM cannot enhance SME firm performance if its implementation is undertaken without effective HRM practices. Originality/value: This study identified the research gap in SCM areas by recognizing the scarcity of research on SCM in SMEs and by identifying and integrating HRM practices as a significant behavioral support system to SCM implementation in SMEs. Its results reveal that HRM practices fully mediates the impact of SCM on SMEs’ firm performance.","author":[{"dropping-particle":"","family":"Kitchot","given":"Siriwan","non-dropping-particle":"","parse-names":false,"suffix":""},{"dropping-particle":"","family":"Siengthai","given":"Sununta","non-dropping-particle":"","parse-names":false,"suffix":""},{"dropping-particle":"","family":"Sukhotu","given":"Vatcharapol","non-dropping-particle":"","parse-names":false,"suffix":""}],"container-title":"Supply Chain Management","id":"ITEM-1","issue":"1","issued":{"date-parts":[["2021"]]},"page":"87-101","title":"The mediating effects of HRM practices on the relationship between SCM and SMEs firm performance in Thailand","type":"article-journal","volume":"26"},"uris":["http://www.mendeley.com/documents/?uuid=2f77d3c4-3332-4f7e-b251-41c328a50f86"]}],"mendeley":{"formattedCitation":"(Kitchot et al., 2021)","manualFormatting":"Kitchot et al. (2021)","plainTextFormattedCitation":"(Kitchot et al., 2021)","previouslyFormattedCitation":"(Kitchot et al., 2021)"},"properties":{"noteIndex":0},"schema":"https://github.com/citation-style-language/schema/raw/master/csl-citation.json"}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Kitchot et al. (2021)</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also found a direct effect on HRM and firm performance among employees in Thailand. Researchers stated HRM plays a crucial role as a strategic partner in supporting the organization to build the competencies required to execute its plan. However,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{"citationItems":[{"id":"ITEM-1","itemData":{"DOI":"10.22587/ajbas.2019.13.4.5","ISSN":"19918178","author":[{"dropping-particle":"","family":"Akeel","given":"Mohamed Elfadeel Ali","non-dropping-particle":"","parse-names":false,"suffix":""},{"dropping-particle":"","family":"Omar","given":"Roshartini","non-dropping-particle":"","parse-names":false,"suffix":""},{"dropping-particle":"","family":"Masrom","given":"Md Asrul Nasid","non-dropping-particle":"","parse-names":false,"suffix":""}],"container-title":"Australian Journal of Basic and Applied Sciences","id":"ITEM-1","issue":"4","issued":{"date-parts":[["2019"]]},"page":"29-35","title":"Relationship Between Human Resource Management and Organizational Performance: Employee Skills as a Mediator","type":"article-journal","volume":"13"},"uris":["http://www.mendeley.com/documents/?uuid=b138124e-dbe2-4551-a020-76242ce52bce"]}],"mendeley":{"formattedCitation":"(Akeel et al., 2019)","manualFormatting":"Akeel et al. (2019)","plainTextFormattedCitation":"(Akeel et al., 2019)","previouslyFormattedCitation":"(Akeel et al., 2019)"},"properties":{"noteIndex":0},"schema":"https://github.com/citation-style-language/schema/raw/master/csl-citation.json"}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Akeel et al. (2019)</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pointed to a non-significant relationship between HRM practices and organizational performance among employees who worked in Libya’s construction industry.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{"citationItems":[{"id":"ITEM-1","itemData":{"DOI":"10.34104/cjbis.019.01727","ISSN":"2663-7812","abstract":"To keep the economic challenge in Bangladesh fast and active with other financial and non-financial companies, the insurance companies are playing a crucial contribution to our wealth. This economic contribution, no doubt, could be more effective in the economy, if our insurance companies could able to apply HRM philosophy in its all spheres. In true sense, the concept of HRM practices are not widely applied aspects in many insurance companies still in our country due to some pivotal shortcomings. The aim of the study was to identify the present scenario (good/poor) of HRM application in the life insurance companies in our country. The study was limited to 10 life insurance companies in our country comprising all branch offices in Dhaka city. To collect relevant data, a comprehensive questionnaire (Liker Scale) was circulated among 220 respondents. The respondents were officers and branch managers. The most striking results of HRM practice was unsatisfactory/poor in all life insurance companies for the reasons of employees’ absenteeism, employees’ turnover, inadequate training facilities, lack of motivational tools, inadequate welfare facilities, absence of performance rating system, etc. It is recommended that life insurance should keep good HRM practices to minimize their employees’ absenteeism and turnover. Secondly, the companies can arrange adequate training (on-the-job &amp; off-the-job) facilities for their existing employees. Then, life insurance can practice positive motivation, leadership, and adequate welfare facilities for their human resources. Finally, the companies can maintain the performance evaluation system in regular for minimizing their poor HRM practices.","author":[{"dropping-particle":"","family":"Milon","given":"Mohammad","non-dropping-particle":"","parse-names":false,"suffix":""}],"container-title":"Canadian Journal of Business and Information Studies","id":"ITEM-1","issue":"6","issued":{"date-parts":[["2019"]]},"page":"17-27","title":"Present Scenario of Human Resource Management (HRM) Practices in the Life Insurance Companies: Bangladesh Perspective","type":"article-journal","volume":"1"},"uris":["http://www.mendeley.com/documents/?uuid=80b767be-e3a0-4c47-9905-4bf293151902"]}],"mendeley":{"formattedCitation":"(Milon, 2019)","manualFormatting":"Milon (2019)","plainTextFormattedCitation":"(Milon, 2019)","previouslyFormattedCitation":"(Milon, 2019)"},"properties":{"noteIndex":0},"schema":"https://github.com/citation-style-language/schema/raw/master/csl-citation.json"}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Milon (2019)</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stated that poor investment in HRM resulted in unfavorable outcomes among employees. This problem has prevented the organization from operating its business well.</w:t>
      </w:r>
      <w:r w:rsidRPr="009460DA">
        <w:rPr>
          <w:rFonts w:ascii="Cambria" w:hAnsi="Cambria" w:cs="Arial"/>
          <w:b/>
          <w:sz w:val="20"/>
          <w:szCs w:val="20"/>
        </w:rPr>
        <w:t xml:space="preserve"> </w:t>
      </w:r>
      <w:r w:rsidRPr="009460DA">
        <w:rPr>
          <w:rFonts w:ascii="Cambria" w:hAnsi="Cambria" w:cstheme="majorBidi"/>
          <w:sz w:val="20"/>
          <w:szCs w:val="20"/>
          <w:lang w:eastAsia="en-GB"/>
        </w:rPr>
        <w:t xml:space="preserve">Additionally,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{"citationItems":[{"id":"ITEM-1","itemData":{"DOI":"10.3846/BTP.2020.12001","ISSN":"18224202","abstract":"The purpose of this study is to examine the impact of human resource management practices on organizational performance. In this study a total of 100 managers of manufacturing firms in Kosovo from public and private sectors have responded to the survey. The survey questionnaire had contained 39 items covering selected HRM practices and organizational performance. Our empirical results show that managers of manufacturing firms in Kosovo recognize the importance of employees in their organization and apply practices to manage them effectively. The outcome of correlation analysis provides evidence that HRM practices positively and significantly influence organizational performance. Recruitment and selection practices show the strongest positive association with organizational performance (rho = 0.905) compared to other practices. Regarding to our findings we suggest that with a good recruiting and selection, the organization will fill with a group of potentially qualified candidates. Also, companies should continuously train and develop and involve their employees as they are viewed as the most important resources source of competitive advantage.","author":[{"dropping-particle":"","family":"Jashari","given":"Arta","non-dropping-particle":"","parse-names":false,"suffix":""},{"dropping-particle":"","family":"Kutllovci","given":"Enver","non-dropping-particle":"","parse-names":false,"suffix":""}],"container-title":"Business: Theory and Practice","id":"ITEM-1","issue":"1","issued":{"date-parts":[["2020"]]},"page":"222-229","title":"The impact of human resource management practices on organizational performance case study: Manufacturing enterprises in Kosovo","type":"article-journal","volume":"21"},"uris":["http://www.mendeley.com/documents/?uuid=7b9b2e5b-9f5c-4863-8784-7d132432d3ee"]}],"mendeley":{"formattedCitation":"(Jashari &amp; Kutllovci, 2020)","manualFormatting":"Jashari and Kutllovci (2020)","plainTextFormattedCitation":"(Jashari &amp; Kutllovci, 2020)","previouslyFormattedCitation":"(Jashari &amp; Kutllovci, 2020)"},"properties":{"noteIndex":0},"schema":"https://github.com/citation-style-language/schema/raw/master/csl-citation.json"}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Jashari and Kutllovci (2020)</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conducted a study on the manufacturing industry in Kosovo and reported a significant relationship between recruitment and selection practice and organizational performance. Researchers stated that a high level of professionalism shown in the hiring process would make the organization have a greater impact on their performance.</w:t>
      </w:r>
    </w:p>
    <w:p w:rsidR="003A1358" w:rsidRPr="009460DA" w:rsidRDefault="003A1358" w:rsidP="009460DA">
      <w:pPr>
        <w:spacing w:after="0" w:line="240" w:lineRule="auto"/>
        <w:jc w:val="both"/>
        <w:rPr>
          <w:rFonts w:ascii="Cambria" w:hAnsi="Cambria" w:cstheme="majorBidi"/>
          <w:sz w:val="20"/>
          <w:szCs w:val="20"/>
          <w:lang w:eastAsia="en-GB"/>
        </w:rPr>
      </w:pPr>
    </w:p>
    <w:p w:rsidR="003A1358" w:rsidRPr="009460DA" w:rsidRDefault="003A1358" w:rsidP="009460DA">
      <w:pPr>
        <w:spacing w:after="0" w:line="240" w:lineRule="auto"/>
        <w:jc w:val="both"/>
        <w:rPr>
          <w:rFonts w:ascii="Cambria" w:hAnsi="Cambria"/>
          <w:sz w:val="20"/>
          <w:szCs w:val="20"/>
          <w:lang w:eastAsia="en-GB"/>
        </w:rPr>
      </w:pPr>
      <w:r w:rsidRPr="009460DA">
        <w:rPr>
          <w:rFonts w:ascii="Cambria" w:hAnsi="Cambria" w:cstheme="majorBidi"/>
          <w:sz w:val="20"/>
          <w:szCs w:val="20"/>
          <w:lang w:eastAsia="en-GB"/>
        </w:rPr>
        <w:t xml:space="preserve">The findings from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{"citationItems":[{"id":"ITEM-1","itemData":{"DOI":"10.1186/s12913-022-07767-z","ISSN":"14726963","PMID":"35303875","abstract":"Background: Today, due to the complex environment and rapidly changing of health industry, hospitals should optimize their organizational performance to achieve a competitive advantage. One of the important factors for achieving a competitive advantage is effective human resource management through the application of appropriate human resources strategies. This study investigated the relationship between human resources strategies and organizational performance based on balanced scorecard. Methods: A cross-sectional study was conducted among clinical and administrative staff in a public hospital in Isfahan province, Iran. All eligible staff entered the study (n=200). Data were collected using two self-reported questionnaires during July 2018. The main questionnaire contained 32 items that investigated human resources strategies (including seven types of strategies) and organizational performance based on the balanced scorecard approach. Data were analyzed via Pearson correlation coefficient and multivariate regression using SPSS/21 software (P&lt;0.05). Results: In this study, 154 questionnaires were completed and returned (return rate=77%). Human resources strategies and organizational performance were evaluated at the intermediate level. There was a significant positive correlation between human resources strategies and organizational performance (r=0.73, p=0.001). The organizational performance in learning &amp; growth perspective had the highest correlation (r=0.669, p=0.001) with human resources strategies while the financial perspective had the lowest (r=0.455, p=0.001). Multivariate regression analysis showed that all human resources strategies were effective on organizational performance (R=0.998, R2=0.997, ADJ.R2=0.997). Staff training and development strategy (Beta=0. 265, p=0.000), staff compensation &amp; reward strategy (Beta =0.212, p= 0.000) and recruitment strategy (Beta = 0.208, B, P=0.000) had the greatest impact on organizational performance, respectively. Conclusions: To improve hospital performance (especially in non financial perspectives), the development of human resources strategies (especially staff training and development strategy, staff compensation &amp; reward strategy, and compensation strategy) can be considered by hospital managers. The findings of this study can be used for developing hospital performance in a similar context.","author":[{"dropping-particle":"","family":"Nafari","given":"Ebrahim","non-dropping-particle":"","parse-names":false,"suffix":""},{"dropping-particle":"","family":"Rezaei","given":"Behrooz","non-dropping-particle":"","parse-names":false,"suffix":""}],"container-title":"BMC Health Services Research","id":"ITEM-1","issue":"1","issued":{"date-parts":[["2022"]]},"page":"1-9","publisher":"BioMed Central","title":"Relationship between human resources strategies and organizational performance based on the balanced scorecard in a public hospital in Iran: a cross-sectional study","type":"article-journal","volume":"22"},"uris":["http://www.mendeley.com/documents/?uuid=6ec37ad7-ac31-49ef-a90f-144cb0278b9f"]}],"mendeley":{"formattedCitation":"(Nafari &amp; Rezaei, 2022)","manualFormatting":"Nafari and Rezaei (2022)","plainTextFormattedCitation":"(Nafari &amp; Rezaei, 2022)","previouslyFormattedCitation":"(Nafari &amp; Rezaei, 2022)"},"properties":{"noteIndex":0},"schema":"https://github.com/citation-style-language/schema/raw/master/csl-citation.json"}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Nafari and Rezaei (2022)</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also indicated a relationship between recruitment practice and organizational performance among employees who worked in public hospitals in Iran. Researchers stated that implementing appropriate strategies for recruiting employees enables the organization to select qualified specialists. Meanwhile,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{"citationItems":[{"id":"ITEM-1","itemData":{"DOI":"10.9790/487X-1811013441","abstract":"The purpose of this paper is to examine the relationship among the HRM Practices, and Organizational Performance. For this study, a sample of 250 nurses was drawn from the population of 600 nurses using a structured questionnaire from four Leading hospitals in Tiruchirapalli district. The results of Partial Least Square Path Modelling (PLS-PM) have shown that Out of the five HRM practices, Two HRM practices viz., Recruitment and Selection, Training and Development are found to be significant predictors of organizational performance.","author":[{"dropping-particle":"","family":"Hameed","given":"Abdul","non-dropping-particle":"","parse-names":false,"suffix":""},{"dropping-particle":"","family":"Mohamed","given":"Shaik","non-dropping-particle":"","parse-names":false,"suffix":""}],"container-title":"Journal of Business and Management","id":"ITEM-1","issue":"11","issued":{"date-parts":[["2016"]]},"page":"34-41","title":"HRM Practices and Organizational Performance in Hospitals","type":"article-journal","volume":"18"},"uris":["http://www.mendeley.com/documents/?uuid=cee72115-bfc7-4281-bae3-b5839fec644b"]}],"mendeley":{"formattedCitation":"(Hameed &amp; Mohamed, 2016)","manualFormatting":"Hameed and Mohamed (2016)","plainTextFormattedCitation":"(Hameed &amp; Mohamed, 2016)","previouslyFormattedCitation":"(Hameed &amp; Mohamed, 2016)"},"properties":{"noteIndex":0},"schema":"https://github.com/citation-style-language/schema/raw/master/csl-citation.json"}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Hameed and Mohamed (2016)</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signified a connection between recruitment and selection practices in India's private hospitals. Researchers assert that the organization will improve its overall performance by selecting nurses with the necessary skills and characteristics. Despite that,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{"citationItems":[{"id":"ITEM-1","itemData":{"abstract":"… used as well as ethnicity, AIDS, and corruption are the main challenges that Nigeria HR managers face … The general objective of the study was to evaluate the influence of strategic human resource management practices on firm performance of insurance firms in Kenya …","author":[{"dropping-particle":"","family":"Njenga","given":"M W","non-dropping-particle":"","parse-names":false,"suffix":""}],"id":"ITEM-1","issued":{"date-parts":[["2018"]]},"number-of-pages":"1-82","title":"The influence of strategic human resource management practices on firm performance of insurance firms in Kenya","type":"thesis"},"uris":["http://www.mendeley.com/documents/?uuid=09addb0c-0ba2-42f7-91b8-de5534705d48"]}],"mendeley":{"formattedCitation":"(Njenga, 2018)","manualFormatting":"Njenga (2018)","plainTextFormattedCitation":"(Njenga, 2018)","previouslyFormattedCitation":"(Njenga, 2018)"},"properties":{"noteIndex":0},"schema":"https://github.com/citation-style-language/schema/raw/master/csl-citation.json"}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Njenga (2018)</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revealed that recruitment practices and firm performance in the insurance industry in Kenya are not associated. The researcher indicates that the most pressing problem in the recruiting process was deciding the suitable method to employ as it can influence the quality of employees. The finding was also supported by the past study conducted by </w:t>
      </w:r>
      <w:r w:rsidR="00902FB4" w:rsidRPr="009460DA">
        <w:rPr>
          <w:rFonts w:ascii="Cambria" w:hAnsi="Cambria" w:cstheme="majorBidi"/>
          <w:sz w:val="20"/>
          <w:szCs w:val="20"/>
          <w:lang w:eastAsia="en-GB"/>
        </w:rPr>
        <w:fldChar w:fldCharType="begin" w:fldLock="1"/>
      </w:r>
      <w:r w:rsidRPr="009460DA">
        <w:rPr>
          <w:rFonts w:ascii="Cambria" w:hAnsi="Cambria" w:cstheme="majorBidi"/>
          <w:sz w:val="20"/>
          <w:szCs w:val="20"/>
          <w:lang w:eastAsia="en-GB"/>
        </w:rPr>
        <w:instrText>ADDIN CSL_CITATION {"citationItems":[{"id":"ITEM-1","itemData":{"DOI":"10.22161/ijebm.5.1.4","abstract":"The present research studies the impact of human resource management on the performance of government institutions. In a rapidly changing economic environment, characterized by trends such as, globalization, rising demands of investors and customers, along with increasing products in the market competition, the Government institutions continuously try to progress their performance by minimizing expenses, renewing products and procedures, and improving quality in order to compete and continue in the environment. A quantitative research method utilized to analyze the current study. The Sample Size selected for this study is 240 respondents. The findings revealed that all hypotheses were rejected except fifth hypothesis which stated that ''Decentralization is positively associated with organizational performance''. Thus, it was concluded that decentralization have a positive association with the organizational performance.","author":[{"dropping-particle":"","family":"Anwar","given":"Govand","non-dropping-particle":"","parse-names":false,"suffix":""},{"dropping-particle":"","family":"Abdullah","given":"Nabaz Nawzad","non-dropping-particle":"","parse-names":false,"suffix":""}],"container-title":"International Journal of Engineering, Business and Management","id":"ITEM-1","issue":"1","issued":{"date-parts":[["2021"]]},"page":"35-47","title":"The impact of Human resource management practice on Organizational performance","type":"article-journal","volume":"5"},"uris":["http://www.mendeley.com/documents/?uuid=e5b3117f-8ce7-45f1-9654-2fe83dadd53a"]}],"mendeley":{"formattedCitation":"(Anwar &amp; Abdullah, 2021)","manualFormatting":"Anwar and Abdullah (2021)","plainTextFormattedCitation":"(Anwar &amp; Abdullah, 2021)","previouslyFormattedCitation":"(Anwar &amp; Abdullah, 2021)"},"properties":{"noteIndex":0},"schema":"https://github.com/citation-style-language/schema/raw/master/csl-citation.json"}</w:instrText>
      </w:r>
      <w:r w:rsidR="00902FB4" w:rsidRPr="009460DA">
        <w:rPr>
          <w:rFonts w:ascii="Cambria" w:hAnsi="Cambria" w:cstheme="majorBidi"/>
          <w:sz w:val="20"/>
          <w:szCs w:val="20"/>
          <w:lang w:eastAsia="en-GB"/>
        </w:rPr>
        <w:fldChar w:fldCharType="separate"/>
      </w:r>
      <w:r w:rsidRPr="009460DA">
        <w:rPr>
          <w:rFonts w:ascii="Cambria" w:hAnsi="Cambria" w:cstheme="majorBidi"/>
          <w:noProof/>
          <w:sz w:val="20"/>
          <w:szCs w:val="20"/>
          <w:lang w:eastAsia="en-GB"/>
        </w:rPr>
        <w:t>Anwar and Abdullah (2021)</w:t>
      </w:r>
      <w:r w:rsidR="00902FB4" w:rsidRPr="009460DA">
        <w:rPr>
          <w:rFonts w:ascii="Cambria" w:hAnsi="Cambria" w:cstheme="majorBidi"/>
          <w:sz w:val="20"/>
          <w:szCs w:val="20"/>
          <w:lang w:eastAsia="en-GB"/>
        </w:rPr>
        <w:fldChar w:fldCharType="end"/>
      </w:r>
      <w:r w:rsidRPr="009460DA">
        <w:rPr>
          <w:rFonts w:ascii="Cambria" w:hAnsi="Cambria" w:cstheme="majorBidi"/>
          <w:sz w:val="20"/>
          <w:szCs w:val="20"/>
          <w:lang w:eastAsia="en-GB"/>
        </w:rPr>
        <w:t xml:space="preserve"> that signified insignificant results between recruitment practice and organizational performance among employees in Iraq. </w:t>
      </w:r>
      <w:r w:rsidRPr="009460DA">
        <w:rPr>
          <w:rFonts w:ascii="Cambria" w:hAnsi="Cambria"/>
          <w:sz w:val="20"/>
          <w:szCs w:val="20"/>
          <w:lang w:eastAsia="en-GB"/>
        </w:rPr>
        <w:t xml:space="preserve">Apart from that, the research conducted by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{"citationItems":[{"id":"ITEM-1","itemData":{"DOI":"10.20431/2349-0349.0601005","abstract":"Effective performance of any organization deeply depends on the performance of its employees; therefore employee training is something unavoidable in the organization and should not be overlooked or undermined. Drilling companies need well trained, competent and experienced employees to meet their goals and objectives. The purpose of the study was to analyse the impact of employee training on the performance of drilling companies in Geita, Shinyanga and Mara Regions in Tanzania and to provide concrete evidence on the contribution of employee training on performance of drilling companies. The study comprised a sample size of 219 respondents selected using purposive and simple random sampling techniques. Data collection was done through the questionnaire administered to the respondents. Data was analysed using descriptive statistics and results presented using tables. The study results found that employee training has a significant effect on the performance of drilling companies. However, the study results found lack effective training and development policies in drilling companies. The study recommended that there is a need for drilling companies to develop proper and effective training and development policies which will guide their training procedures","author":[{"dropping-particle":"","family":"Samwel","given":"Janes O","non-dropping-particle":"","parse-names":false,"suffix":""}],"container-title":"International Journal of Managerial Studies and Research","id":"ITEM-1","issue":"1","issued":{"date-parts":[["2018"]]},"page":"36-41","title":"Impact of Employee Training on Organizational Performance– Case Study of Drilling Companies in Geita, Shinyanga and Mara Regions in Tanzania","type":"article-journal","volume":"6"},"uris":["http://www.mendeley.com/documents/?uuid=d146c5d3-c440-4bda-9264-3e59e9b25107"]}],"mendeley":{"formattedCitation":"(Samwel, 2018)","manualFormatting":"Samwel (2018)","plainTextFormattedCitation":"(Samwel, 2018)","previouslyFormattedCitation":"(Samwel, 2018)"},"properties":{"noteIndex":0},"schema":"https://github.com/citation-style-language/schema/raw/master/csl-citation.json"}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Samwel (2018)</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documented a significant relationship between training practice and organizational performance among employees in Tanzania.</w:t>
      </w:r>
    </w:p>
    <w:p w:rsidR="003A1358" w:rsidRPr="009460DA" w:rsidRDefault="003A1358" w:rsidP="009460DA">
      <w:pPr>
        <w:spacing w:after="0" w:line="240" w:lineRule="auto"/>
        <w:jc w:val="both"/>
        <w:rPr>
          <w:rFonts w:ascii="Cambria" w:hAnsi="Cambria"/>
          <w:sz w:val="20"/>
          <w:szCs w:val="20"/>
          <w:lang w:eastAsia="en-GB"/>
        </w:rPr>
      </w:pPr>
    </w:p>
    <w:p w:rsidR="003A1358" w:rsidRPr="009460DA" w:rsidRDefault="003A1358" w:rsidP="009460DA">
      <w:pPr>
        <w:spacing w:after="0" w:line="240" w:lineRule="auto"/>
        <w:jc w:val="both"/>
        <w:rPr>
          <w:rFonts w:ascii="Cambria" w:hAnsi="Cambria"/>
          <w:sz w:val="20"/>
          <w:szCs w:val="20"/>
          <w:lang w:eastAsia="en-GB"/>
        </w:rPr>
      </w:pPr>
      <w:r w:rsidRPr="009460DA">
        <w:rPr>
          <w:rFonts w:ascii="Cambria" w:hAnsi="Cambria"/>
          <w:sz w:val="20"/>
          <w:szCs w:val="20"/>
          <w:lang w:eastAsia="en-GB"/>
        </w:rPr>
        <w:t xml:space="preserve">The researcher stated that training and development are essential practices that cultivate employees' specific skills.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{"citationItems":[{"id":"ITEM-1","itemData":{"DOI":"10.33844/ijol.2019.60358","abstract":"Keywords: Corporate Entrepreneurship, Firm Performance, High Performance Human Resource Practices Corporate entrepreneurship (CE) positively affects growth and profitability of organizations by providing competitive advantage over innovation driven technological transformations and intense global competition. CE activities have an elevator role on company performance via adoption of a change-oriented structure and development of new products, processes and services. High performance human resource practices (HPHRPs) help to boost both intra-firm level entrepreneurial behavior, and also organizational outcomes. When combined with the influential effect of corporate entrepreneurship activities, HPHRPs support achievement of better organizational performance. In this study, a selected group of HPHRPs was assessed for their possible direct and indirect effects on firm performance. Moreover, the possible mediation effect of CE activities in this relationship was examined. To test the hypotheses of the study, the data were gathered from a total of 199 manufacturing and service sector companies operating in Turkish business environment. As a result of the structural equation modeling analysis conducted by AMOS, the mediation effect of CE activities between HPHRPs and firm performance was validated within the context of the current study. In addition, the results indicated a varying relationship between different HPHRPs and CE activities. Explicitly, training, clear job description, participation opportunities, employer's employment commitment, reward and performance evaluation practices were found to have distinctive effects on innovation, new business venturing and self renewal activities, which act as mediating variables between the selected HPHRPs and firm performance.","author":[{"dropping-particle":"","family":"Hanci-Donmez","given":"Tugce","non-dropping-particle":"","parse-names":false,"suffix":""},{"dropping-particle":"","family":"Karacay","given":"Gaye","non-dropping-particle":"","parse-names":false,"suffix":""}],"container-title":"International Journal of Organizational Leadership","id":"ITEM-1","issue":"1","issued":{"date-parts":[["2019"]]},"page":"63-77","title":"High-Performance Human Resource Practices and Firm Performance: Mediating Effect of Corporate Entrepreneurship","type":"article-journal","volume":"8"},"uris":["http://www.mendeley.com/documents/?uuid=921cc9ce-4781-40cb-93f6-99d2118c7268"]}],"mendeley":{"formattedCitation":"(Hanci-Donmez &amp; Karacay, 2019)","manualFormatting":"Hanci-Donmez and Karacay (2019)","plainTextFormattedCitation":"(Hanci-Donmez &amp; Karacay, 2019)","previouslyFormattedCitation":"(Hanci-Donmez &amp; Karacay, 2019)"},"properties":{"noteIndex":0},"schema":"https://github.com/citation-style-language/schema/raw/master/csl-citation.json"}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Hanci-Donmez and Karacay (2019)</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also reported that training positively affects employee organizational performance in Turkey. Researchers emphasized that training methods that take a broad view of education can be a basis for building knowledge and abilities to enhance productivity. Besides,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{"citationItems":[{"id":"ITEM-1","itemData":{"abstract":"The study were designed to find out the effect of training on organizational performance of small and medium scale enterprises in Anambra state, Nigeria. The sources of data were through primary sources. The variables were on the performance of manufacturing firms and …","author":[{"dropping-particle":"","family":"Ohanyere","given":"C.P.","non-dropping-particle":"","parse-names":false,"suffix":""},{"dropping-particle":"","family":"Ngige","given":"C.D","non-dropping-particle":"","parse-names":false,"suffix":""},{"dropping-particle":"","family":"Jacobs","given":"C.J","non-dropping-particle":"","parse-names":false,"suffix":""}],"container-title":"International Journal of Management and Entrepreneurship","id":"ITEM-1","issue":"1","issued":{"date-parts":[["2021"]]},"page":"1-9","title":"Effect of Training on Organizational Performance of Small and Medium Scale Enterprises in Anambra State, Nigeria","type":"article-journal","volume":"3"},"uris":["http://www.mendeley.com/documents/?uuid=83d846a5-2d46-46a7-8211-1e64fc5c57fb"]}],"mendeley":{"formattedCitation":"(Ohanyere et al., 2021)","manualFormatting":"Ohanyere et al. (2021)","plainTextFormattedCitation":"(Ohanyere et al., 2021)","previouslyFormattedCitation":"(Ohanyere et al., 2021)"},"properties":{"noteIndex":0},"schema":"https://github.com/citation-style-language/schema/raw/master/csl-citation.json"}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Ohanyere et al. (2021)</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demonstrated the synonymous finding with previous researchers regarding training practices and organizational performance among employees in Nigeria. In contrast, the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{"citationItems":[{"id":"ITEM-1","itemData":{"DOI":"10.1177/09721509211037209","ISSN":"09730664","abstract":"The objective of the present study is to examine the impact of human resource management (HRM) practices on organizational performance. Knowledge management (KM) practices as a moderator in the relationship between HRM practices and organizational performance are studied by developing a conceptual model. Using a structured survey instrument, the data were collected from 979 employees from 10 hospitals in the southern part of India (Tiruchirappalli District of Tamil Nadu). After thoroughly checking the instrument’s measurement properties using the LISREL, hierarchical regression was performed to test the hypotheses. The results support (a) compensation and rewards, performance appraisal and learning culture that are positively and significantly related to organizational performance; (b) recruitment and selection, training and development that are not significantly related to organizational performance; and (c) KM practices that moderate the relationship between (a) training and development and organizational performance, and (b) learning culture and organizational performance. Finally, the implications for HRM and KM are discussed.","author":[{"dropping-particle":"","family":"Parayitam","given":"Satyanarayana","non-dropping-particle":"","parse-names":false,"suffix":""},{"dropping-particle":"","family":"Naina","given":"Shaik Mohamed","non-dropping-particle":"","parse-names":false,"suffix":""},{"dropping-particle":"","family":"Shea","given":"Timothy","non-dropping-particle":"","parse-names":false,"suffix":""},{"dropping-particle":"","family":"Syed Mohideen","given":"Abdul Hameed","non-dropping-particle":"","parse-names":false,"suffix":""},{"dropping-particle":"","family":"Aruldoss","given":"Alex","non-dropping-particle":"","parse-names":false,"suffix":""}],"container-title":"Global Business Review","id":"ITEM-1","issued":{"date-parts":[["2021"]]},"title":"The Relationship Between Human Resource Management Practices, Knowledge Management Practices, and Performance: Evidence from the Healthcare Industry in India","type":"article-journal"},"uris":["http://www.mendeley.com/documents/?uuid=2e489058-4df1-4b48-bf42-0f2a9923f72d"]}],"mendeley":{"formattedCitation":"(Parayitam et al., 2021)","manualFormatting":"Parayitam et al. (2021)","plainTextFormattedCitation":"(Parayitam et al., 2021)","previouslyFormattedCitation":"(Parayitam et al., 2021)"},"properties":{"noteIndex":0},"schema":"https://github.com/citation-style-language/schema/raw/master/csl-citation.json"}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Parayitam et al. (2021)</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finding </w:t>
      </w:r>
      <w:r w:rsidRPr="009460DA">
        <w:rPr>
          <w:rFonts w:ascii="Cambria" w:hAnsi="Cambria"/>
          <w:sz w:val="20"/>
          <w:szCs w:val="20"/>
          <w:lang w:eastAsia="en-GB"/>
        </w:rPr>
        <w:lastRenderedPageBreak/>
        <w:t xml:space="preserve">shows that training and development practice and organizational performance are not connected. Researchers expressed that performance could be hindered if insufficient training and development opportunities exist. Then,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{"citationItems":[{"id":"ITEM-1","itemData":{"DOI":"10.1016/j.ijhm.2020.102513","ISSN":"02784319","abstract":"This study examined the effect of employee compensation on restaurant performance from both short-term and long-term perspectives. The results of this study showed that increasing employee compensation immediately enhances (decreases) restaurant revenue growth (profitability) but decreases (improves) restaurant revenue growth (profitability) after one year. The results suggested that restaurant firms can utilize employee compensation as a management tool to enhance performance in terms of both short-term revenue growth and long-term profitability gains. The results further implied that restaurant firms could consider making small but continuous increases in employee compensation to maintain higher performance outcomes. However, such increases should be implemented with appropriate initiatives to reduce shirking behaviors by overpaid employees.","author":[{"dropping-particle":"","family":"Kim","given":"Hong Soon","non-dropping-particle":"","parse-names":false,"suffix":""},{"dropping-particle":"","family":"Jang","given":"SooCheong (Shawn)","non-dropping-particle":"","parse-names":false,"suffix":""}],"container-title":"International Journal of Hospitality Management","id":"ITEM-1","issued":{"date-parts":[["2020"]]},"page":"1-8","publisher":"Elsevier","title":"The effect of increasing employee compensation on firm performance: Evidence from the restaurant industry","type":"article-journal","volume":"88"},"uris":["http://www.mendeley.com/documents/?uuid=ba94a0be-1452-408b-a2eb-e2b0100d6bf7"]}],"mendeley":{"formattedCitation":"(Kim &amp; Jang, 2020)","manualFormatting":"Kim and Jang (2020)","plainTextFormattedCitation":"(Kim &amp; Jang, 2020)","previouslyFormattedCitation":"(H. S. Kim &amp; Jang, 2020)"},"properties":{"noteIndex":0},"schema":"https://github.com/citation-style-language/schema/raw/master/csl-citation.json"}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Kim and Jang (2020)</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exhibit a positive effect of rewards on organizational performance in the restaurant industry. Researchers stated that a greater reward invested in the employee was associated with improved performance. The equitable remuneration policies conducted in the organization create a good working environment. A study by Nafari and Rezaei (2022) shows a significant relationship between reward practice and organizational performance.</w:t>
      </w:r>
    </w:p>
    <w:p w:rsidR="003A1358" w:rsidRPr="009460DA" w:rsidRDefault="003A1358" w:rsidP="009460DA">
      <w:pPr>
        <w:spacing w:after="0" w:line="240" w:lineRule="auto"/>
        <w:jc w:val="both"/>
        <w:rPr>
          <w:rFonts w:ascii="Cambria" w:hAnsi="Cambria"/>
          <w:sz w:val="20"/>
          <w:szCs w:val="20"/>
          <w:lang w:eastAsia="en-GB"/>
        </w:rPr>
      </w:pPr>
    </w:p>
    <w:p w:rsidR="003A1358" w:rsidRPr="009460DA" w:rsidRDefault="003A1358" w:rsidP="009460DA">
      <w:pPr>
        <w:spacing w:after="0" w:line="240" w:lineRule="auto"/>
        <w:jc w:val="both"/>
        <w:rPr>
          <w:rFonts w:ascii="Cambria" w:hAnsi="Cambria"/>
          <w:sz w:val="20"/>
          <w:szCs w:val="20"/>
          <w:lang w:eastAsia="en-GB"/>
        </w:rPr>
      </w:pPr>
      <w:r w:rsidRPr="009460DA">
        <w:rPr>
          <w:rFonts w:ascii="Cambria" w:hAnsi="Cambria"/>
          <w:sz w:val="20"/>
          <w:szCs w:val="20"/>
          <w:lang w:eastAsia="en-GB"/>
        </w:rPr>
        <w:t>The researcher stated that reward is the second strongest predictor of organizational achievement. Besides, Tensay and Singh (2020) also reported a similar result in the relationship between reward practice and organizational performance. The researcher indicates that the organization's strategic reward can reflect the organizational objectives. Nevertheless, a study by Njenga (2018) shows inconsistent findings, as it reported a non-significant relationship between reward and organizational performance. The incapability of rewarding employees can</w:t>
      </w:r>
      <w:r w:rsidRPr="009460DA">
        <w:rPr>
          <w:rFonts w:ascii="Cambria" w:hAnsi="Cambria"/>
          <w:sz w:val="20"/>
          <w:szCs w:val="20"/>
        </w:rPr>
        <w:t xml:space="preserve"> </w:t>
      </w:r>
      <w:r w:rsidRPr="009460DA">
        <w:rPr>
          <w:rFonts w:ascii="Cambria" w:hAnsi="Cambria"/>
          <w:sz w:val="20"/>
          <w:szCs w:val="20"/>
          <w:lang w:eastAsia="en-GB"/>
        </w:rPr>
        <w:t>lead to lower organizational performance.</w:t>
      </w:r>
      <w:r w:rsidRPr="009460DA">
        <w:rPr>
          <w:rFonts w:ascii="Cambria" w:hAnsi="Cambria" w:cs="Arial"/>
          <w:b/>
          <w:sz w:val="20"/>
          <w:szCs w:val="20"/>
        </w:rPr>
        <w:t xml:space="preserve"> </w:t>
      </w:r>
      <w:r w:rsidRPr="009460DA">
        <w:rPr>
          <w:rFonts w:ascii="Cambria" w:hAnsi="Cambria"/>
          <w:sz w:val="20"/>
          <w:szCs w:val="20"/>
          <w:lang w:eastAsia="en-GB"/>
        </w:rPr>
        <w:t xml:space="preserve">On the other hand,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{"citationItems":[{"id":"ITEM-1","itemData":{"DOI":"10.1504/IJBIR.2020.111768","ISSN":"17510260","abstract":"The aim of this study is to measure the impact of human resource (HR) practices on organisational performance in the context of construction companies. The population consisted of employees at all managerial levels of 16 construction companies in Jordan. From which the data was gathered through a structured questionnaire. In total 228 valid questionnaires were obtained, yielded a response rate of 67%. Multiple regression analysis was used to test the study hypotheses. The results reveal that HR practices have a significant impact on organisational performance in construction companies. Moreover, training and development, as well as performance appraisal, have a significant impact on organisational performance, while the two other practices (recruitment and selection and compensation) did not have a significant impact. The results can be used as a toolkit for revealing the strengths and weaknesses of HR practices and to formulate agile strategies to improve organisational performance.","author":[{"dropping-particle":"","family":"Sweis","given":"Rateb J.","non-dropping-particle":"","parse-names":false,"suffix":""},{"dropping-particle":"","family":"Ogla","given":"Karam","non-dropping-particle":"","parse-names":false,"suffix":""},{"dropping-particle":"","family":"Abdallat","given":"Yousef","non-dropping-particle":"","parse-names":false,"suffix":""},{"dropping-particle":"","family":"Sweis","given":"Ghaleb J.","non-dropping-particle":"","parse-names":false,"suffix":""},{"dropping-particle":"","family":"Suifan","given":"Taghrid","non-dropping-particle":"","parse-names":false,"suffix":""},{"dropping-particle":"","family":"Saleh","given":"Rawan","non-dropping-particle":"","parse-names":false,"suffix":""}],"container-title":"International Journal of Business Innovation and Research","id":"ITEM-1","issue":"4","issued":{"date-parts":[["2020"]]},"page":"421-434","title":"The impact of human resource management practices on organisational performance in construction companies in Jordan","type":"article-journal","volume":"23"},"uris":["http://www.mendeley.com/documents/?uuid=9dab21ed-39c0-4ce9-81a5-0bbe2d6543a5"]}],"mendeley":{"formattedCitation":"(Sweis et al., 2020)","manualFormatting":"Sweis et al. (2020)","plainTextFormattedCitation":"(Sweis et al., 2020)","previouslyFormattedCitation":"(Sweis et al., 2020)"},"properties":{"noteIndex":0},"schema":"https://github.com/citation-style-language/schema/raw/master/csl-citation.json"}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Sweis et al. (2020)</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show a significant relationship between performance appraisal practice and organizational performance. Researchers indicate that performance feedback serves as an indicator for managers and employees to discover performance gaps. This evaluation may assist employees in strengthening their skills to become more competitive in the workplace.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{"citationItems":[{"id":"ITEM-1","itemData":{"DOI":"10.4172/2375-4389.1000241","abstract":"… increase job satisfaction and employee performance and finally result in organizational success [97]. … performance appraisal and organizational performance in the scenario of Iraqi oil and gas companies. The possible reason for these results may be the performance appraisal …","author":[{"dropping-particle":"","family":"Alaraqi","given":"Ali Kadhim","non-dropping-particle":"","parse-names":false,"suffix":""}],"container-title":"Journal of Global Economics","id":"ITEM-1","issue":"01","issued":{"date-parts":[["2017"]]},"page":"1-12","title":"Relationship between SHRM and Organizational Performance among Iraqi Oil Companies","type":"article-journal","volume":"05"},"uris":["http://www.mendeley.com/documents/?uuid=c1996235-8d3b-458f-887e-ae069fb41f68"]}],"mendeley":{"formattedCitation":"(Alaraqi, 2017)","manualFormatting":"Alaraqi (2017)","plainTextFormattedCitation":"(Alaraqi, 2017)","previouslyFormattedCitation":"(Alaraqi, 2017)"},"properties":{"noteIndex":0},"schema":"https://github.com/citation-style-language/schema/raw/master/csl-citation.json"}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Alaraqi (2017)</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found the same findings that performance appraisal practice and organizational performance among oil companies in Iraq had a significant relationship.</w:t>
      </w:r>
    </w:p>
    <w:p w:rsidR="003A1358" w:rsidRPr="009460DA" w:rsidRDefault="003A1358" w:rsidP="009460DA">
      <w:pPr>
        <w:spacing w:after="0" w:line="240" w:lineRule="auto"/>
        <w:jc w:val="both"/>
        <w:rPr>
          <w:rFonts w:ascii="Cambria" w:hAnsi="Cambria"/>
          <w:sz w:val="20"/>
          <w:szCs w:val="20"/>
          <w:lang w:eastAsia="en-GB"/>
        </w:rPr>
      </w:pPr>
    </w:p>
    <w:p w:rsidR="003A1358" w:rsidRPr="009460DA" w:rsidRDefault="003A1358" w:rsidP="009460DA">
      <w:pPr>
        <w:spacing w:after="0" w:line="240" w:lineRule="auto"/>
        <w:jc w:val="both"/>
        <w:rPr>
          <w:rFonts w:ascii="Cambria" w:hAnsi="Cambria"/>
          <w:sz w:val="20"/>
          <w:szCs w:val="20"/>
          <w:lang w:eastAsia="en-GB"/>
        </w:rPr>
      </w:pPr>
      <w:r w:rsidRPr="009460DA">
        <w:rPr>
          <w:rFonts w:ascii="Cambria" w:hAnsi="Cambria"/>
          <w:sz w:val="20"/>
          <w:szCs w:val="20"/>
          <w:lang w:eastAsia="en-GB"/>
        </w:rPr>
        <w:t xml:space="preserve">The researcher mentioned the appraisal system allowed the organization to collect information regarding past and recent performance that can be used to track the progress. However, a study by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{"citationItems":[{"id":"ITEM-1","itemData":{"DOI":"10.9790/487X-1811013441","abstract":"The purpose of this paper is to examine the relationship among the HRM Practices, and Organizational Performance. For this study, a sample of 250 nurses was drawn from the population of 600 nurses using a structured questionnaire from four Leading hospitals in Tiruchirapalli district. The results of Partial Least Square Path Modelling (PLS-PM) have shown that Out of the five HRM practices, Two HRM practices viz., Recruitment and Selection, Training and Development are found to be significant predictors of organizational performance.","author":[{"dropping-particle":"","family":"Hameed","given":"Abdul","non-dropping-particle":"","parse-names":false,"suffix":""},{"dropping-particle":"","family":"Mohamed","given":"Shaik","non-dropping-particle":"","parse-names":false,"suffix":""}],"container-title":"Journal of Business and Management","id":"ITEM-1","issue":"11","issued":{"date-parts":[["2016"]]},"page":"34-41","title":"HRM Practices and Organizational Performance in Hospitals","type":"article-journal","volume":"18"},"uris":["http://www.mendeley.com/documents/?uuid=cee72115-bfc7-4281-bae3-b5839fec644b"]}],"mendeley":{"formattedCitation":"(Hameed &amp; Mohamed, 2016)","manualFormatting":"Hameed and Mohamed (2016)","plainTextFormattedCitation":"(Hameed &amp; Mohamed, 2016)","previouslyFormattedCitation":"(Hameed &amp; Mohamed, 2016)"},"properties":{"noteIndex":0},"schema":"https://github.com/citation-style-language/schema/raw/master/csl-citation.json"}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Hameed and Mohamed (2016)</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demonstrated an insignificant relationship between performance appraisal and organizational performance. The lack of administration in the appraisal system could not enable organizations to enhance performance.</w:t>
      </w:r>
      <w:r w:rsidRPr="009460DA">
        <w:rPr>
          <w:rFonts w:ascii="Cambria" w:hAnsi="Cambria" w:cs="Arial"/>
          <w:b/>
          <w:sz w:val="20"/>
          <w:szCs w:val="20"/>
        </w:rPr>
        <w:t xml:space="preserve"> </w:t>
      </w:r>
      <w:r w:rsidRPr="009460DA">
        <w:rPr>
          <w:rFonts w:ascii="Cambria" w:hAnsi="Cambria"/>
          <w:sz w:val="20"/>
          <w:szCs w:val="20"/>
          <w:lang w:eastAsia="en-GB"/>
        </w:rPr>
        <w:t xml:space="preserve">Additionally, the participation practice significantly influences organizational performance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{"citationItems":[{"id":"ITEM-1","itemData":{"DOI":"10.3846/BTP.2020.12001","ISSN":"18224202","abstract":"The purpose of this study is to examine the impact of human resource management practices on organizational performance. In this study a total of 100 managers of manufacturing firms in Kosovo from public and private sectors have responded to the survey. The survey questionnaire had contained 39 items covering selected HRM practices and organizational performance. Our empirical results show that managers of manufacturing firms in Kosovo recognize the importance of employees in their organization and apply practices to manage them effectively. The outcome of correlation analysis provides evidence that HRM practices positively and significantly influence organizational performance. Recruitment and selection practices show the strongest positive association with organizational performance (rho = 0.905) compared to other practices. Regarding to our findings we suggest that with a good recruiting and selection, the organization will fill with a group of potentially qualified candidates. Also, companies should continuously train and develop and involve their employees as they are viewed as the most important resources source of competitive advantage.","author":[{"dropping-particle":"","family":"Jashari","given":"Arta","non-dropping-particle":"","parse-names":false,"suffix":""},{"dropping-particle":"","family":"Kutllovci","given":"Enver","non-dropping-particle":"","parse-names":false,"suffix":""}],"container-title":"Business: Theory and Practice","id":"ITEM-1","issue":"1","issued":{"date-parts":[["2020"]]},"page":"222-229","title":"The impact of human resource management practices on organizational performance case study: Manufacturing enterprises in Kosovo","type":"article-journal","volume":"21"},"uris":["http://www.mendeley.com/documents/?uuid=7b9b2e5b-9f5c-4863-8784-7d132432d3ee"]}],"mendeley":{"formattedCitation":"(Jashari &amp; Kutllovci, 2020)","plainTextFormattedCitation":"(Jashari &amp; Kutllovci, 2020)","previouslyFormattedCitation":"(Jashari &amp; Kutllovci, 2020)"},"properties":{"noteIndex":0},"schema":"https://github.com/citation-style-language/schema/raw/master/csl-citation.json"}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(Jashari &amp; Kutllovci, 2020)</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Researchers emphasized employees will be more confident and motivated to work if they have the opportunity to be involved in organizational goals and the decision-making process. This indicates that open communication chances offered by the organization can boost employee motivation. The result was aligned with a past study by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{"citationItems":[{"id":"ITEM-1","itemData":{"DOI":"10.1016/j.heliyon.2020.e04094","ISSN":"24058440","abstract":"The study of HRM and Performance of public service is an extremely relevant theme. Although studies on the HRM-performance link have been well documented, the results were inconclusive. Besides, previous studies have paid little attention to the public service from developing country's context. Drawing on the AMO Model and SET, the present study examined the effect of HRM System on Employee Engagement and Organizational Performance. Likewise, this study tested the intervening effect of Employee Engagement in the HRM-performance link. Using a sample of federal employees (n=340) in government organizations, we tested the hypothesized three-factor model using SEM. The finding of the study shows that there is a positive and significant relationship between HRM, Employee Engagement and Organization Performance. Besides, employee engagement partially mediated the link between HRM and Performance. Concerning the effect of the individual HR practices, the present study revealed a positive and differing effect of HR practices on both engagement and performance although the magnitude effect is smaller than, the combined effect of the HR practices together. Moreover, Autonomy was identified as an important driver of both engagement and performance. This result contributes to the HRM-performance debate. As a final point, the present study incorporates conclusions, implication and future research direction.","author":[{"dropping-particle":"","family":"Tensay","given":"Assefa Tsegay","non-dropping-particle":"","parse-names":false,"suffix":""},{"dropping-particle":"","family":"Singh","given":"Manjit","non-dropping-particle":"","parse-names":false,"suffix":""}],"container-title":"Heliyon","id":"ITEM-1","issue":"6","issued":{"date-parts":[["2020"]]},"page":"e04094","publisher":"Elsevier Ltd","title":"The nexus between HRM, employee engagement and organizational performance of federal public service organizations in Ethiopia","type":"article-journal","volume":"6"},"uris":["http://www.mendeley.com/documents/?uuid=f9cd1a53-bc0b-4ffa-ad98-15c0997cab68"]}],"mendeley":{"formattedCitation":"(Tensay &amp; Singh, 2020)","manualFormatting":"Tensay and Singh (2020)","plainTextFormattedCitation":"(Tensay &amp; Singh, 2020)","previouslyFormattedCitation":"(Tensay &amp; Singh, 2020)"},"properties":{"noteIndex":0},"schema":"https://github.com/citation-style-language/schema/raw/master/csl-citation.json"}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Tensay and Singh (2020)</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regarding the relationship between the two variables. Researchers indicate that the opportunity to express thought and feedback allows employees to feel free and can make the organization more likely to succeed. Previous researchers reported the results were not in line with </w:t>
      </w:r>
      <w:r w:rsidR="00902FB4" w:rsidRPr="009460DA">
        <w:rPr>
          <w:rFonts w:ascii="Cambria" w:hAnsi="Cambria"/>
          <w:sz w:val="20"/>
          <w:szCs w:val="20"/>
          <w:lang w:eastAsia="en-GB"/>
        </w:rPr>
        <w:fldChar w:fldCharType="begin" w:fldLock="1"/>
      </w:r>
      <w:r w:rsidRPr="009460DA">
        <w:rPr>
          <w:rFonts w:ascii="Cambria" w:hAnsi="Cambria"/>
          <w:sz w:val="20"/>
          <w:szCs w:val="20"/>
          <w:lang w:eastAsia="en-GB"/>
        </w:rPr>
        <w:instrText>ADDIN CSL_CITATION {"citationItems":[{"id":"ITEM-1","itemData":{"DOI":"10.33844/ijol.2019.60358","abstract":"Keywords: Corporate Entrepreneurship, Firm Performance, High Performance Human Resource Practices Corporate entrepreneurship (CE) positively affects growth and profitability of organizations by providing competitive advantage over innovation driven technological transformations and intense global competition. CE activities have an elevator role on company performance via adoption of a change-oriented structure and development of new products, processes and services. High performance human resource practices (HPHRPs) help to boost both intra-firm level entrepreneurial behavior, and also organizational outcomes. When combined with the influential effect of corporate entrepreneurship activities, HPHRPs support achievement of better organizational performance. In this study, a selected group of HPHRPs was assessed for their possible direct and indirect effects on firm performance. Moreover, the possible mediation effect of CE activities in this relationship was examined. To test the hypotheses of the study, the data were gathered from a total of 199 manufacturing and service sector companies operating in Turkish business environment. As a result of the structural equation modeling analysis conducted by AMOS, the mediation effect of CE activities between HPHRPs and firm performance was validated within the context of the current study. In addition, the results indicated a varying relationship between different HPHRPs and CE activities. Explicitly, training, clear job description, participation opportunities, employer's employment commitment, reward and performance evaluation practices were found to have distinctive effects on innovation, new business venturing and self renewal activities, which act as mediating variables between the selected HPHRPs and firm performance.","author":[{"dropping-particle":"","family":"Hanci-Donmez","given":"Tugce","non-dropping-particle":"","parse-names":false,"suffix":""},{"dropping-particle":"","family":"Karacay","given":"Gaye","non-dropping-particle":"","parse-names":false,"suffix":""}],"container-title":"International Journal of Organizational Leadership","id":"ITEM-1","issue":"1","issued":{"date-parts":[["2019"]]},"page":"63-77","title":"High-Performance Human Resource Practices and Firm Performance: Mediating Effect of Corporate Entrepreneurship","type":"article-journal","volume":"8"},"uris":["http://www.mendeley.com/documents/?uuid=921cc9ce-4781-40cb-93f6-99d2118c7268"]}],"mendeley":{"formattedCitation":"(Hanci-Donmez &amp; Karacay, 2019)","manualFormatting":"Hanci-Donmez and Karacay (2019)","plainTextFormattedCitation":"(Hanci-Donmez &amp; Karacay, 2019)","previouslyFormattedCitation":"(Hanci-Donmez &amp; Karacay, 2019)"},"properties":{"noteIndex":0},"schema":"https://github.com/citation-style-language/schema/raw/master/csl-citation.json"}</w:instrText>
      </w:r>
      <w:r w:rsidR="00902FB4" w:rsidRPr="009460DA">
        <w:rPr>
          <w:rFonts w:ascii="Cambria" w:hAnsi="Cambria"/>
          <w:sz w:val="20"/>
          <w:szCs w:val="20"/>
          <w:lang w:eastAsia="en-GB"/>
        </w:rPr>
        <w:fldChar w:fldCharType="separate"/>
      </w:r>
      <w:r w:rsidRPr="009460DA">
        <w:rPr>
          <w:rFonts w:ascii="Cambria" w:hAnsi="Cambria"/>
          <w:noProof/>
          <w:sz w:val="20"/>
          <w:szCs w:val="20"/>
          <w:lang w:eastAsia="en-GB"/>
        </w:rPr>
        <w:t>Hanci-Donmez and Karacay (2019)</w:t>
      </w:r>
      <w:r w:rsidR="00902FB4" w:rsidRPr="009460DA">
        <w:rPr>
          <w:rFonts w:ascii="Cambria" w:hAnsi="Cambria"/>
          <w:sz w:val="20"/>
          <w:szCs w:val="20"/>
          <w:lang w:eastAsia="en-GB"/>
        </w:rPr>
        <w:fldChar w:fldCharType="end"/>
      </w:r>
      <w:r w:rsidRPr="009460DA">
        <w:rPr>
          <w:rFonts w:ascii="Cambria" w:hAnsi="Cambria"/>
          <w:sz w:val="20"/>
          <w:szCs w:val="20"/>
          <w:lang w:eastAsia="en-GB"/>
        </w:rPr>
        <w:t xml:space="preserve"> as they found that participation is not associated with organizational performance.</w:t>
      </w:r>
    </w:p>
    <w:p w:rsidR="003A1358" w:rsidRPr="009460DA" w:rsidRDefault="003A1358" w:rsidP="009460DA">
      <w:pPr>
        <w:spacing w:after="0" w:line="240" w:lineRule="auto"/>
        <w:jc w:val="both"/>
        <w:rPr>
          <w:rFonts w:ascii="Cambria" w:hAnsi="Cambria"/>
          <w:sz w:val="20"/>
          <w:szCs w:val="20"/>
          <w:lang w:eastAsia="en-GB"/>
        </w:rPr>
      </w:pPr>
    </w:p>
    <w:p w:rsidR="003A1358" w:rsidRPr="009460DA" w:rsidRDefault="00902FB4" w:rsidP="009460DA">
      <w:pPr>
        <w:spacing w:after="0" w:line="240" w:lineRule="auto"/>
        <w:jc w:val="both"/>
        <w:rPr>
          <w:rFonts w:ascii="Cambria" w:hAnsi="Cambria"/>
          <w:sz w:val="20"/>
          <w:szCs w:val="20"/>
          <w:lang w:eastAsia="en-GB"/>
        </w:rPr>
      </w:pPr>
      <w:r w:rsidRPr="009460DA">
        <w:rPr>
          <w:rFonts w:ascii="Cambria" w:hAnsi="Cambria"/>
          <w:sz w:val="20"/>
          <w:szCs w:val="20"/>
          <w:lang w:eastAsia="en-GB"/>
        </w:rPr>
        <w:fldChar w:fldCharType="begin" w:fldLock="1"/>
      </w:r>
      <w:r w:rsidR="003A1358" w:rsidRPr="009460DA">
        <w:rPr>
          <w:rFonts w:ascii="Cambria" w:hAnsi="Cambria"/>
          <w:sz w:val="20"/>
          <w:szCs w:val="20"/>
          <w:lang w:eastAsia="en-GB"/>
        </w:rPr>
        <w:instrText>ADDIN CSL_CITATION {"citationItems":[{"id":"ITEM-1","itemData":{"DOI":"10.1108/ER-01-2019-0079","ISBN":"0120190079","ISSN":"01425455","abstract":"Purpose: Building on organizational support theory and social exchange theory, the purpose of this paper is to study the impact of organizational support on employee performance (EP) in the context of flexible manufacturing. In particular, the authors aimed to investigate the mediating role of employee attitude between organizational support and EP, and the moderating role of organizational justice (OJ). Design/methodology/approach: A total of 180 participants from 36 work teams employed in 7 large automotive manufacturing enterprises in China were surveyed using a questionnaire designed by the authors. Multiple linear regressions were used to test the proposed hypotheses. Findings: The results revealed four new performance indicators of frontline workers in the context of flexible manufacturing: continuous learning, teamwork, problem solving and active work. Organizational support can be divided into reinforcing support and inhibitive support. Reinforcing organizational support has a positive effect on new performance of frontline workers, and a sense of belonging plays a strong mediating role between them. Inhibitive organizational support plays an important role in the sense of awe (SA) of employees, but the SA has no influence on new performance of frontline workers. OJ plays a strong moderating role between organizational support and employee attitudes. Originality/value: This study is one of the first attempts to explore the performance of frontline workers in the context of flexible manufacturing and contributes to the existing literature on the relationship between organizational support and EP.","author":[{"dropping-particle":"","family":"Chen","given":"Taibo","non-dropping-particle":"","parse-names":false,"suffix":""},{"dropping-particle":"","family":"Hao","given":"Shuaikang","non-dropping-particle":"","parse-names":false,"suffix":""},{"dropping-particle":"","family":"Ding","given":"Kaifang","non-dropping-particle":"","parse-names":false,"suffix":""},{"dropping-particle":"","family":"Feng","given":"Xiaodong","non-dropping-particle":"","parse-names":false,"suffix":""},{"dropping-particle":"","family":"Li","given":"Gendao","non-dropping-particle":"","parse-names":false,"suffix":""},{"dropping-particle":"","family":"Liang","given":"Xiao","non-dropping-particle":"","parse-names":false,"suffix":""}],"container-title":"Employee Relations","id":"ITEM-1","issue":"1","issued":{"date-parts":[["2020"]]},"page":"166-179","title":"The impact of organizational support on employee performance","type":"article-journal","volume":"42"},"uris":["http://www.mendeley.com/documents/?uuid=fc0534d2-6ff5-436e-ad3b-757441f6b9db"]}],"mendeley":{"formattedCitation":"(Chen et al., 2020)","manualFormatting":"Chen et al. (2020)","plainTextFormattedCitation":"(Chen et al., 2020)","previouslyFormattedCitation":"(Chen et al., 2020)"},"properties":{"noteIndex":0},"schema":"https://github.com/citation-style-language/schema/raw/master/csl-citation.json"}</w:instrText>
      </w:r>
      <w:r w:rsidRPr="009460DA">
        <w:rPr>
          <w:rFonts w:ascii="Cambria" w:hAnsi="Cambria"/>
          <w:sz w:val="20"/>
          <w:szCs w:val="20"/>
          <w:lang w:eastAsia="en-GB"/>
        </w:rPr>
        <w:fldChar w:fldCharType="separate"/>
      </w:r>
      <w:r w:rsidR="003A1358" w:rsidRPr="009460DA">
        <w:rPr>
          <w:rFonts w:ascii="Cambria" w:hAnsi="Cambria"/>
          <w:noProof/>
          <w:sz w:val="20"/>
          <w:szCs w:val="20"/>
          <w:lang w:eastAsia="en-GB"/>
        </w:rPr>
        <w:t>Chen et al. (2020)</w:t>
      </w:r>
      <w:r w:rsidRPr="009460DA">
        <w:rPr>
          <w:rFonts w:ascii="Cambria" w:hAnsi="Cambria"/>
          <w:sz w:val="20"/>
          <w:szCs w:val="20"/>
          <w:lang w:eastAsia="en-GB"/>
        </w:rPr>
        <w:fldChar w:fldCharType="end"/>
      </w:r>
      <w:r w:rsidR="003A1358" w:rsidRPr="009460DA">
        <w:rPr>
          <w:rFonts w:ascii="Cambria" w:hAnsi="Cambria"/>
          <w:sz w:val="20"/>
          <w:szCs w:val="20"/>
          <w:lang w:eastAsia="en-GB"/>
        </w:rPr>
        <w:t xml:space="preserve"> emphasize that employees lose their sense of ownership when they cannot contribute to achieving organizational goals. It also may result in the employees refraining from contributing their ideas due to the unappreciated behavior shown by the organization.</w:t>
      </w:r>
      <w:r w:rsidR="003A1358" w:rsidRPr="009460DA">
        <w:rPr>
          <w:rFonts w:ascii="Cambria" w:hAnsi="Cambria" w:cs="Arial"/>
          <w:b/>
          <w:sz w:val="20"/>
          <w:szCs w:val="20"/>
        </w:rPr>
        <w:t xml:space="preserve"> </w:t>
      </w:r>
      <w:r w:rsidR="003A1358" w:rsidRPr="009460DA">
        <w:rPr>
          <w:rFonts w:ascii="Cambria" w:hAnsi="Cambria"/>
          <w:sz w:val="20"/>
          <w:szCs w:val="20"/>
          <w:lang w:eastAsia="en-GB"/>
        </w:rPr>
        <w:t>On top of the above explanation, it can be concluded that HRM practices have been the major focus for every organization in ensuring consistent resources that enable others to be more competitive. The discussion regarding HRM practices and organizational performance by previous researchers also indicated that HRM practices are significant in providing positive consequences toward an organization’s success. It shows the understanding of employees on HRM practices enables the organization to develop a positive culture among peers and management. This is due to the organization always prioritizing the positive relationship between employees and the organization to reduce conflict or issues that can affect performance. Therefore, this asserts that HRM can foster the employees’ growth in terms of attitudes, skills and behavior at the workplace. Consequently, this can result in the organization gaining a favorable response concerning its performance.</w:t>
      </w:r>
    </w:p>
    <w:p w:rsidR="003A1358" w:rsidRPr="009460DA" w:rsidRDefault="003A1358" w:rsidP="009460DA">
      <w:pPr>
        <w:spacing w:after="0" w:line="240" w:lineRule="auto"/>
        <w:jc w:val="both"/>
        <w:rPr>
          <w:rFonts w:ascii="Cambria" w:hAnsi="Cambria" w:cs="Arial"/>
          <w:b/>
          <w:sz w:val="20"/>
          <w:szCs w:val="20"/>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cs="Arial"/>
          <w:b/>
          <w:sz w:val="20"/>
          <w:szCs w:val="20"/>
        </w:rPr>
        <w:t>3. Methodology</w:t>
      </w:r>
    </w:p>
    <w:p w:rsidR="003A1358" w:rsidRPr="009460DA" w:rsidRDefault="003A1358" w:rsidP="009460DA">
      <w:pPr>
        <w:spacing w:after="0" w:line="240" w:lineRule="auto"/>
        <w:jc w:val="both"/>
        <w:rPr>
          <w:rFonts w:ascii="Cambria" w:hAnsi="Cambria" w:cs="Arial"/>
          <w:b/>
          <w:sz w:val="20"/>
          <w:szCs w:val="20"/>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cs="Arial"/>
          <w:sz w:val="20"/>
          <w:szCs w:val="20"/>
        </w:rPr>
        <w:t xml:space="preserve">A survey design was used to examine the effect of HRM practices on organizational performance among MSSC employees. The study involved 280 employees from MSSC to answer the questionnaire. Besides, stratified random sampling has been employed in determining the number of samples selected. The instrument adapted from Beijer (2014) consists of 24 items divided into five dimensions to measure HRM practices; recruitment and selection, training and development, reward, performance appraisal, and participation and communication. Meanwhile, 11 items from Yeneneh (2021) have been adapted for organizational </w:t>
      </w:r>
      <w:r w:rsidRPr="009460DA">
        <w:rPr>
          <w:rFonts w:ascii="Cambria" w:hAnsi="Cambria" w:cs="Arial"/>
          <w:sz w:val="20"/>
          <w:szCs w:val="20"/>
        </w:rPr>
        <w:lastRenderedPageBreak/>
        <w:t xml:space="preserve">performance. All the items for HRM practices and organizational performance were based on a five-point Likert scale format ranging from 1 (strongly agree) to 5 (strongly disagree). Additionally, 30 respondents were used for a pilot study. The result shows items of HRM practices and organizational performance are very reliable since the value &gt;0.80 (Hair et al., 2010). The table below shows the interpretation of the Cronbach alpha value of the study. </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cs="Arial"/>
          <w:b/>
          <w:sz w:val="20"/>
          <w:szCs w:val="20"/>
        </w:rPr>
        <w:t>Table 1: Cronbach Alpha Value of HRM Practices and Organizational Performance</w:t>
      </w:r>
    </w:p>
    <w:tbl>
      <w:tblPr>
        <w:tblStyle w:val="TableGrid"/>
        <w:tblW w:w="4868" w:type="pct"/>
        <w:jc w:val="center"/>
        <w:tblInd w:w="145" w:type="dxa"/>
        <w:tblLook w:val="04A0"/>
      </w:tblPr>
      <w:tblGrid>
        <w:gridCol w:w="3960"/>
        <w:gridCol w:w="1367"/>
        <w:gridCol w:w="3996"/>
      </w:tblGrid>
      <w:tr w:rsidR="003A1358" w:rsidRPr="009460DA" w:rsidTr="00BD6B50">
        <w:trPr>
          <w:trHeight w:val="130"/>
          <w:jc w:val="center"/>
        </w:trPr>
        <w:tc>
          <w:tcPr>
            <w:tcW w:w="2124" w:type="pct"/>
            <w:tcBorders>
              <w:top w:val="single" w:sz="2" w:space="0" w:color="auto"/>
              <w:left w:val="nil"/>
              <w:bottom w:val="single" w:sz="2" w:space="0" w:color="auto"/>
              <w:right w:val="nil"/>
            </w:tcBorders>
            <w:vAlign w:val="center"/>
          </w:tcPr>
          <w:p w:rsidR="003A1358" w:rsidRPr="009460DA" w:rsidRDefault="003A1358" w:rsidP="009460DA">
            <w:pPr>
              <w:jc w:val="both"/>
              <w:rPr>
                <w:rFonts w:ascii="Cambria" w:hAnsi="Cambria" w:cs="Arial"/>
                <w:b/>
                <w:bCs/>
                <w:sz w:val="20"/>
                <w:szCs w:val="20"/>
              </w:rPr>
            </w:pPr>
            <w:r w:rsidRPr="009460DA">
              <w:rPr>
                <w:rFonts w:ascii="Cambria" w:hAnsi="Cambria" w:cs="Arial"/>
                <w:b/>
                <w:bCs/>
                <w:sz w:val="20"/>
                <w:szCs w:val="20"/>
              </w:rPr>
              <w:t>Variable</w:t>
            </w:r>
          </w:p>
        </w:tc>
        <w:tc>
          <w:tcPr>
            <w:tcW w:w="733" w:type="pct"/>
            <w:tcBorders>
              <w:top w:val="single" w:sz="2" w:space="0" w:color="auto"/>
              <w:left w:val="nil"/>
              <w:bottom w:val="single" w:sz="2" w:space="0" w:color="auto"/>
              <w:right w:val="nil"/>
            </w:tcBorders>
            <w:vAlign w:val="center"/>
          </w:tcPr>
          <w:p w:rsidR="003A1358" w:rsidRPr="009460DA" w:rsidRDefault="003A1358" w:rsidP="009460DA">
            <w:pPr>
              <w:jc w:val="both"/>
              <w:rPr>
                <w:rFonts w:ascii="Cambria" w:hAnsi="Cambria" w:cs="Arial"/>
                <w:b/>
                <w:bCs/>
                <w:sz w:val="20"/>
                <w:szCs w:val="20"/>
              </w:rPr>
            </w:pPr>
            <w:r w:rsidRPr="009460DA">
              <w:rPr>
                <w:rFonts w:ascii="Cambria" w:hAnsi="Cambria" w:cs="Arial"/>
                <w:b/>
                <w:bCs/>
                <w:sz w:val="20"/>
                <w:szCs w:val="20"/>
              </w:rPr>
              <w:t>N of Items</w:t>
            </w:r>
          </w:p>
        </w:tc>
        <w:tc>
          <w:tcPr>
            <w:tcW w:w="2143" w:type="pct"/>
            <w:tcBorders>
              <w:top w:val="single" w:sz="2" w:space="0" w:color="auto"/>
              <w:left w:val="nil"/>
              <w:bottom w:val="single" w:sz="2" w:space="0" w:color="auto"/>
              <w:right w:val="nil"/>
            </w:tcBorders>
            <w:vAlign w:val="center"/>
          </w:tcPr>
          <w:p w:rsidR="003A1358" w:rsidRPr="009460DA" w:rsidRDefault="003A1358" w:rsidP="009460DA">
            <w:pPr>
              <w:jc w:val="both"/>
              <w:rPr>
                <w:rFonts w:ascii="Cambria" w:hAnsi="Cambria" w:cs="Arial"/>
                <w:b/>
                <w:bCs/>
                <w:sz w:val="20"/>
                <w:szCs w:val="20"/>
              </w:rPr>
            </w:pPr>
            <w:r w:rsidRPr="009460DA">
              <w:rPr>
                <w:rFonts w:ascii="Cambria" w:hAnsi="Cambria" w:cs="Arial"/>
                <w:b/>
                <w:bCs/>
                <w:sz w:val="20"/>
                <w:szCs w:val="20"/>
              </w:rPr>
              <w:t>Cronbach Alpha</w:t>
            </w:r>
          </w:p>
        </w:tc>
      </w:tr>
      <w:tr w:rsidR="003A1358" w:rsidRPr="009460DA" w:rsidTr="00BD6B50">
        <w:trPr>
          <w:trHeight w:val="1950"/>
          <w:jc w:val="center"/>
        </w:trPr>
        <w:tc>
          <w:tcPr>
            <w:tcW w:w="2124" w:type="pct"/>
            <w:tcBorders>
              <w:top w:val="single" w:sz="2" w:space="0" w:color="auto"/>
              <w:left w:val="nil"/>
              <w:bottom w:val="single" w:sz="2" w:space="0" w:color="auto"/>
              <w:right w:val="nil"/>
            </w:tcBorders>
          </w:tcPr>
          <w:p w:rsidR="003A1358" w:rsidRPr="009460DA" w:rsidRDefault="003A1358" w:rsidP="009460DA">
            <w:pPr>
              <w:jc w:val="both"/>
              <w:rPr>
                <w:rFonts w:ascii="Cambria" w:hAnsi="Cambria" w:cs="Arial"/>
                <w:b/>
                <w:sz w:val="20"/>
                <w:szCs w:val="20"/>
              </w:rPr>
            </w:pPr>
            <w:r w:rsidRPr="009460DA">
              <w:rPr>
                <w:rFonts w:ascii="Cambria" w:hAnsi="Cambria" w:cs="Arial"/>
                <w:b/>
                <w:sz w:val="20"/>
                <w:szCs w:val="20"/>
              </w:rPr>
              <w:t>HRM Practices</w:t>
            </w:r>
          </w:p>
          <w:p w:rsidR="003A1358" w:rsidRPr="009460DA" w:rsidRDefault="003A1358" w:rsidP="009460DA">
            <w:pPr>
              <w:pStyle w:val="ListParagraph"/>
              <w:numPr>
                <w:ilvl w:val="0"/>
                <w:numId w:val="40"/>
              </w:numPr>
              <w:ind w:left="0" w:hanging="115"/>
              <w:jc w:val="both"/>
              <w:rPr>
                <w:rFonts w:ascii="Cambria" w:hAnsi="Cambria" w:cs="Arial"/>
                <w:sz w:val="20"/>
                <w:szCs w:val="20"/>
              </w:rPr>
            </w:pPr>
            <w:r w:rsidRPr="009460DA">
              <w:rPr>
                <w:rFonts w:ascii="Cambria" w:hAnsi="Cambria" w:cs="Arial"/>
                <w:sz w:val="20"/>
                <w:szCs w:val="20"/>
              </w:rPr>
              <w:t>Recruitment and selection</w:t>
            </w:r>
          </w:p>
          <w:p w:rsidR="003A1358" w:rsidRPr="009460DA" w:rsidRDefault="003A1358" w:rsidP="009460DA">
            <w:pPr>
              <w:pStyle w:val="ListParagraph"/>
              <w:numPr>
                <w:ilvl w:val="0"/>
                <w:numId w:val="40"/>
              </w:numPr>
              <w:ind w:left="0" w:hanging="115"/>
              <w:jc w:val="both"/>
              <w:rPr>
                <w:rFonts w:ascii="Cambria" w:hAnsi="Cambria" w:cs="Arial"/>
                <w:sz w:val="20"/>
                <w:szCs w:val="20"/>
              </w:rPr>
            </w:pPr>
            <w:r w:rsidRPr="009460DA">
              <w:rPr>
                <w:rFonts w:ascii="Cambria" w:hAnsi="Cambria" w:cs="Arial"/>
                <w:sz w:val="20"/>
                <w:szCs w:val="20"/>
              </w:rPr>
              <w:t>Training and development</w:t>
            </w:r>
          </w:p>
          <w:p w:rsidR="003A1358" w:rsidRPr="009460DA" w:rsidRDefault="003A1358" w:rsidP="009460DA">
            <w:pPr>
              <w:pStyle w:val="ListParagraph"/>
              <w:numPr>
                <w:ilvl w:val="0"/>
                <w:numId w:val="40"/>
              </w:numPr>
              <w:ind w:left="0" w:hanging="115"/>
              <w:jc w:val="both"/>
              <w:rPr>
                <w:rFonts w:ascii="Cambria" w:hAnsi="Cambria" w:cs="Arial"/>
                <w:sz w:val="20"/>
                <w:szCs w:val="20"/>
              </w:rPr>
            </w:pPr>
            <w:r w:rsidRPr="009460DA">
              <w:rPr>
                <w:rFonts w:ascii="Cambria" w:hAnsi="Cambria" w:cs="Arial"/>
                <w:sz w:val="20"/>
                <w:szCs w:val="20"/>
              </w:rPr>
              <w:t>Reward</w:t>
            </w:r>
          </w:p>
          <w:p w:rsidR="003A1358" w:rsidRPr="009460DA" w:rsidRDefault="003A1358" w:rsidP="009460DA">
            <w:pPr>
              <w:pStyle w:val="ListParagraph"/>
              <w:numPr>
                <w:ilvl w:val="0"/>
                <w:numId w:val="40"/>
              </w:numPr>
              <w:ind w:left="0" w:hanging="115"/>
              <w:jc w:val="both"/>
              <w:rPr>
                <w:rFonts w:ascii="Cambria" w:hAnsi="Cambria" w:cs="Arial"/>
                <w:sz w:val="20"/>
                <w:szCs w:val="20"/>
              </w:rPr>
            </w:pPr>
            <w:r w:rsidRPr="009460DA">
              <w:rPr>
                <w:rFonts w:ascii="Cambria" w:hAnsi="Cambria" w:cs="Arial"/>
                <w:sz w:val="20"/>
                <w:szCs w:val="20"/>
              </w:rPr>
              <w:t>Performance appraisal</w:t>
            </w:r>
          </w:p>
          <w:p w:rsidR="003A1358" w:rsidRPr="009460DA" w:rsidRDefault="003A1358" w:rsidP="009460DA">
            <w:pPr>
              <w:pStyle w:val="ListParagraph"/>
              <w:numPr>
                <w:ilvl w:val="0"/>
                <w:numId w:val="40"/>
              </w:numPr>
              <w:ind w:left="0" w:hanging="115"/>
              <w:jc w:val="both"/>
              <w:rPr>
                <w:rFonts w:ascii="Cambria" w:hAnsi="Cambria" w:cs="Arial"/>
                <w:sz w:val="20"/>
                <w:szCs w:val="20"/>
              </w:rPr>
            </w:pPr>
            <w:r w:rsidRPr="009460DA">
              <w:rPr>
                <w:rFonts w:ascii="Cambria" w:hAnsi="Cambria" w:cs="Arial"/>
                <w:sz w:val="20"/>
                <w:szCs w:val="20"/>
              </w:rPr>
              <w:t>Participation and communication</w:t>
            </w:r>
          </w:p>
          <w:p w:rsidR="003A1358" w:rsidRPr="009460DA" w:rsidRDefault="003A1358" w:rsidP="009460DA">
            <w:pPr>
              <w:jc w:val="both"/>
              <w:rPr>
                <w:rFonts w:ascii="Cambria" w:hAnsi="Cambria" w:cs="Arial"/>
                <w:sz w:val="20"/>
                <w:szCs w:val="20"/>
              </w:rPr>
            </w:pPr>
          </w:p>
          <w:p w:rsidR="003A1358" w:rsidRPr="009460DA" w:rsidRDefault="003A1358" w:rsidP="009460DA">
            <w:pPr>
              <w:jc w:val="both"/>
              <w:rPr>
                <w:rFonts w:ascii="Cambria" w:hAnsi="Cambria" w:cs="Arial"/>
                <w:b/>
                <w:sz w:val="20"/>
                <w:szCs w:val="20"/>
              </w:rPr>
            </w:pPr>
            <w:r w:rsidRPr="009460DA">
              <w:rPr>
                <w:rFonts w:ascii="Cambria" w:hAnsi="Cambria" w:cs="Arial"/>
                <w:b/>
                <w:sz w:val="20"/>
                <w:szCs w:val="20"/>
              </w:rPr>
              <w:t>Organizational Performance</w:t>
            </w:r>
          </w:p>
        </w:tc>
        <w:tc>
          <w:tcPr>
            <w:tcW w:w="733" w:type="pct"/>
            <w:tcBorders>
              <w:top w:val="single" w:sz="2" w:space="0" w:color="auto"/>
              <w:left w:val="nil"/>
              <w:bottom w:val="single" w:sz="2" w:space="0" w:color="auto"/>
              <w:right w:val="nil"/>
            </w:tcBorders>
          </w:tcPr>
          <w:p w:rsidR="003A1358" w:rsidRPr="009460DA" w:rsidRDefault="003A1358" w:rsidP="009460DA">
            <w:pPr>
              <w:jc w:val="both"/>
              <w:rPr>
                <w:rFonts w:ascii="Cambria" w:hAnsi="Cambria" w:cs="Arial"/>
                <w:sz w:val="20"/>
                <w:szCs w:val="20"/>
              </w:rPr>
            </w:pP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4</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5</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6</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4</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5</w:t>
            </w:r>
          </w:p>
          <w:p w:rsidR="003A1358" w:rsidRPr="009460DA" w:rsidRDefault="003A1358" w:rsidP="009460DA">
            <w:pPr>
              <w:jc w:val="both"/>
              <w:rPr>
                <w:rFonts w:ascii="Cambria" w:hAnsi="Cambria" w:cs="Arial"/>
                <w:sz w:val="20"/>
                <w:szCs w:val="20"/>
              </w:rPr>
            </w:pP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11</w:t>
            </w:r>
          </w:p>
        </w:tc>
        <w:tc>
          <w:tcPr>
            <w:tcW w:w="2143" w:type="pct"/>
            <w:tcBorders>
              <w:top w:val="single" w:sz="2" w:space="0" w:color="auto"/>
              <w:left w:val="nil"/>
              <w:bottom w:val="single" w:sz="2" w:space="0" w:color="auto"/>
              <w:right w:val="nil"/>
            </w:tcBorders>
          </w:tcPr>
          <w:p w:rsidR="003A1358" w:rsidRPr="009460DA" w:rsidRDefault="003A1358" w:rsidP="009460DA">
            <w:pPr>
              <w:jc w:val="both"/>
              <w:rPr>
                <w:rFonts w:ascii="Cambria" w:hAnsi="Cambria" w:cs="Arial"/>
                <w:sz w:val="20"/>
                <w:szCs w:val="20"/>
              </w:rPr>
            </w:pP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0.845</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0.836</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0.889</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0.857</w:t>
            </w: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0.913</w:t>
            </w:r>
          </w:p>
          <w:p w:rsidR="003A1358" w:rsidRPr="009460DA" w:rsidRDefault="003A1358" w:rsidP="009460DA">
            <w:pPr>
              <w:jc w:val="both"/>
              <w:rPr>
                <w:rFonts w:ascii="Cambria" w:hAnsi="Cambria" w:cs="Arial"/>
                <w:sz w:val="20"/>
                <w:szCs w:val="20"/>
              </w:rPr>
            </w:pPr>
          </w:p>
          <w:p w:rsidR="003A1358" w:rsidRPr="009460DA" w:rsidRDefault="003A1358" w:rsidP="009460DA">
            <w:pPr>
              <w:jc w:val="both"/>
              <w:rPr>
                <w:rFonts w:ascii="Cambria" w:hAnsi="Cambria" w:cs="Arial"/>
                <w:sz w:val="20"/>
                <w:szCs w:val="20"/>
              </w:rPr>
            </w:pPr>
            <w:r w:rsidRPr="009460DA">
              <w:rPr>
                <w:rFonts w:ascii="Cambria" w:hAnsi="Cambria" w:cs="Arial"/>
                <w:sz w:val="20"/>
                <w:szCs w:val="20"/>
              </w:rPr>
              <w:t>0.941</w:t>
            </w:r>
          </w:p>
        </w:tc>
      </w:tr>
    </w:tbl>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cs="Arial"/>
          <w:b/>
          <w:sz w:val="20"/>
          <w:szCs w:val="20"/>
        </w:rPr>
        <w:t>4. Results and Discussion</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cs="Arial"/>
          <w:sz w:val="20"/>
          <w:szCs w:val="20"/>
        </w:rPr>
      </w:pPr>
      <w:r w:rsidRPr="009460DA">
        <w:rPr>
          <w:rFonts w:ascii="Cambria" w:hAnsi="Cambria" w:cs="Arial"/>
          <w:sz w:val="20"/>
          <w:szCs w:val="20"/>
        </w:rPr>
        <w:t>Table 2 below shows the demographic profile of respondents based on gender. A total of 280 MSSC employees consisting of 156 male employees and 124 female employees participated in this study.</w:t>
      </w:r>
    </w:p>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b/>
          <w:sz w:val="20"/>
          <w:szCs w:val="20"/>
        </w:rPr>
      </w:pPr>
      <w:r w:rsidRPr="009460DA">
        <w:rPr>
          <w:rFonts w:ascii="Cambria" w:hAnsi="Cambria" w:cs="Arial"/>
          <w:b/>
          <w:sz w:val="20"/>
          <w:szCs w:val="20"/>
        </w:rPr>
        <w:t>Table 2: Demographic Profile of Respondents</w:t>
      </w:r>
    </w:p>
    <w:tbl>
      <w:tblPr>
        <w:tblStyle w:val="TableGrid"/>
        <w:tblW w:w="4887"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458"/>
        <w:gridCol w:w="2460"/>
        <w:gridCol w:w="2207"/>
      </w:tblGrid>
      <w:tr w:rsidR="003A1358" w:rsidRPr="009460DA" w:rsidTr="00BD6B50">
        <w:trPr>
          <w:trHeight w:val="224"/>
        </w:trPr>
        <w:tc>
          <w:tcPr>
            <w:tcW w:w="1194" w:type="pct"/>
            <w:tcBorders>
              <w:top w:val="single" w:sz="4" w:space="0" w:color="auto"/>
              <w:bottom w:val="single" w:sz="4" w:space="0" w:color="auto"/>
            </w:tcBorders>
          </w:tcPr>
          <w:p w:rsidR="003A1358" w:rsidRPr="009460DA" w:rsidRDefault="003A1358" w:rsidP="009460DA">
            <w:pPr>
              <w:jc w:val="both"/>
              <w:rPr>
                <w:rFonts w:ascii="Cambria" w:hAnsi="Cambria"/>
                <w:b/>
                <w:sz w:val="20"/>
                <w:szCs w:val="20"/>
              </w:rPr>
            </w:pPr>
          </w:p>
        </w:tc>
        <w:tc>
          <w:tcPr>
            <w:tcW w:w="1313" w:type="pct"/>
            <w:tcBorders>
              <w:top w:val="single" w:sz="4" w:space="0" w:color="auto"/>
              <w:bottom w:val="single" w:sz="4" w:space="0" w:color="auto"/>
            </w:tcBorders>
          </w:tcPr>
          <w:p w:rsidR="003A1358" w:rsidRPr="009460DA" w:rsidRDefault="003A1358" w:rsidP="009460DA">
            <w:pPr>
              <w:jc w:val="both"/>
              <w:rPr>
                <w:rFonts w:ascii="Cambria" w:hAnsi="Cambria"/>
                <w:b/>
                <w:sz w:val="20"/>
                <w:szCs w:val="20"/>
              </w:rPr>
            </w:pPr>
          </w:p>
        </w:tc>
        <w:tc>
          <w:tcPr>
            <w:tcW w:w="1314" w:type="pct"/>
            <w:tcBorders>
              <w:top w:val="single" w:sz="4" w:space="0" w:color="auto"/>
              <w:bottom w:val="single" w:sz="4" w:space="0" w:color="auto"/>
            </w:tcBorders>
            <w:vAlign w:val="center"/>
          </w:tcPr>
          <w:p w:rsidR="003A1358" w:rsidRPr="009460DA" w:rsidRDefault="003A1358" w:rsidP="009460DA">
            <w:pPr>
              <w:jc w:val="both"/>
              <w:rPr>
                <w:rFonts w:ascii="Cambria" w:hAnsi="Cambria"/>
                <w:b/>
                <w:sz w:val="20"/>
                <w:szCs w:val="20"/>
              </w:rPr>
            </w:pPr>
            <w:r w:rsidRPr="009460DA">
              <w:rPr>
                <w:rFonts w:ascii="Cambria" w:hAnsi="Cambria"/>
                <w:b/>
                <w:sz w:val="20"/>
                <w:szCs w:val="20"/>
              </w:rPr>
              <w:t>Frequency (f)</w:t>
            </w:r>
          </w:p>
        </w:tc>
        <w:tc>
          <w:tcPr>
            <w:tcW w:w="1179" w:type="pct"/>
            <w:tcBorders>
              <w:top w:val="single" w:sz="4" w:space="0" w:color="auto"/>
              <w:bottom w:val="single" w:sz="4" w:space="0" w:color="auto"/>
            </w:tcBorders>
            <w:vAlign w:val="center"/>
          </w:tcPr>
          <w:p w:rsidR="003A1358" w:rsidRPr="009460DA" w:rsidRDefault="003A1358" w:rsidP="009460DA">
            <w:pPr>
              <w:jc w:val="both"/>
              <w:rPr>
                <w:rFonts w:ascii="Cambria" w:hAnsi="Cambria"/>
                <w:b/>
                <w:sz w:val="20"/>
                <w:szCs w:val="20"/>
              </w:rPr>
            </w:pPr>
            <w:r w:rsidRPr="009460DA">
              <w:rPr>
                <w:rFonts w:ascii="Cambria" w:hAnsi="Cambria"/>
                <w:b/>
                <w:sz w:val="20"/>
                <w:szCs w:val="20"/>
              </w:rPr>
              <w:t>Percent (%)</w:t>
            </w:r>
          </w:p>
        </w:tc>
      </w:tr>
      <w:tr w:rsidR="003A1358" w:rsidRPr="009460DA" w:rsidTr="00BD6B50">
        <w:trPr>
          <w:trHeight w:val="260"/>
        </w:trPr>
        <w:tc>
          <w:tcPr>
            <w:tcW w:w="1194" w:type="pct"/>
            <w:tcBorders>
              <w:top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Gender</w:t>
            </w:r>
          </w:p>
        </w:tc>
        <w:tc>
          <w:tcPr>
            <w:tcW w:w="1313" w:type="pct"/>
            <w:tcBorders>
              <w:top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Male</w:t>
            </w:r>
          </w:p>
        </w:tc>
        <w:tc>
          <w:tcPr>
            <w:tcW w:w="1314" w:type="pct"/>
            <w:tcBorders>
              <w:top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156</w:t>
            </w:r>
          </w:p>
        </w:tc>
        <w:tc>
          <w:tcPr>
            <w:tcW w:w="1179" w:type="pct"/>
            <w:tcBorders>
              <w:top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55.7</w:t>
            </w:r>
          </w:p>
        </w:tc>
      </w:tr>
      <w:tr w:rsidR="003A1358" w:rsidRPr="009460DA" w:rsidTr="00BD6B50">
        <w:trPr>
          <w:trHeight w:val="270"/>
        </w:trPr>
        <w:tc>
          <w:tcPr>
            <w:tcW w:w="1194" w:type="pct"/>
          </w:tcPr>
          <w:p w:rsidR="003A1358" w:rsidRPr="009460DA" w:rsidRDefault="003A1358" w:rsidP="009460DA">
            <w:pPr>
              <w:jc w:val="both"/>
              <w:rPr>
                <w:rFonts w:ascii="Cambria" w:hAnsi="Cambria"/>
                <w:sz w:val="20"/>
                <w:szCs w:val="20"/>
              </w:rPr>
            </w:pPr>
          </w:p>
        </w:tc>
        <w:tc>
          <w:tcPr>
            <w:tcW w:w="1313" w:type="pct"/>
          </w:tcPr>
          <w:p w:rsidR="003A1358" w:rsidRPr="009460DA" w:rsidRDefault="003A1358" w:rsidP="009460DA">
            <w:pPr>
              <w:jc w:val="both"/>
              <w:rPr>
                <w:rFonts w:ascii="Cambria" w:hAnsi="Cambria"/>
                <w:sz w:val="20"/>
                <w:szCs w:val="20"/>
              </w:rPr>
            </w:pPr>
            <w:r w:rsidRPr="009460DA">
              <w:rPr>
                <w:rFonts w:ascii="Cambria" w:hAnsi="Cambria"/>
                <w:sz w:val="20"/>
                <w:szCs w:val="20"/>
              </w:rPr>
              <w:t>Female</w:t>
            </w:r>
          </w:p>
        </w:tc>
        <w:tc>
          <w:tcPr>
            <w:tcW w:w="1314" w:type="pct"/>
          </w:tcPr>
          <w:p w:rsidR="003A1358" w:rsidRPr="009460DA" w:rsidRDefault="003A1358" w:rsidP="009460DA">
            <w:pPr>
              <w:jc w:val="both"/>
              <w:rPr>
                <w:rFonts w:ascii="Cambria" w:hAnsi="Cambria"/>
                <w:sz w:val="20"/>
                <w:szCs w:val="20"/>
              </w:rPr>
            </w:pPr>
            <w:r w:rsidRPr="009460DA">
              <w:rPr>
                <w:rFonts w:ascii="Cambria" w:hAnsi="Cambria"/>
                <w:sz w:val="20"/>
                <w:szCs w:val="20"/>
              </w:rPr>
              <w:t>124</w:t>
            </w:r>
          </w:p>
        </w:tc>
        <w:tc>
          <w:tcPr>
            <w:tcW w:w="1179" w:type="pct"/>
          </w:tcPr>
          <w:p w:rsidR="003A1358" w:rsidRPr="009460DA" w:rsidRDefault="003A1358" w:rsidP="009460DA">
            <w:pPr>
              <w:jc w:val="both"/>
              <w:rPr>
                <w:rFonts w:ascii="Cambria" w:hAnsi="Cambria"/>
                <w:sz w:val="20"/>
                <w:szCs w:val="20"/>
              </w:rPr>
            </w:pPr>
            <w:r w:rsidRPr="009460DA">
              <w:rPr>
                <w:rFonts w:ascii="Cambria" w:hAnsi="Cambria"/>
                <w:sz w:val="20"/>
                <w:szCs w:val="20"/>
              </w:rPr>
              <w:t>44.3</w:t>
            </w:r>
          </w:p>
        </w:tc>
      </w:tr>
      <w:tr w:rsidR="003A1358" w:rsidRPr="009460DA" w:rsidTr="00BD6B50">
        <w:tc>
          <w:tcPr>
            <w:tcW w:w="1194" w:type="pct"/>
            <w:tcBorders>
              <w:bottom w:val="single" w:sz="4" w:space="0" w:color="auto"/>
            </w:tcBorders>
          </w:tcPr>
          <w:p w:rsidR="003A1358" w:rsidRPr="009460DA" w:rsidRDefault="003A1358" w:rsidP="009460DA">
            <w:pPr>
              <w:jc w:val="both"/>
              <w:rPr>
                <w:rFonts w:ascii="Cambria" w:hAnsi="Cambria"/>
                <w:sz w:val="20"/>
                <w:szCs w:val="20"/>
              </w:rPr>
            </w:pPr>
          </w:p>
        </w:tc>
        <w:tc>
          <w:tcPr>
            <w:tcW w:w="1313" w:type="pct"/>
            <w:tcBorders>
              <w:bottom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Total</w:t>
            </w:r>
          </w:p>
        </w:tc>
        <w:tc>
          <w:tcPr>
            <w:tcW w:w="1314" w:type="pct"/>
            <w:tcBorders>
              <w:bottom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280</w:t>
            </w:r>
          </w:p>
        </w:tc>
        <w:tc>
          <w:tcPr>
            <w:tcW w:w="1179" w:type="pct"/>
            <w:tcBorders>
              <w:bottom w:val="single" w:sz="4" w:space="0" w:color="auto"/>
            </w:tcBorders>
          </w:tcPr>
          <w:p w:rsidR="003A1358" w:rsidRPr="009460DA" w:rsidRDefault="003A1358" w:rsidP="009460DA">
            <w:pPr>
              <w:jc w:val="both"/>
              <w:rPr>
                <w:rFonts w:ascii="Cambria" w:hAnsi="Cambria"/>
                <w:sz w:val="20"/>
                <w:szCs w:val="20"/>
              </w:rPr>
            </w:pPr>
            <w:r w:rsidRPr="009460DA">
              <w:rPr>
                <w:rFonts w:ascii="Cambria" w:hAnsi="Cambria"/>
                <w:sz w:val="20"/>
                <w:szCs w:val="20"/>
              </w:rPr>
              <w:t>100.0</w:t>
            </w:r>
          </w:p>
        </w:tc>
      </w:tr>
    </w:tbl>
    <w:p w:rsidR="003A1358" w:rsidRPr="009460DA" w:rsidRDefault="003A1358" w:rsidP="009460DA">
      <w:pPr>
        <w:spacing w:after="0" w:line="240" w:lineRule="auto"/>
        <w:jc w:val="both"/>
        <w:rPr>
          <w:rFonts w:ascii="Cambria" w:hAnsi="Cambria"/>
          <w:sz w:val="20"/>
          <w:szCs w:val="20"/>
        </w:rPr>
      </w:pPr>
    </w:p>
    <w:p w:rsidR="003A1358" w:rsidRPr="009460DA" w:rsidRDefault="003A1358" w:rsidP="009460DA">
      <w:pPr>
        <w:spacing w:after="0" w:line="240" w:lineRule="auto"/>
        <w:jc w:val="both"/>
        <w:rPr>
          <w:rFonts w:ascii="Cambria" w:hAnsi="Cambria"/>
          <w:color w:val="000000"/>
          <w:sz w:val="20"/>
          <w:szCs w:val="20"/>
          <w:lang w:eastAsia="en-MY"/>
        </w:rPr>
      </w:pPr>
      <w:r w:rsidRPr="009460DA">
        <w:rPr>
          <w:rFonts w:ascii="Cambria" w:hAnsi="Cambria"/>
          <w:sz w:val="20"/>
          <w:szCs w:val="20"/>
        </w:rPr>
        <w:t>Based on Table 3, regression analysis shows a significant and direct effect of HRM practices on organizational performance among MSSC employees (</w:t>
      </w:r>
      <w:r w:rsidRPr="009460DA">
        <w:rPr>
          <w:rFonts w:ascii="Cambria" w:hAnsi="Cambria"/>
          <w:color w:val="000000"/>
          <w:sz w:val="20"/>
          <w:szCs w:val="20"/>
        </w:rPr>
        <w:t>β=0.450, p&lt;0.05). This shows when</w:t>
      </w:r>
      <w:r w:rsidRPr="009460DA">
        <w:rPr>
          <w:rFonts w:ascii="Cambria" w:hAnsi="Cambria"/>
          <w:color w:val="000000"/>
          <w:sz w:val="20"/>
          <w:szCs w:val="20"/>
          <w:lang w:eastAsia="en-MY"/>
        </w:rPr>
        <w:t xml:space="preserve"> HRM Practices go up one unit, organizational performance goes up 0.45.</w:t>
      </w:r>
    </w:p>
    <w:p w:rsidR="003A1358" w:rsidRPr="009460DA" w:rsidRDefault="003A1358" w:rsidP="009460DA">
      <w:pPr>
        <w:spacing w:after="0" w:line="240" w:lineRule="auto"/>
        <w:jc w:val="both"/>
        <w:rPr>
          <w:rFonts w:ascii="Cambria" w:hAnsi="Cambria"/>
          <w:color w:val="000000"/>
          <w:sz w:val="20"/>
          <w:szCs w:val="20"/>
          <w:lang w:eastAsia="en-MY"/>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cs="Arial"/>
          <w:b/>
          <w:sz w:val="20"/>
          <w:szCs w:val="20"/>
        </w:rPr>
        <w:t>Table 3: Regression Analysis on HRM Practices and Organizational Performance</w:t>
      </w:r>
    </w:p>
    <w:tbl>
      <w:tblPr>
        <w:tblStyle w:val="TableGrid"/>
        <w:tblW w:w="4916"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66"/>
        <w:gridCol w:w="332"/>
        <w:gridCol w:w="635"/>
        <w:gridCol w:w="1358"/>
        <w:gridCol w:w="1034"/>
        <w:gridCol w:w="746"/>
        <w:gridCol w:w="746"/>
        <w:gridCol w:w="550"/>
        <w:gridCol w:w="1648"/>
      </w:tblGrid>
      <w:tr w:rsidR="003A1358" w:rsidRPr="009460DA" w:rsidTr="00BD6B50">
        <w:trPr>
          <w:jc w:val="center"/>
        </w:trPr>
        <w:tc>
          <w:tcPr>
            <w:tcW w:w="1434" w:type="pct"/>
            <w:gridSpan w:val="2"/>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p>
        </w:tc>
        <w:tc>
          <w:tcPr>
            <w:tcW w:w="337"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p>
        </w:tc>
        <w:tc>
          <w:tcPr>
            <w:tcW w:w="721"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p>
        </w:tc>
        <w:tc>
          <w:tcPr>
            <w:tcW w:w="549"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r w:rsidRPr="009460DA">
              <w:rPr>
                <w:rFonts w:ascii="Cambria" w:hAnsi="Cambria"/>
                <w:b/>
                <w:sz w:val="20"/>
                <w:szCs w:val="20"/>
              </w:rPr>
              <w:t>Estimate (</w:t>
            </w:r>
            <w:r w:rsidRPr="009460DA">
              <w:rPr>
                <w:rFonts w:ascii="Cambria" w:hAnsi="Cambria"/>
                <w:b/>
                <w:color w:val="000000"/>
                <w:sz w:val="20"/>
                <w:szCs w:val="20"/>
              </w:rPr>
              <w:t>β)</w:t>
            </w:r>
          </w:p>
        </w:tc>
        <w:tc>
          <w:tcPr>
            <w:tcW w:w="39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r w:rsidRPr="009460DA">
              <w:rPr>
                <w:rFonts w:ascii="Cambria" w:hAnsi="Cambria"/>
                <w:b/>
                <w:sz w:val="20"/>
                <w:szCs w:val="20"/>
              </w:rPr>
              <w:t>S.E.</w:t>
            </w:r>
          </w:p>
        </w:tc>
        <w:tc>
          <w:tcPr>
            <w:tcW w:w="39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r w:rsidRPr="009460DA">
              <w:rPr>
                <w:rFonts w:ascii="Cambria" w:hAnsi="Cambria"/>
                <w:b/>
                <w:sz w:val="20"/>
                <w:szCs w:val="20"/>
              </w:rPr>
              <w:t>C.R.</w:t>
            </w:r>
          </w:p>
        </w:tc>
        <w:tc>
          <w:tcPr>
            <w:tcW w:w="292"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r w:rsidRPr="009460DA">
              <w:rPr>
                <w:rFonts w:ascii="Cambria" w:hAnsi="Cambria"/>
                <w:b/>
                <w:sz w:val="20"/>
                <w:szCs w:val="20"/>
              </w:rPr>
              <w:t>P</w:t>
            </w:r>
          </w:p>
        </w:tc>
        <w:tc>
          <w:tcPr>
            <w:tcW w:w="87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b/>
                <w:sz w:val="20"/>
                <w:szCs w:val="20"/>
              </w:rPr>
            </w:pPr>
            <w:r w:rsidRPr="009460DA">
              <w:rPr>
                <w:rFonts w:ascii="Cambria" w:hAnsi="Cambria"/>
                <w:b/>
                <w:sz w:val="20"/>
                <w:szCs w:val="20"/>
              </w:rPr>
              <w:t>Result</w:t>
            </w:r>
          </w:p>
        </w:tc>
      </w:tr>
      <w:tr w:rsidR="003A1358" w:rsidRPr="009460DA" w:rsidTr="00BD6B50">
        <w:trPr>
          <w:trHeight w:val="550"/>
          <w:jc w:val="center"/>
        </w:trPr>
        <w:tc>
          <w:tcPr>
            <w:tcW w:w="1257"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Org. Performance</w:t>
            </w:r>
          </w:p>
        </w:tc>
        <w:tc>
          <w:tcPr>
            <w:tcW w:w="514" w:type="pct"/>
            <w:gridSpan w:val="2"/>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color w:val="000000"/>
                <w:sz w:val="20"/>
                <w:szCs w:val="20"/>
                <w:lang w:eastAsia="en-MY"/>
              </w:rPr>
              <w:t>&lt;---</w:t>
            </w:r>
          </w:p>
        </w:tc>
        <w:tc>
          <w:tcPr>
            <w:tcW w:w="721"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HRM Practices</w:t>
            </w:r>
          </w:p>
        </w:tc>
        <w:tc>
          <w:tcPr>
            <w:tcW w:w="549"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0.450</w:t>
            </w:r>
          </w:p>
        </w:tc>
        <w:tc>
          <w:tcPr>
            <w:tcW w:w="39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0.085</w:t>
            </w:r>
          </w:p>
        </w:tc>
        <w:tc>
          <w:tcPr>
            <w:tcW w:w="39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5.311</w:t>
            </w:r>
          </w:p>
        </w:tc>
        <w:tc>
          <w:tcPr>
            <w:tcW w:w="292"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w:t>
            </w:r>
          </w:p>
        </w:tc>
        <w:tc>
          <w:tcPr>
            <w:tcW w:w="876" w:type="pct"/>
            <w:tcBorders>
              <w:top w:val="single" w:sz="4" w:space="0" w:color="auto"/>
              <w:bottom w:val="single" w:sz="4" w:space="0" w:color="auto"/>
            </w:tcBorders>
            <w:vAlign w:val="center"/>
          </w:tcPr>
          <w:p w:rsidR="003A1358" w:rsidRPr="009460DA" w:rsidRDefault="003A1358" w:rsidP="009460DA">
            <w:pPr>
              <w:tabs>
                <w:tab w:val="left" w:pos="2866"/>
              </w:tabs>
              <w:jc w:val="both"/>
              <w:rPr>
                <w:rFonts w:ascii="Cambria" w:hAnsi="Cambria"/>
                <w:sz w:val="20"/>
                <w:szCs w:val="20"/>
              </w:rPr>
            </w:pPr>
            <w:r w:rsidRPr="009460DA">
              <w:rPr>
                <w:rFonts w:ascii="Cambria" w:hAnsi="Cambria"/>
                <w:sz w:val="20"/>
                <w:szCs w:val="20"/>
              </w:rPr>
              <w:t>Significant</w:t>
            </w:r>
          </w:p>
        </w:tc>
      </w:tr>
    </w:tbl>
    <w:p w:rsidR="003A1358" w:rsidRPr="009460DA" w:rsidRDefault="003A1358" w:rsidP="009460DA">
      <w:pPr>
        <w:spacing w:after="0" w:line="240" w:lineRule="auto"/>
        <w:jc w:val="both"/>
        <w:rPr>
          <w:rFonts w:ascii="Cambria" w:hAnsi="Cambria" w:cs="Arial"/>
          <w:sz w:val="20"/>
          <w:szCs w:val="20"/>
        </w:rPr>
      </w:pPr>
    </w:p>
    <w:p w:rsidR="003A1358" w:rsidRPr="009460DA" w:rsidRDefault="003A1358" w:rsidP="009460DA">
      <w:pPr>
        <w:spacing w:after="0" w:line="240" w:lineRule="auto"/>
        <w:jc w:val="both"/>
        <w:rPr>
          <w:rFonts w:ascii="Cambria" w:hAnsi="Cambria"/>
          <w:sz w:val="20"/>
          <w:szCs w:val="20"/>
        </w:rPr>
      </w:pPr>
      <w:r w:rsidRPr="009460DA">
        <w:rPr>
          <w:rFonts w:ascii="Cambria" w:hAnsi="Cambria"/>
          <w:sz w:val="20"/>
          <w:szCs w:val="20"/>
        </w:rPr>
        <w:t xml:space="preserve">This study revealed HRM practices significantly and directly affect organizational performance among MSSC employees (β=0.450, p=***, p&lt;0.05). The analysis demonstrates that for every one-unit increase in HRM practices, there is a corresponding increase of 0.45 in organizational performance. HRM practices influence organizational performance in MSSC because effective HRM practices have created an inclusive and diverse working environment for employees to understand roles and responsibilities to accomplish goals. This means that proficient management in conducting HRM practices may initiate MSSC employees to polish their skills and knowledge, thus leading them to have good morale in achieving organizational goals.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{"citationItems":[{"id":"ITEM-1","itemData":{"DOI":"10.47941/hrlj.319","abstract":"Purpose: The purpose of this study was to determine the effect of green human resource management practices on organizational effectiveness of Universities in Kenya.Methodology: The study employed descriptive research design targeting a study population of ten universities in Kenya. The selected Universities have approximately 400 employees from the HR office, deans of faculties/schools and senior managers. The study used purposive sampling. Therefore the sample size was 120 respondents who were selected from the selected universities. Semi structured questionnaires were used to collect primary data. The data was presented through tables, charts and graphs.  Results: The study revealed that green recruitment and selection, green HR performance management, green training &amp; development and green pay and reward recorded a positive and significant relationship with organizational effectiveness of Universities in Kenya. It is against this back drop that study concluded that during recruitment and selection, the management seeks to employ and recruit staff and personnel that are conversant and ready to apply their skills and expertise to better the ecological surrounding. It was also concluded that the employees recruited are not only left on their own to work out the plan, but are also coached and trained on their specific matters and issues that relate to the environment.  The study concluded that motivation of the staff is instrumental as seen from the study findings, it had a higher relationship compared to the other variables. However, the reward system was not that adequate and satisfactory which was evident by delayed rewards/compensations towards the met green standards to the employees and unclear promotional framework.Unique contribution to theory, practice and policy: The study therefore, recommends that the Universities need to be diverse and timely in their motivational strategies as well as meet their compensation obligations towards the employees. Finally, the study recommends initiation of green stakeholders’ involvement initiatives to help in improving the environment, employee health and safety as well as enlargement of the pool of knowledgeable employees and supervisors. These initiatives need to focus on all-inclusivity that is, the management, employees, the community and the natural environment for better societal development.","author":[{"dropping-particle":"","family":"Kuria","given":"Monicah Wanjiku","non-dropping-particle":"","parse-names":false,"suffix":""},{"dropping-particle":"","family":"Mose","given":"Dr. Thomas","non-dropping-particle":"","parse-names":false,"suffix":""}],"container-title":"Human Resource and Leadership Journal","id":"ITEM-1","issue":"2","issued":{"date-parts":[["2019"]]},"page":"1-20","title":"Effect of Green Human Resource Management Practices on Organizational Effectiveness of Universities in Kenya","type":"article-journal","volume":"4"},"uris":["http://www.mendeley.com/documents/?uuid=f96530e2-4f1f-49fb-8ec2-3219d92ed449"]}],"mendeley":{"formattedCitation":"(Kuria &amp; Mose, 2019)","manualFormatting":"Kuria and Mose (2019)","plainTextFormattedCitation":"(Kuria &amp; Mose, 2019)","previouslyFormattedCitation":"(Kuria &amp; Mose, 2019)"},"properties":{"noteIndex":0},"schema":"https://github.com/citation-style-language/schema/raw/master/csl-citation.json"}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Kuria and Mose (2019)</w:t>
      </w:r>
      <w:r w:rsidR="00902FB4" w:rsidRPr="009460DA">
        <w:rPr>
          <w:rFonts w:ascii="Cambria" w:hAnsi="Cambria"/>
          <w:sz w:val="20"/>
          <w:szCs w:val="20"/>
        </w:rPr>
        <w:fldChar w:fldCharType="end"/>
      </w:r>
      <w:r w:rsidRPr="009460DA">
        <w:rPr>
          <w:rFonts w:ascii="Cambria" w:hAnsi="Cambria"/>
          <w:sz w:val="20"/>
          <w:szCs w:val="20"/>
        </w:rPr>
        <w:t xml:space="preserve"> support that goal achievement depends on the knowledge of the HRM practices implemented in the organization.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{"citationItems":[{"id":"ITEM-1","itemData":{"DOI":"10.1002/pa.2508","ISSN":"14791854","abstract":"In the present business situation during the COVID-19 pandemic, employee engagement has become one of the utmost prominent primacies for human resource managers and practitioners in organizations due to lockdown. The paper is to determine the engagement of employees by various companies during coronavirus pandemic. Organizations nowadays are constantly developing innovative and effective means to engage the employees during this tough time. This paper is a conceptual paper that is based on various research papers, articles, blogs, online newspapers, and reports of World Health Organization. During this pandemic situation, organizations are evolving many engagement activities like online family engagement practices, virtual learning and development, online team building activities, webinars with industry experts, online conduct weekly alignment sessions, team meet-ups over video conference for lunch, short online game sessions, virtual challenges and competitions, online courses, appreciation sessions, communication exercises, live sessions for new-skill training, online counseling sessions, recognition and acknowledgment session, webinars dealing with anxiety and stress, providing online guidance for exercise and meditation, social interactions in a virtual office, classrooms training modules digitally, e-learning modules, and many more creative learning sessions. Work-from-home regime engagement activities are very fruitful for employees as well as for organizations. Those organizations doing these kinds of engagement activities for their employees are learning new skills and developing themselves. Employees are feeling committed to the organization and stay motivated during this tough time of COVID-19 pandemic.","author":[{"dropping-particle":"","family":"Chanana","given":"Nisha","non-dropping-particle":"","parse-names":false,"suffix":""},{"dropping-particle":"","family":"Sangeeta","given":"","non-dropping-particle":"","parse-names":false,"suffix":""}],"container-title":"Journal of Public Affairs","id":"ITEM-1","issue":"4","issued":{"date-parts":[["2021"]]},"page":"1-8","title":"Employee engagement practices during COVID-19 lockdown","type":"article-journal","volume":"21"},"uris":["http://www.mendeley.com/documents/?uuid=cc628c7f-c69c-4402-ae73-fb5f77f48ad8"]}],"mendeley":{"formattedCitation":"(Chanana &amp; Sangeeta, 2021)","manualFormatting":"Chanana and Sangeeta (2021)","plainTextFormattedCitation":"(Chanana &amp; Sangeeta, 2021)","previouslyFormattedCitation":"(Chanana &amp; Sangeeta, 2021)"},"properties":{"noteIndex":0},"schema":"https://github.com/citation-style-language/schema/raw/master/csl-citation.json"}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Chanana and Sangeeta (2021)</w:t>
      </w:r>
      <w:r w:rsidR="00902FB4" w:rsidRPr="009460DA">
        <w:rPr>
          <w:rFonts w:ascii="Cambria" w:hAnsi="Cambria"/>
          <w:sz w:val="20"/>
          <w:szCs w:val="20"/>
        </w:rPr>
        <w:fldChar w:fldCharType="end"/>
      </w:r>
      <w:r w:rsidRPr="009460DA">
        <w:rPr>
          <w:rFonts w:ascii="Cambria" w:hAnsi="Cambria"/>
          <w:sz w:val="20"/>
          <w:szCs w:val="20"/>
        </w:rPr>
        <w:t xml:space="preserve"> also stated an efficient communication strategy in HRM can encourage employees to stay focused on their tasks and meet organizational goals.</w:t>
      </w:r>
    </w:p>
    <w:p w:rsidR="003A1358" w:rsidRPr="009460DA" w:rsidRDefault="003A1358" w:rsidP="009460DA">
      <w:pPr>
        <w:spacing w:after="0" w:line="240" w:lineRule="auto"/>
        <w:jc w:val="both"/>
        <w:rPr>
          <w:rFonts w:ascii="Cambria" w:hAnsi="Cambria"/>
          <w:sz w:val="20"/>
          <w:szCs w:val="20"/>
        </w:rPr>
      </w:pPr>
    </w:p>
    <w:p w:rsidR="003A1358" w:rsidRPr="009460DA" w:rsidRDefault="003A1358" w:rsidP="009460DA">
      <w:pPr>
        <w:spacing w:after="0" w:line="240" w:lineRule="auto"/>
        <w:jc w:val="both"/>
        <w:rPr>
          <w:rFonts w:ascii="Cambria" w:hAnsi="Cambria"/>
          <w:sz w:val="20"/>
          <w:szCs w:val="20"/>
        </w:rPr>
      </w:pPr>
      <w:r w:rsidRPr="009460DA">
        <w:rPr>
          <w:rFonts w:ascii="Cambria" w:hAnsi="Cambria"/>
          <w:sz w:val="20"/>
          <w:szCs w:val="20"/>
        </w:rPr>
        <w:t xml:space="preserve">The result was parallel with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{"citationItems":[{"id":"ITEM-1","itemData":{"DOI":"10.36902/rjsser-vol1-iss2-2020(85-92)","ISSN":"2707-9015","abstract":"The management of human resources is indispensable for each organization, whether public or private including higher educational institutions. Concerning the management of human resources, there are certain globally recognized practices those which are considered as the building blocks for organizational performance and success. Along with this, some other factors are also considered as crucial elements in the success of these organizations. Among these factors, organizational trust is considered as the most critical due to its vital role in reshaping the confidence of the individuals in organizations. The trust of employees has been identified as a critical factor in defining the overall organizational behavior of the workforce. For this purpose, some hypotheses have been developed from the theoretical framework about the relationships between HRM practices (predictors) organizational performance (criterion) and the organizational trust (mediator) which were tested over the statistical tools like correlation, regression, and mediation. This study aimed to explore above-said relationships by taking higher educational institutions under consideration with teachers as respondents in the southern region of Khyber Pakhtunkhwa, Pakistan by providing some valuable recommendations to the higher education management and the future researchers.","author":[{"dropping-particle":"","family":"Ali","given":"Ahmad","non-dropping-particle":"","parse-names":false,"suffix":""},{"dropping-particle":"","family":"Awan","given":"Prof. Dr. Muhammad Zahid","non-dropping-particle":"","parse-names":false,"suffix":""},{"dropping-particle":"","family":"Javed","given":"Dr. Aziz","non-dropping-particle":"","parse-names":false,"suffix":""}],"container-title":"Research Journal of Social Sciences and Economics Review (RJSSER)","id":"ITEM-1","issue":"2","issued":{"date-parts":[["2020"]]},"page":"85-92","title":"Exploring Organizational Trust as Mediator in the Relationship between HRM Practices and Organizational Performance","type":"article-journal","volume":"1"},"uris":["http://www.mendeley.com/documents/?uuid=ba2c2934-682d-40dd-be74-a3c88b180201"]}],"mendeley":{"formattedCitation":"(Ali et al., 2020)","manualFormatting":"Ali et al. (2020)","plainTextFormattedCitation":"(Ali et al., 2020)","previouslyFormattedCitation":"(Ali et al., 2020)"},"properties":{"noteIndex":0},"schema":"https://github.com/citation-style-language/schema/raw/master/csl-citation.json"}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Ali et al. (2020)</w:t>
      </w:r>
      <w:r w:rsidR="00902FB4" w:rsidRPr="009460DA">
        <w:rPr>
          <w:rFonts w:ascii="Cambria" w:hAnsi="Cambria"/>
          <w:sz w:val="20"/>
          <w:szCs w:val="20"/>
        </w:rPr>
        <w:fldChar w:fldCharType="end"/>
      </w:r>
      <w:r w:rsidRPr="009460DA">
        <w:rPr>
          <w:rFonts w:ascii="Cambria" w:hAnsi="Cambria"/>
          <w:sz w:val="20"/>
          <w:szCs w:val="20"/>
        </w:rPr>
        <w:t xml:space="preserve">, indicating a significant result between HRM practices and organizational performance among employees in the southern region of Khyber Pakhtunkhwa, Pakistan. Researchers stated that HRM practices are widely recognized for serving as crucial building blocks that contribute to the overall effectiveness and productivity of the organization.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{"citationItems":[{"id":"ITEM-1","itemData":{"DOI":"10.1177/0266242616637415","ISSN":"17412870","abstract":"This article uses the matched employee–employer dataset from the Workplace Employment Relations Study of 2011 (WERS2011) in Britain to empirically examine the direct relationship between human resource management (HRM) practices and small and medium-sized enterprise (SME) performance in the United Kingdom, as well as the potential moderating effect of organisational commitment/job satisfaction on the HRM-performance linkage. We find a positive and direct relationship between the use of certain formalised human resource (HR) practices and SME performance, measured by financial performance and labour productivity. More importantly, we find that the positive relationship between HR practices and financial performance varies between SMEs with high job satisfaction and low job satisfaction, and that the relationship is weakened in SMEs with high job satisfaction. The results suggest that certain HR policies and practices may improve small firm performance, especially within firms with low levels of commitment and satisfaction.","author":[{"dropping-particle":"","family":"Lai","given":"Yanqing","non-dropping-particle":"","parse-names":false,"suffix":""},{"dropping-particle":"","family":"Saridakis","given":"George","non-dropping-particle":"","parse-names":false,"suffix":""},{"dropping-particle":"","family":"Johnstone","given":"Stewart","non-dropping-particle":"","parse-names":false,"suffix":""}],"container-title":"International Small Business Journal: Researching Entrepreneurship","id":"ITEM-1","issue":"4","issued":{"date-parts":[["2017"]]},"page":"470-494","title":"Human resource practices, employee attitudes and small firm performance","type":"article-journal","volume":"35"},"uris":["http://www.mendeley.com/documents/?uuid=aa793d26-4d13-4d70-88e0-b4abd3004ac2"]}],"mendeley":{"formattedCitation":"(Lai et al., 2017)","manualFormatting":"Lai et al. (2017)","plainTextFormattedCitation":"(Lai et al., 2017)","previouslyFormattedCitation":"(Lai et al., 2017)"},"properties":{"noteIndex":0},"schema":"https://github.com/citation-style-language/schema/raw/master/csl-citation.json"}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Lai et al. (2017)</w:t>
      </w:r>
      <w:r w:rsidR="00902FB4" w:rsidRPr="009460DA">
        <w:rPr>
          <w:rFonts w:ascii="Cambria" w:hAnsi="Cambria"/>
          <w:sz w:val="20"/>
          <w:szCs w:val="20"/>
        </w:rPr>
        <w:fldChar w:fldCharType="end"/>
      </w:r>
      <w:r w:rsidRPr="009460DA">
        <w:rPr>
          <w:rFonts w:ascii="Cambria" w:hAnsi="Cambria"/>
          <w:sz w:val="20"/>
          <w:szCs w:val="20"/>
        </w:rPr>
        <w:t xml:space="preserve"> and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{"citationItems":[{"id":"ITEM-1","itemData":{"DOI":"10.4995/wpom.17243","abstract":"Human resource development practices focus on the specific goals of the organization, about what needs to be done and the change that needs to be applied. The most important and effective ways of human resource development are training and development, employee involvement and professional development. The employees of the organization pointed out. The main purpose of this study was to investigate the effect of using human resources practices on improving organizational performance with regard to the mediating role of transformational leadership style in the electricity industry in Iran. The present study was based on the purpose of an applied research and in terms of method was a descriptive-survey study. A questionnaire was used to collect research data. The statistical population of the present study consisted of senior and middle managers of companies under the Ministry of Energy that were active in the Iranian electricity industry. The number of these people was estimated at 883 in the initial study, and finally, using the Cochran's formula, 268 people were selected as the sample size. After collecting data through a questionnaire, data analysis was performed using structural equation modeling. The results showed that human resource development practices have a positive and significant effect on the organizational performance of the companies under study.Has an effective mediating role. Since transformational leadership style is one of the prerequisites for the development of service organizations, by applying this style of leadership in the organization, as well as implementing effective measures and practices such as training with individual development approach and employee participation, organizational performance can be improved.","author":[{"dropping-particle":"","family":"Shayegan","given":"Shady","non-dropping-particle":"","parse-names":false,"suffix":""},{"dropping-particle":"","family":"Yavari","given":"Neda","non-dropping-particle":"","parse-names":false,"suffix":""},{"dropping-particle":"","family":"Bazrkar","given":"Ardeshir","non-dropping-particle":"","parse-names":false,"suffix":""}],"container-title":"WPOM-Working Papers on Operations Management","id":"ITEM-1","issue":"2","issued":{"date-parts":[["2022"]]},"page":"64-85","title":"Human resource development practices and organizational performance: Examining the mediating role of transformational leadership style","type":"article-journal","volume":"13"},"uris":["http://www.mendeley.com/documents/?uuid=0639a88d-ebb4-4474-8b5a-47dc162ffa35"]}],"mendeley":{"formattedCitation":"(Shayegan et al., 2022)","manualFormatting":"Shayegan et al. (2022)","plainTextFormattedCitation":"(Shayegan et al., 2022)","previouslyFormattedCitation":"(Shayegan et al., 2022)"},"properties":{"noteIndex":0},"schema":"https://github.com/citation-style-language/schema/raw/master/csl-citation.json"}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Shayegan et al. (2022)</w:t>
      </w:r>
      <w:r w:rsidR="00902FB4" w:rsidRPr="009460DA">
        <w:rPr>
          <w:rFonts w:ascii="Cambria" w:hAnsi="Cambria"/>
          <w:sz w:val="20"/>
          <w:szCs w:val="20"/>
        </w:rPr>
        <w:fldChar w:fldCharType="end"/>
      </w:r>
      <w:r w:rsidRPr="009460DA">
        <w:rPr>
          <w:rFonts w:ascii="Cambria" w:hAnsi="Cambria"/>
          <w:sz w:val="20"/>
          <w:szCs w:val="20"/>
        </w:rPr>
        <w:t xml:space="preserve"> also found a significant relationship between HRM and organizational performance among private </w:t>
      </w:r>
      <w:r w:rsidRPr="009460DA">
        <w:rPr>
          <w:rFonts w:ascii="Cambria" w:hAnsi="Cambria"/>
          <w:sz w:val="20"/>
          <w:szCs w:val="20"/>
        </w:rPr>
        <w:lastRenderedPageBreak/>
        <w:t xml:space="preserve">sector employees in the United Kingdom and Iran. The priority in HRM has enabled the organization to produce higher productivity and profitability. According to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{"citationItems":[{"id":"ITEM-1","itemData":{"author":[{"dropping-particle":"","family":"Paderna","given":"Raymond D","non-dropping-particle":"","parse-names":false,"suffix":""},{"dropping-particle":"","family":"Guiveses","given":"Michaela Lorain","non-dropping-particle":"","parse-names":false,"suffix":""},{"dropping-particle":"","family":"Ong","given":"Stephen Jan","non-dropping-particle":"","parse-names":false,"suffix":""},{"dropping-particle":"","family":"Tsai","given":"Joshua Lemuel","non-dropping-particle":"","parse-names":false,"suffix":""}],"id":"ITEM-1","issue":"1","issued":{"date-parts":[["0"]]},"page":"62-79","title":"Improving Employee Experience in a Medium-sized Retail Chain through Quality Human Resource Management Practices : Does Bifurcation Bias in Family Firms Moderate the Nexus ?","type":"article-journal","volume":"9"},"uris":["http://www.mendeley.com/documents/?uuid=4731c2e2-059d-4076-ad32-63d6895a1dea"]}],"mendeley":{"formattedCitation":"(Paderna et al., n.d.)","manualFormatting":"Paderna et al. (2020)","plainTextFormattedCitation":"(Paderna et al., n.d.)","previouslyFormattedCitation":"(Paderna et al., n.d.)"},"properties":{"noteIndex":0},"schema":"https://github.com/citation-style-language/schema/raw/master/csl-citation.json"}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Paderna et al. (2020)</w:t>
      </w:r>
      <w:r w:rsidR="00902FB4" w:rsidRPr="009460DA">
        <w:rPr>
          <w:rFonts w:ascii="Cambria" w:hAnsi="Cambria"/>
          <w:sz w:val="20"/>
          <w:szCs w:val="20"/>
        </w:rPr>
        <w:fldChar w:fldCharType="end"/>
      </w:r>
      <w:r w:rsidRPr="009460DA">
        <w:rPr>
          <w:rFonts w:ascii="Cambria" w:hAnsi="Cambria"/>
          <w:sz w:val="20"/>
          <w:szCs w:val="20"/>
        </w:rPr>
        <w:t>, well-equipped employees with necessary resources like rewards training and development are more likely to contribute to achieving superior outcomes. On the other hand, the finding of past scholars shows HRM practices are not significant in organizational performance perceived by teachers in Saudi Arabia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{"citationItems":[{"id":"ITEM-1","itemData":{"DOI":"10.51659/josi.21-153","ISSN":"20569122","abstract":"The study leads to understanding the relationship between human resources (HR) practices and outcomes to maintain organizational performance (OP) in Saudi Arabia. It concentrates on whether the HR practices quality overcome the quantity or not in the educational sectors. Convenience sampling was used to collect data using google forms based on A structured questionnaire. A total of 759 responses were successfully received and completed. The questionnaire consists of items measuring different aspects of HR practices, employee commitment, and organizational performance. The structural equation modelling (SEM) method used path modelling analysis using Smart Partial Least Squares (PLS) analytical software. The results show a reasonable fit between the data analysed and the proposed research model: SRMR (0.072), CR &gt; 0.7, AVE &gt; 0.5, Cronbach Alpha &gt; 0.7, and VIF &lt; 5. The study reveals that empowerment is a strong predictor of organizational performance than compensation. Moreover, employee commitment (mediate) partially contributes to organizational performance. HR practitioners may collect the employees’ data more regularly to learn if HR practices produce the desired commitment level to produce organizational performance. This study is limited to the Saudi universities and responders who participated in the questionnaire. Future studies should focus on other economic sectors to help generalize the research outcomes and validate the study’s hypothetical model.","author":[{"dropping-particle":"","family":"Akhtar","given":"Nadeem","non-dropping-particle":"","parse-names":false,"suffix":""},{"dropping-particle":"","family":"Mohammad Azeem","given":"Syed","non-dropping-particle":"","parse-names":false,"suffix":""},{"dropping-particle":"","family":"F. Basiouni","given":"Abdullah","non-dropping-particle":"","parse-names":false,"suffix":""},{"dropping-particle":"","family":"Ahmed","given":"Ashfaque","non-dropping-particle":"","parse-names":false,"suffix":""},{"dropping-particle":"","family":"Ban Teoh","given":"Kok","non-dropping-particle":"","parse-names":false,"suffix":""},{"dropping-particle":"","family":"Alvi","given":"Adbulkhaliq","non-dropping-particle":"","parse-names":false,"suffix":""}],"container-title":"Journal of Organisational Studies and Innovation","id":"ITEM-1","issue":"2","issued":{"date-parts":[["2022"]]},"page":"21-37","title":"What motivates the most? Money or Empowerment: Mediating Role of Employee Commitment to Organizational Performance","type":"article-journal","volume":"9"},"uris":["http://www.mendeley.com/documents/?uuid=6995efa6-f007-4a9f-be9d-085ae752f47e"]}],"mendeley":{"formattedCitation":"(Akhtar et al., 2022)","manualFormatting":"Akhtar et al., 2022)","plainTextFormattedCitation":"(Akhtar et al., 2022)","previouslyFormattedCitation":"(Akhtar et al., 2022)"},"properties":{"noteIndex":0},"schema":"https://github.com/citation-style-language/schema/raw/master/csl-citation.json"}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Akhtar et al., 2022)</w:t>
      </w:r>
      <w:r w:rsidR="00902FB4" w:rsidRPr="009460DA">
        <w:rPr>
          <w:rFonts w:ascii="Cambria" w:hAnsi="Cambria"/>
          <w:sz w:val="20"/>
          <w:szCs w:val="20"/>
        </w:rPr>
        <w:fldChar w:fldCharType="end"/>
      </w:r>
      <w:r w:rsidRPr="009460DA">
        <w:rPr>
          <w:rFonts w:ascii="Cambria" w:hAnsi="Cambria"/>
          <w:sz w:val="20"/>
          <w:szCs w:val="20"/>
        </w:rPr>
        <w:t>.</w:t>
      </w:r>
    </w:p>
    <w:p w:rsidR="003A1358" w:rsidRPr="009460DA" w:rsidRDefault="003A1358" w:rsidP="009460DA">
      <w:pPr>
        <w:spacing w:after="0" w:line="240" w:lineRule="auto"/>
        <w:jc w:val="both"/>
        <w:rPr>
          <w:rFonts w:ascii="Cambria" w:hAnsi="Cambria"/>
          <w:sz w:val="20"/>
          <w:szCs w:val="20"/>
        </w:rPr>
      </w:pPr>
    </w:p>
    <w:p w:rsidR="003A1358" w:rsidRPr="009460DA" w:rsidRDefault="003A1358" w:rsidP="009460DA">
      <w:pPr>
        <w:spacing w:after="0" w:line="240" w:lineRule="auto"/>
        <w:jc w:val="both"/>
        <w:rPr>
          <w:rFonts w:ascii="Cambria" w:hAnsi="Cambria"/>
          <w:sz w:val="20"/>
          <w:szCs w:val="20"/>
        </w:rPr>
      </w:pPr>
      <w:r w:rsidRPr="009460DA">
        <w:rPr>
          <w:rFonts w:ascii="Cambria" w:hAnsi="Cambria"/>
          <w:sz w:val="20"/>
          <w:szCs w:val="20"/>
        </w:rPr>
        <w:t>Researchers</w:t>
      </w:r>
      <w:r w:rsidRPr="009460DA">
        <w:rPr>
          <w:rFonts w:ascii="Cambria" w:hAnsi="Cambria"/>
          <w:sz w:val="20"/>
          <w:szCs w:val="20"/>
          <w:lang w:eastAsia="en-MY"/>
        </w:rPr>
        <w:t xml:space="preserve"> demonstrate that neglecting employees’ benefits has made them have few opportunities that are significant to tasks. In this situation, the organization may lose valuable employees that can contribute to organizational performance.</w:t>
      </w:r>
      <w:r w:rsidRPr="009460DA">
        <w:rPr>
          <w:rFonts w:ascii="Cambria" w:hAnsi="Cambria"/>
          <w:sz w:val="20"/>
          <w:szCs w:val="20"/>
        </w:rPr>
        <w:t xml:space="preserve"> </w:t>
      </w:r>
      <w:r w:rsidR="00902FB4" w:rsidRPr="009460DA">
        <w:rPr>
          <w:rFonts w:ascii="Cambria" w:hAnsi="Cambria"/>
          <w:sz w:val="20"/>
          <w:szCs w:val="20"/>
        </w:rPr>
        <w:fldChar w:fldCharType="begin" w:fldLock="1"/>
      </w:r>
      <w:r w:rsidRPr="009460DA">
        <w:rPr>
          <w:rFonts w:ascii="Cambria" w:hAnsi="Cambria"/>
          <w:sz w:val="20"/>
          <w:szCs w:val="20"/>
        </w:rPr>
        <w:instrText>ADDIN CSL_CITATION {"citationItems":[{"id":"ITEM-1","itemData":{"ISSN":"18816096","PMID":"19938691","abstract":"The aim of this paper is to understand the effects of training on the performance of employees from two Lebanese companies - Bonjus Company and Khatib &amp; Alami Company. Currently, organizations rely on improved capability, skills, and knowledge of talented employees to achieve positive performance. Despite employing already experienced employees, human resource managers still design training and development programs to make employees learn and acquire skills, ability, and knowledge about their responsibilities. This is done with the understanding that employees form the backbone of organizations. However, it is still unclear on how Lebanese companies achieve the level of education and training for their employees. The study collected primary data from a sample of 303 respondents. The researcher visited a sample of respondents from their workstations to administer questionnaires. The findings, however, showed that the two companies from Lebanon design different training programs. The two companies design training programs that focuses on short-term skills and development programs for long-term abilities. Some of the programs include organizing programs outside the workplace, attending workshops, participating in department activities, and watching others. Consequently, training programs benefited employees as well as the two companies. Employees cited that they were able to develop inner satisfaction, received positive evaluation feedback, understood how to achieve a quality output, and developed career beyond classwork. Nevertheless, management noted that they experienced challenges of implementing training programs because of fear to spend more resources, communication, bureaucracy, less support from top-level managers, and failure to have structures. The implications of the findings for practice were highlighted.","author":[{"dropping-particle":"","family":"Halawi","given":"Ali","non-dropping-particle":"","parse-names":false,"suffix":""},{"dropping-particle":"","family":"Haydar","given":"Nada","non-dropping-particle":"","parse-names":false,"suffix":""}],"container-title":"International Humanities Studies","id":"ITEM-1","issue":"2","issued":{"date-parts":[["2018"]]},"page":"24-45","title":"Effects of Training on Employee Performance: A Case Study of Bonjus and Khatib &amp; Alami Companies","type":"article-journal","volume":"2"},"uris":["http://www.mendeley.com/documents/?uuid=8c95905e-fbff-404e-9e9d-adc8d3548a27"]}],"mendeley":{"formattedCitation":"(Halawi &amp; Haydar, 2018)","manualFormatting":"Halawi and Haydar (2018)","plainTextFormattedCitation":"(Halawi &amp; Haydar, 2018)","previouslyFormattedCitation":"(Halawi &amp; Haydar, 2018)"},"properties":{"noteIndex":0},"schema":"https://github.com/citation-style-language/schema/raw/master/csl-citation.json"}</w:instrText>
      </w:r>
      <w:r w:rsidR="00902FB4" w:rsidRPr="009460DA">
        <w:rPr>
          <w:rFonts w:ascii="Cambria" w:hAnsi="Cambria"/>
          <w:sz w:val="20"/>
          <w:szCs w:val="20"/>
        </w:rPr>
        <w:fldChar w:fldCharType="separate"/>
      </w:r>
      <w:r w:rsidRPr="009460DA">
        <w:rPr>
          <w:rFonts w:ascii="Cambria" w:hAnsi="Cambria"/>
          <w:noProof/>
          <w:sz w:val="20"/>
          <w:szCs w:val="20"/>
        </w:rPr>
        <w:t>Halawi and Haydar (2018)</w:t>
      </w:r>
      <w:r w:rsidR="00902FB4" w:rsidRPr="009460DA">
        <w:rPr>
          <w:rFonts w:ascii="Cambria" w:hAnsi="Cambria"/>
          <w:sz w:val="20"/>
          <w:szCs w:val="20"/>
        </w:rPr>
        <w:fldChar w:fldCharType="end"/>
      </w:r>
      <w:r w:rsidRPr="009460DA">
        <w:rPr>
          <w:rFonts w:ascii="Cambria" w:hAnsi="Cambria"/>
          <w:sz w:val="20"/>
          <w:szCs w:val="20"/>
        </w:rPr>
        <w:t xml:space="preserve"> support that the misalignment of HR strategies and organizational objectives </w:t>
      </w:r>
      <w:r w:rsidRPr="009460DA">
        <w:rPr>
          <w:rFonts w:ascii="Cambria" w:hAnsi="Cambria"/>
          <w:sz w:val="20"/>
          <w:szCs w:val="20"/>
          <w:lang w:eastAsia="en-MY"/>
        </w:rPr>
        <w:t xml:space="preserve">has made employees have few skills significant to organizational achievement. In turn, employees may have little chance to continue their career paths. </w:t>
      </w:r>
      <w:r w:rsidRPr="009460DA">
        <w:rPr>
          <w:rFonts w:ascii="Cambria" w:hAnsi="Cambria"/>
          <w:sz w:val="20"/>
          <w:szCs w:val="20"/>
        </w:rPr>
        <w:t>The irregular revisiting suggestion will make employees perceive negative commitment within the organization. In conclusion, the organization must prioritize HRM practices as the main guideline for organizational policy in conducting their employees. The organization's role in constructing appropriate strategies can contribute to achieving optimal results. As a result of this study, shows HRM practices conducted by MSSC have provided opportunities for employees to have good relations with the management in achieving their mission and vision. Therefore, the results of past studies can strengthen and support this study’s finding that indicates a significant and direct effect between HRM practices and organizational performance among MSSC employees.</w:t>
      </w:r>
    </w:p>
    <w:p w:rsidR="003A1358" w:rsidRPr="009460DA" w:rsidRDefault="003A1358" w:rsidP="009460DA">
      <w:pPr>
        <w:spacing w:after="0" w:line="240" w:lineRule="auto"/>
        <w:jc w:val="both"/>
        <w:rPr>
          <w:rFonts w:ascii="Cambria" w:hAnsi="Cambria"/>
          <w:sz w:val="20"/>
          <w:szCs w:val="20"/>
        </w:rPr>
      </w:pPr>
    </w:p>
    <w:p w:rsidR="003A1358" w:rsidRPr="009460DA" w:rsidRDefault="003A1358" w:rsidP="009460DA">
      <w:pPr>
        <w:spacing w:after="0" w:line="240" w:lineRule="auto"/>
        <w:jc w:val="both"/>
        <w:rPr>
          <w:rFonts w:ascii="Cambria" w:hAnsi="Cambria" w:cs="Arial"/>
          <w:b/>
          <w:sz w:val="20"/>
          <w:szCs w:val="20"/>
        </w:rPr>
      </w:pPr>
      <w:r w:rsidRPr="009460DA">
        <w:rPr>
          <w:rFonts w:ascii="Cambria" w:hAnsi="Cambria"/>
          <w:b/>
          <w:sz w:val="20"/>
          <w:szCs w:val="20"/>
        </w:rPr>
        <w:t xml:space="preserve">5. </w:t>
      </w:r>
      <w:r w:rsidRPr="009460DA">
        <w:rPr>
          <w:rFonts w:ascii="Cambria" w:hAnsi="Cambria" w:cs="Arial"/>
          <w:b/>
          <w:sz w:val="20"/>
          <w:szCs w:val="20"/>
        </w:rPr>
        <w:t>Conclusion and Recommendations</w:t>
      </w:r>
    </w:p>
    <w:p w:rsidR="003A1358" w:rsidRPr="009460DA" w:rsidRDefault="003A1358" w:rsidP="009460DA">
      <w:pPr>
        <w:spacing w:after="0" w:line="240" w:lineRule="auto"/>
        <w:jc w:val="both"/>
        <w:rPr>
          <w:rFonts w:ascii="Cambria" w:hAnsi="Cambria" w:cs="Arial"/>
          <w:b/>
          <w:sz w:val="20"/>
          <w:szCs w:val="20"/>
        </w:rPr>
      </w:pPr>
    </w:p>
    <w:p w:rsidR="003A1358" w:rsidRPr="009460DA" w:rsidRDefault="003A1358" w:rsidP="009460DA">
      <w:pPr>
        <w:spacing w:after="0" w:line="240" w:lineRule="auto"/>
        <w:jc w:val="both"/>
        <w:rPr>
          <w:rFonts w:ascii="Cambria" w:hAnsi="Cambria"/>
          <w:b/>
          <w:sz w:val="20"/>
          <w:szCs w:val="20"/>
        </w:rPr>
      </w:pPr>
      <w:r w:rsidRPr="009460DA">
        <w:rPr>
          <w:rFonts w:ascii="Cambria" w:hAnsi="Cambria" w:cs="Arial"/>
          <w:sz w:val="20"/>
          <w:szCs w:val="20"/>
        </w:rPr>
        <w:t xml:space="preserve">In conclusion, the study of HRM practices and organizational performance offers valuable insights for employers and employees in public and private organizations. The findings indicate a significant and direct effect of HRM practices and organizational performance among MSSC employees. </w:t>
      </w:r>
      <w:r w:rsidRPr="009460DA">
        <w:rPr>
          <w:rFonts w:ascii="Cambria" w:hAnsi="Cambria" w:cs="Arial"/>
          <w:color w:val="000000" w:themeColor="text1"/>
          <w:sz w:val="20"/>
          <w:szCs w:val="20"/>
        </w:rPr>
        <w:t xml:space="preserve">This shows that </w:t>
      </w:r>
      <w:r w:rsidRPr="009460DA">
        <w:rPr>
          <w:rFonts w:ascii="Cambria" w:hAnsi="Cambria" w:cs="Arial"/>
          <w:sz w:val="20"/>
          <w:szCs w:val="20"/>
        </w:rPr>
        <w:t xml:space="preserve">MSSC employees possess a good understanding of HRM practices implemented by organizations enabling employees to acquire them and perform effectively in their roles. By ensuring the implementation of effective HRM practices, organizations can contribute to organizational success. The result of this study can provide implications to both employers and HR practitioners in public and private organizations in evaluating the application of HRM practices in the organization. They are able to evaluate HRM practices applied in their organization and whether they achieve the standard or not. Besides, the awareness and knowledge received from this study enable employers to ensure the organization follows the standard policy in facilitating the skill enhancement of employees. This study's results also reinforce employers' need to invest highly in organizational processes and strategies to increase organizational performance. Therefore, </w:t>
      </w:r>
      <w:r w:rsidRPr="009460DA">
        <w:rPr>
          <w:rFonts w:ascii="Cambria" w:hAnsi="Cambria"/>
          <w:color w:val="000000"/>
          <w:sz w:val="20"/>
          <w:szCs w:val="20"/>
          <w:lang w:val="en-MY"/>
        </w:rPr>
        <w:t xml:space="preserve">future researchers may extend the study sample to other sports organizations or other public and private organizations in measuring HRM practices, organizational commitment, and organizational performance </w:t>
      </w:r>
      <w:r w:rsidRPr="009460DA">
        <w:rPr>
          <w:rFonts w:ascii="Cambria" w:hAnsi="Cambria" w:cs="Arial"/>
          <w:sz w:val="20"/>
          <w:szCs w:val="20"/>
        </w:rPr>
        <w:t>as this study only examines the employees’ perception of the Malaysian State Sports Council.</w:t>
      </w:r>
    </w:p>
    <w:p w:rsidR="003A1358" w:rsidRPr="009460DA" w:rsidRDefault="003A1358" w:rsidP="009460DA">
      <w:pPr>
        <w:spacing w:after="0" w:line="240" w:lineRule="auto"/>
        <w:jc w:val="both"/>
        <w:rPr>
          <w:rFonts w:ascii="Cambria" w:hAnsi="Cambria"/>
          <w:b/>
          <w:sz w:val="20"/>
          <w:szCs w:val="20"/>
        </w:rPr>
      </w:pPr>
    </w:p>
    <w:p w:rsidR="003A1358" w:rsidRPr="009460DA" w:rsidRDefault="003A1358" w:rsidP="009460DA">
      <w:pPr>
        <w:spacing w:after="0" w:line="240" w:lineRule="auto"/>
        <w:jc w:val="both"/>
        <w:rPr>
          <w:rFonts w:ascii="Cambria" w:hAnsi="Cambria"/>
          <w:b/>
          <w:sz w:val="20"/>
          <w:szCs w:val="20"/>
        </w:rPr>
      </w:pPr>
      <w:r w:rsidRPr="009460DA">
        <w:rPr>
          <w:rFonts w:ascii="Cambria" w:hAnsi="Cambria" w:cs="Arial"/>
          <w:b/>
          <w:sz w:val="20"/>
          <w:szCs w:val="20"/>
        </w:rPr>
        <w:t>References</w:t>
      </w:r>
    </w:p>
    <w:p w:rsidR="003A1358" w:rsidRPr="009460DA" w:rsidRDefault="003A1358" w:rsidP="009460DA">
      <w:pPr>
        <w:spacing w:after="0" w:line="240" w:lineRule="auto"/>
        <w:jc w:val="both"/>
        <w:rPr>
          <w:rFonts w:ascii="Cambria" w:hAnsi="Cambria" w:cs="Arial"/>
          <w:b/>
          <w:sz w:val="20"/>
          <w:szCs w:val="20"/>
        </w:rPr>
      </w:pPr>
    </w:p>
    <w:p w:rsidR="003A1358" w:rsidRPr="009460DA" w:rsidRDefault="00902FB4"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cs="Arial"/>
          <w:b/>
          <w:sz w:val="20"/>
          <w:szCs w:val="20"/>
        </w:rPr>
        <w:fldChar w:fldCharType="begin" w:fldLock="1"/>
      </w:r>
      <w:r w:rsidR="003A1358" w:rsidRPr="009460DA">
        <w:rPr>
          <w:rFonts w:ascii="Cambria" w:hAnsi="Cambria" w:cs="Arial"/>
          <w:b/>
          <w:sz w:val="20"/>
          <w:szCs w:val="20"/>
        </w:rPr>
        <w:instrText xml:space="preserve">ADDIN Mendeley Bibliography CSL_BIBLIOGRAPHY </w:instrText>
      </w:r>
      <w:r w:rsidRPr="009460DA">
        <w:rPr>
          <w:rFonts w:ascii="Cambria" w:hAnsi="Cambria" w:cs="Arial"/>
          <w:b/>
          <w:sz w:val="20"/>
          <w:szCs w:val="20"/>
        </w:rPr>
        <w:fldChar w:fldCharType="separate"/>
      </w:r>
      <w:r w:rsidR="003A1358" w:rsidRPr="009460DA">
        <w:rPr>
          <w:rFonts w:ascii="Cambria" w:hAnsi="Cambria"/>
          <w:noProof/>
          <w:sz w:val="20"/>
          <w:szCs w:val="20"/>
        </w:rPr>
        <w:t xml:space="preserve">Abualoush, S., Masa’deh, R., Bataineh, K. &amp; Alrowwad, A. (2018). The role of knowledge management process and intellectual capital as intermediary variables between knowledge management infrastructure and organization performance. </w:t>
      </w:r>
      <w:r w:rsidR="003A1358" w:rsidRPr="009460DA">
        <w:rPr>
          <w:rFonts w:ascii="Cambria" w:hAnsi="Cambria"/>
          <w:i/>
          <w:iCs/>
          <w:noProof/>
          <w:sz w:val="20"/>
          <w:szCs w:val="20"/>
        </w:rPr>
        <w:t>Interdisciplinary Journal of Information, Knowledge, and Management</w:t>
      </w:r>
      <w:r w:rsidR="003A1358" w:rsidRPr="009460DA">
        <w:rPr>
          <w:rFonts w:ascii="Cambria" w:hAnsi="Cambria"/>
          <w:noProof/>
          <w:sz w:val="20"/>
          <w:szCs w:val="20"/>
        </w:rPr>
        <w:t xml:space="preserve">, </w:t>
      </w:r>
      <w:r w:rsidR="003A1358" w:rsidRPr="009460DA">
        <w:rPr>
          <w:rFonts w:ascii="Cambria" w:hAnsi="Cambria"/>
          <w:iCs/>
          <w:noProof/>
          <w:sz w:val="20"/>
          <w:szCs w:val="20"/>
        </w:rPr>
        <w:t>13</w:t>
      </w:r>
      <w:r w:rsidR="003A1358" w:rsidRPr="009460DA">
        <w:rPr>
          <w:rFonts w:ascii="Cambria" w:hAnsi="Cambria"/>
          <w:noProof/>
          <w:sz w:val="20"/>
          <w:szCs w:val="20"/>
        </w:rPr>
        <w:t>, 279–309.</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Akeel, M. E. A., Omar, R. &amp; Masrom, M. A. N. (2019). Relationship Between Human Resource Management and Organizational Performance: Employee Skills as a Mediator. </w:t>
      </w:r>
      <w:r w:rsidRPr="009460DA">
        <w:rPr>
          <w:rFonts w:ascii="Cambria" w:hAnsi="Cambria"/>
          <w:i/>
          <w:iCs/>
          <w:noProof/>
          <w:sz w:val="20"/>
          <w:szCs w:val="20"/>
        </w:rPr>
        <w:t>Australian Journal of Basic and Applied Sciences</w:t>
      </w:r>
      <w:r w:rsidRPr="009460DA">
        <w:rPr>
          <w:rFonts w:ascii="Cambria" w:hAnsi="Cambria"/>
          <w:noProof/>
          <w:sz w:val="20"/>
          <w:szCs w:val="20"/>
        </w:rPr>
        <w:t xml:space="preserve">, </w:t>
      </w:r>
      <w:r w:rsidRPr="009460DA">
        <w:rPr>
          <w:rFonts w:ascii="Cambria" w:hAnsi="Cambria"/>
          <w:iCs/>
          <w:noProof/>
          <w:sz w:val="20"/>
          <w:szCs w:val="20"/>
        </w:rPr>
        <w:t>13</w:t>
      </w:r>
      <w:r w:rsidRPr="009460DA">
        <w:rPr>
          <w:rFonts w:ascii="Cambria" w:hAnsi="Cambria"/>
          <w:noProof/>
          <w:sz w:val="20"/>
          <w:szCs w:val="20"/>
        </w:rPr>
        <w:t>(4), 29–35.</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Akhtar, N., Mohammad Azeem, S., F. Basiouni, A., Ahmed, A., Ban Teoh, K. &amp; Alvi, A. (2022). What motivates the most? Money or Empowerment: Mediating Role of Employee Commitment to Organizational Performance. </w:t>
      </w:r>
      <w:r w:rsidRPr="009460DA">
        <w:rPr>
          <w:rFonts w:ascii="Cambria" w:hAnsi="Cambria"/>
          <w:i/>
          <w:iCs/>
          <w:noProof/>
          <w:sz w:val="20"/>
          <w:szCs w:val="20"/>
        </w:rPr>
        <w:t>Journal of Organisational Studies and Innovation</w:t>
      </w:r>
      <w:r w:rsidRPr="009460DA">
        <w:rPr>
          <w:rFonts w:ascii="Cambria" w:hAnsi="Cambria"/>
          <w:noProof/>
          <w:sz w:val="20"/>
          <w:szCs w:val="20"/>
        </w:rPr>
        <w:t xml:space="preserve">, </w:t>
      </w:r>
      <w:r w:rsidRPr="009460DA">
        <w:rPr>
          <w:rFonts w:ascii="Cambria" w:hAnsi="Cambria"/>
          <w:iCs/>
          <w:noProof/>
          <w:sz w:val="20"/>
          <w:szCs w:val="20"/>
        </w:rPr>
        <w:t>9</w:t>
      </w:r>
      <w:r w:rsidRPr="009460DA">
        <w:rPr>
          <w:rFonts w:ascii="Cambria" w:hAnsi="Cambria"/>
          <w:noProof/>
          <w:sz w:val="20"/>
          <w:szCs w:val="20"/>
        </w:rPr>
        <w:t xml:space="preserve">(2), 21–37.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Alaraqi, A. K. (2017). Relationship between SHRM and Organizational Performance among Iraqi Oil Companies. </w:t>
      </w:r>
      <w:r w:rsidRPr="009460DA">
        <w:rPr>
          <w:rFonts w:ascii="Cambria" w:hAnsi="Cambria"/>
          <w:i/>
          <w:iCs/>
          <w:noProof/>
          <w:sz w:val="20"/>
          <w:szCs w:val="20"/>
        </w:rPr>
        <w:t>Journal of Global Economics</w:t>
      </w:r>
      <w:r w:rsidRPr="009460DA">
        <w:rPr>
          <w:rFonts w:ascii="Cambria" w:hAnsi="Cambria"/>
          <w:noProof/>
          <w:sz w:val="20"/>
          <w:szCs w:val="20"/>
        </w:rPr>
        <w:t xml:space="preserve">, </w:t>
      </w:r>
      <w:r w:rsidRPr="009460DA">
        <w:rPr>
          <w:rFonts w:ascii="Cambria" w:hAnsi="Cambria"/>
          <w:iCs/>
          <w:noProof/>
          <w:sz w:val="20"/>
          <w:szCs w:val="20"/>
        </w:rPr>
        <w:t>05</w:t>
      </w:r>
      <w:r w:rsidRPr="009460DA">
        <w:rPr>
          <w:rFonts w:ascii="Cambria" w:hAnsi="Cambria"/>
          <w:noProof/>
          <w:sz w:val="20"/>
          <w:szCs w:val="20"/>
        </w:rPr>
        <w:t>(01), 1–12.</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Ali, A., Awan, P. D. M. Z. &amp; Javed, D. A. (2020). Exploring Organizational Trust as Mediator in the Relationship between HRM Practices and Organizational Performance. </w:t>
      </w:r>
      <w:r w:rsidRPr="009460DA">
        <w:rPr>
          <w:rFonts w:ascii="Cambria" w:hAnsi="Cambria"/>
          <w:i/>
          <w:iCs/>
          <w:noProof/>
          <w:sz w:val="20"/>
          <w:szCs w:val="20"/>
        </w:rPr>
        <w:t>Research Journal of Social Sciences and Economics Review (RJSSER)</w:t>
      </w:r>
      <w:r w:rsidRPr="009460DA">
        <w:rPr>
          <w:rFonts w:ascii="Cambria" w:hAnsi="Cambria"/>
          <w:noProof/>
          <w:sz w:val="20"/>
          <w:szCs w:val="20"/>
        </w:rPr>
        <w:t xml:space="preserve">, </w:t>
      </w:r>
      <w:r w:rsidRPr="009460DA">
        <w:rPr>
          <w:rFonts w:ascii="Cambria" w:hAnsi="Cambria"/>
          <w:iCs/>
          <w:noProof/>
          <w:sz w:val="20"/>
          <w:szCs w:val="20"/>
        </w:rPr>
        <w:t>1</w:t>
      </w:r>
      <w:r w:rsidRPr="009460DA">
        <w:rPr>
          <w:rFonts w:ascii="Cambria" w:hAnsi="Cambria"/>
          <w:noProof/>
          <w:sz w:val="20"/>
          <w:szCs w:val="20"/>
        </w:rPr>
        <w:t xml:space="preserve">(2), 85–92.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Anwar, G. &amp; Abdullah, N. N. (2021). The impact of Human resource management practice on Organizational </w:t>
      </w:r>
      <w:r w:rsidRPr="009460DA">
        <w:rPr>
          <w:rFonts w:ascii="Cambria" w:hAnsi="Cambria"/>
          <w:noProof/>
          <w:sz w:val="20"/>
          <w:szCs w:val="20"/>
        </w:rPr>
        <w:lastRenderedPageBreak/>
        <w:t xml:space="preserve">performance. </w:t>
      </w:r>
      <w:r w:rsidRPr="009460DA">
        <w:rPr>
          <w:rFonts w:ascii="Cambria" w:hAnsi="Cambria"/>
          <w:i/>
          <w:iCs/>
          <w:noProof/>
          <w:sz w:val="20"/>
          <w:szCs w:val="20"/>
        </w:rPr>
        <w:t>International Journal of Engineering, Business and Management</w:t>
      </w:r>
      <w:r w:rsidRPr="009460DA">
        <w:rPr>
          <w:rFonts w:ascii="Cambria" w:hAnsi="Cambria"/>
          <w:noProof/>
          <w:sz w:val="20"/>
          <w:szCs w:val="20"/>
        </w:rPr>
        <w:t xml:space="preserve">, </w:t>
      </w:r>
      <w:r w:rsidRPr="009460DA">
        <w:rPr>
          <w:rFonts w:ascii="Cambria" w:hAnsi="Cambria"/>
          <w:iCs/>
          <w:noProof/>
          <w:sz w:val="20"/>
          <w:szCs w:val="20"/>
        </w:rPr>
        <w:t>5</w:t>
      </w:r>
      <w:r w:rsidRPr="009460DA">
        <w:rPr>
          <w:rFonts w:ascii="Cambria" w:hAnsi="Cambria"/>
          <w:noProof/>
          <w:sz w:val="20"/>
          <w:szCs w:val="20"/>
        </w:rPr>
        <w:t xml:space="preserve">(1), 35–47.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cs="Arial"/>
          <w:noProof/>
          <w:sz w:val="20"/>
          <w:szCs w:val="20"/>
        </w:rPr>
      </w:pPr>
      <w:r w:rsidRPr="009460DA">
        <w:rPr>
          <w:rFonts w:ascii="Cambria" w:hAnsi="Cambria" w:cs="Arial"/>
          <w:noProof/>
          <w:sz w:val="20"/>
          <w:szCs w:val="20"/>
        </w:rPr>
        <w:t xml:space="preserve">Beijer, S. (2014). </w:t>
      </w:r>
      <w:r w:rsidRPr="009460DA">
        <w:rPr>
          <w:rFonts w:ascii="Cambria" w:hAnsi="Cambria" w:cs="Arial"/>
          <w:iCs/>
          <w:noProof/>
          <w:sz w:val="20"/>
          <w:szCs w:val="20"/>
        </w:rPr>
        <w:t>HR practices at work: Their conceptualization and measurement in HRM research</w:t>
      </w:r>
      <w:r w:rsidRPr="009460DA">
        <w:rPr>
          <w:rFonts w:ascii="Cambria" w:hAnsi="Cambria" w:cs="Arial"/>
          <w:noProof/>
          <w:sz w:val="20"/>
          <w:szCs w:val="20"/>
        </w:rPr>
        <w:t>.</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cs="Arial"/>
          <w:noProof/>
          <w:sz w:val="20"/>
          <w:szCs w:val="20"/>
        </w:rPr>
      </w:pPr>
      <w:r w:rsidRPr="009460DA">
        <w:rPr>
          <w:rFonts w:ascii="Cambria" w:hAnsi="Cambria" w:cs="Arial"/>
          <w:noProof/>
          <w:sz w:val="20"/>
          <w:szCs w:val="20"/>
        </w:rPr>
        <w:t xml:space="preserve">Chanana, N. &amp; Sangeeta. (2021). Employee engagement practices during COVID-19 lockdown. </w:t>
      </w:r>
      <w:r w:rsidRPr="009460DA">
        <w:rPr>
          <w:rFonts w:ascii="Cambria" w:hAnsi="Cambria" w:cs="Arial"/>
          <w:i/>
          <w:iCs/>
          <w:noProof/>
          <w:sz w:val="20"/>
          <w:szCs w:val="20"/>
        </w:rPr>
        <w:t>Journal of Public Affairs</w:t>
      </w:r>
      <w:r w:rsidRPr="009460DA">
        <w:rPr>
          <w:rFonts w:ascii="Cambria" w:hAnsi="Cambria" w:cs="Arial"/>
          <w:noProof/>
          <w:sz w:val="20"/>
          <w:szCs w:val="20"/>
        </w:rPr>
        <w:t xml:space="preserve">, </w:t>
      </w:r>
      <w:r w:rsidRPr="009460DA">
        <w:rPr>
          <w:rFonts w:ascii="Cambria" w:hAnsi="Cambria" w:cs="Arial"/>
          <w:iCs/>
          <w:noProof/>
          <w:sz w:val="20"/>
          <w:szCs w:val="20"/>
        </w:rPr>
        <w:t>21</w:t>
      </w:r>
      <w:r w:rsidRPr="009460DA">
        <w:rPr>
          <w:rFonts w:ascii="Cambria" w:hAnsi="Cambria" w:cs="Arial"/>
          <w:noProof/>
          <w:sz w:val="20"/>
          <w:szCs w:val="20"/>
        </w:rPr>
        <w:t xml:space="preserve">(4), 1–8.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Chen, T., Hao, S., Ding, K., Feng, X., Li, G. &amp; Liang, X. (2020). The impact of organizational support on employee performance. </w:t>
      </w:r>
      <w:r w:rsidRPr="009460DA">
        <w:rPr>
          <w:rFonts w:ascii="Cambria" w:hAnsi="Cambria"/>
          <w:i/>
          <w:iCs/>
          <w:noProof/>
          <w:sz w:val="20"/>
          <w:szCs w:val="20"/>
        </w:rPr>
        <w:t>Employee Relations</w:t>
      </w:r>
      <w:r w:rsidRPr="009460DA">
        <w:rPr>
          <w:rFonts w:ascii="Cambria" w:hAnsi="Cambria"/>
          <w:noProof/>
          <w:sz w:val="20"/>
          <w:szCs w:val="20"/>
        </w:rPr>
        <w:t xml:space="preserve">, </w:t>
      </w:r>
      <w:r w:rsidRPr="009460DA">
        <w:rPr>
          <w:rFonts w:ascii="Cambria" w:hAnsi="Cambria"/>
          <w:iCs/>
          <w:noProof/>
          <w:sz w:val="20"/>
          <w:szCs w:val="20"/>
        </w:rPr>
        <w:t>42</w:t>
      </w:r>
      <w:r w:rsidRPr="009460DA">
        <w:rPr>
          <w:rFonts w:ascii="Cambria" w:hAnsi="Cambria"/>
          <w:noProof/>
          <w:sz w:val="20"/>
          <w:szCs w:val="20"/>
        </w:rPr>
        <w:t xml:space="preserve">(1), 166–179.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Cherif, F. (2020). The role of human resource management practices and Employee Job Satisfaction in predicting organizational commitment in the Saudi Arabian banking sector. </w:t>
      </w:r>
      <w:r w:rsidRPr="009460DA">
        <w:rPr>
          <w:rFonts w:ascii="Cambria" w:hAnsi="Cambria"/>
          <w:i/>
          <w:iCs/>
          <w:noProof/>
          <w:sz w:val="20"/>
          <w:szCs w:val="20"/>
        </w:rPr>
        <w:t>International Journal of Sociology and Social Policy</w:t>
      </w:r>
      <w:r w:rsidRPr="009460DA">
        <w:rPr>
          <w:rFonts w:ascii="Cambria" w:hAnsi="Cambria"/>
          <w:noProof/>
          <w:sz w:val="20"/>
          <w:szCs w:val="20"/>
        </w:rPr>
        <w:t xml:space="preserve">, </w:t>
      </w:r>
      <w:r w:rsidRPr="009460DA">
        <w:rPr>
          <w:rFonts w:ascii="Cambria" w:hAnsi="Cambria"/>
          <w:iCs/>
          <w:noProof/>
          <w:sz w:val="20"/>
          <w:szCs w:val="20"/>
        </w:rPr>
        <w:t>40</w:t>
      </w:r>
      <w:r w:rsidRPr="009460DA">
        <w:rPr>
          <w:rFonts w:ascii="Cambria" w:hAnsi="Cambria"/>
          <w:noProof/>
          <w:sz w:val="20"/>
          <w:szCs w:val="20"/>
        </w:rPr>
        <w:t xml:space="preserve">(7–8), 529–541.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Chillakuri, B. &amp; Vanka, S. (2021). Examining the effects of workplace well-being and high-performance work systems on health harm: a Sustainable HRM perspective. </w:t>
      </w:r>
      <w:r w:rsidRPr="009460DA">
        <w:rPr>
          <w:rFonts w:ascii="Cambria" w:hAnsi="Cambria"/>
          <w:i/>
          <w:iCs/>
          <w:noProof/>
          <w:sz w:val="20"/>
          <w:szCs w:val="20"/>
        </w:rPr>
        <w:t>Society and Business Review</w:t>
      </w:r>
      <w:r w:rsidRPr="009460DA">
        <w:rPr>
          <w:rFonts w:ascii="Cambria" w:hAnsi="Cambria"/>
          <w:noProof/>
          <w:sz w:val="20"/>
          <w:szCs w:val="20"/>
        </w:rPr>
        <w:t xml:space="preserve">, </w:t>
      </w:r>
      <w:r w:rsidRPr="009460DA">
        <w:rPr>
          <w:rFonts w:ascii="Cambria" w:hAnsi="Cambria"/>
          <w:iCs/>
          <w:noProof/>
          <w:sz w:val="20"/>
          <w:szCs w:val="20"/>
        </w:rPr>
        <w:t>16</w:t>
      </w:r>
      <w:r w:rsidRPr="009460DA">
        <w:rPr>
          <w:rFonts w:ascii="Cambria" w:hAnsi="Cambria"/>
          <w:noProof/>
          <w:sz w:val="20"/>
          <w:szCs w:val="20"/>
        </w:rPr>
        <w:t xml:space="preserve">(1), 71–93.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Durisic, D. B. A. (2022). </w:t>
      </w:r>
      <w:r w:rsidRPr="009460DA">
        <w:rPr>
          <w:rFonts w:ascii="Cambria" w:hAnsi="Cambria"/>
          <w:iCs/>
          <w:noProof/>
          <w:sz w:val="20"/>
          <w:szCs w:val="20"/>
        </w:rPr>
        <w:t>ISU ReD : Research and eData National Athletes ’ Perceived Image of the Government in the Development of Sports in Malaysia</w:t>
      </w:r>
      <w:r w:rsidRPr="009460DA">
        <w:rPr>
          <w:rFonts w:ascii="Cambria" w:hAnsi="Cambria"/>
          <w:noProof/>
          <w:sz w:val="20"/>
          <w:szCs w:val="20"/>
        </w:rPr>
        <w:t>.</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Foo, L., Dahlia, H. G., Zawawi, D., Othman, S. F. &amp; Mohhidin, M. (2020). A model linking HRM practices, service-oriented OCBs &amp; organizational performance in the Malaysian hotel industry. </w:t>
      </w:r>
      <w:r w:rsidRPr="009460DA">
        <w:rPr>
          <w:rFonts w:ascii="Cambria" w:hAnsi="Cambria"/>
          <w:i/>
          <w:iCs/>
          <w:noProof/>
          <w:sz w:val="20"/>
          <w:szCs w:val="20"/>
        </w:rPr>
        <w:t>Journal of Tourism, Hospitality &amp; Culinary Arts</w:t>
      </w:r>
      <w:r w:rsidRPr="009460DA">
        <w:rPr>
          <w:rFonts w:ascii="Cambria" w:hAnsi="Cambria"/>
          <w:noProof/>
          <w:sz w:val="20"/>
          <w:szCs w:val="20"/>
        </w:rPr>
        <w:t xml:space="preserve">, </w:t>
      </w:r>
      <w:r w:rsidRPr="009460DA">
        <w:rPr>
          <w:rFonts w:ascii="Cambria" w:hAnsi="Cambria"/>
          <w:iCs/>
          <w:noProof/>
          <w:sz w:val="20"/>
          <w:szCs w:val="20"/>
        </w:rPr>
        <w:t>12</w:t>
      </w:r>
      <w:r w:rsidRPr="009460DA">
        <w:rPr>
          <w:rFonts w:ascii="Cambria" w:hAnsi="Cambria"/>
          <w:noProof/>
          <w:sz w:val="20"/>
          <w:szCs w:val="20"/>
        </w:rPr>
        <w:t>(1), 48–68.</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cs="Arial"/>
          <w:color w:val="000000" w:themeColor="text1"/>
          <w:sz w:val="20"/>
          <w:szCs w:val="20"/>
        </w:rPr>
      </w:pPr>
      <w:r w:rsidRPr="009460DA">
        <w:rPr>
          <w:rFonts w:ascii="Cambria" w:hAnsi="Cambria" w:cs="Arial"/>
          <w:color w:val="000000" w:themeColor="text1"/>
          <w:sz w:val="20"/>
          <w:szCs w:val="20"/>
        </w:rPr>
        <w:t xml:space="preserve">Hair, J. F., Black, W. C., Babin, B. J. &amp; Anderson, R. E. (2010). Multivariate data analysis. Pearson.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Halawi, A. &amp; Haydar, N. (2018). Effects of Training on Employee Performance: A Case Study of Bonjus and Khatib &amp; Alami Companies. </w:t>
      </w:r>
      <w:r w:rsidRPr="009460DA">
        <w:rPr>
          <w:rFonts w:ascii="Cambria" w:hAnsi="Cambria"/>
          <w:i/>
          <w:iCs/>
          <w:noProof/>
          <w:sz w:val="20"/>
          <w:szCs w:val="20"/>
        </w:rPr>
        <w:t>International Humanities Studies</w:t>
      </w:r>
      <w:r w:rsidRPr="009460DA">
        <w:rPr>
          <w:rFonts w:ascii="Cambria" w:hAnsi="Cambria"/>
          <w:noProof/>
          <w:sz w:val="20"/>
          <w:szCs w:val="20"/>
        </w:rPr>
        <w:t xml:space="preserve">, </w:t>
      </w:r>
      <w:r w:rsidRPr="009460DA">
        <w:rPr>
          <w:rFonts w:ascii="Cambria" w:hAnsi="Cambria"/>
          <w:iCs/>
          <w:noProof/>
          <w:sz w:val="20"/>
          <w:szCs w:val="20"/>
        </w:rPr>
        <w:t>2</w:t>
      </w:r>
      <w:r w:rsidRPr="009460DA">
        <w:rPr>
          <w:rFonts w:ascii="Cambria" w:hAnsi="Cambria"/>
          <w:noProof/>
          <w:sz w:val="20"/>
          <w:szCs w:val="20"/>
        </w:rPr>
        <w:t>(2), 24–45.</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Hameed, A. &amp; Mohamed, S. (2016). HRM Practices and Organizational Performance in Hospitals. </w:t>
      </w:r>
      <w:r w:rsidRPr="009460DA">
        <w:rPr>
          <w:rFonts w:ascii="Cambria" w:hAnsi="Cambria"/>
          <w:i/>
          <w:iCs/>
          <w:noProof/>
          <w:sz w:val="20"/>
          <w:szCs w:val="20"/>
        </w:rPr>
        <w:t>Journal of Business and Management</w:t>
      </w:r>
      <w:r w:rsidRPr="009460DA">
        <w:rPr>
          <w:rFonts w:ascii="Cambria" w:hAnsi="Cambria"/>
          <w:noProof/>
          <w:sz w:val="20"/>
          <w:szCs w:val="20"/>
        </w:rPr>
        <w:t xml:space="preserve">, </w:t>
      </w:r>
      <w:r w:rsidRPr="009460DA">
        <w:rPr>
          <w:rFonts w:ascii="Cambria" w:hAnsi="Cambria"/>
          <w:iCs/>
          <w:noProof/>
          <w:sz w:val="20"/>
          <w:szCs w:val="20"/>
        </w:rPr>
        <w:t>18</w:t>
      </w:r>
      <w:r w:rsidRPr="009460DA">
        <w:rPr>
          <w:rFonts w:ascii="Cambria" w:hAnsi="Cambria"/>
          <w:noProof/>
          <w:sz w:val="20"/>
          <w:szCs w:val="20"/>
        </w:rPr>
        <w:t xml:space="preserve">(11), 34–41.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Hanci-Donmez, T. &amp; Karacay, G. (2019). High-Performance Human Resource Practices and Firm Performance: Mediating Effect of Corporate Entrepreneurship. </w:t>
      </w:r>
      <w:r w:rsidRPr="009460DA">
        <w:rPr>
          <w:rFonts w:ascii="Cambria" w:hAnsi="Cambria"/>
          <w:i/>
          <w:iCs/>
          <w:noProof/>
          <w:sz w:val="20"/>
          <w:szCs w:val="20"/>
        </w:rPr>
        <w:t>International Journal of Organizational Leadership</w:t>
      </w:r>
      <w:r w:rsidRPr="009460DA">
        <w:rPr>
          <w:rFonts w:ascii="Cambria" w:hAnsi="Cambria"/>
          <w:noProof/>
          <w:sz w:val="20"/>
          <w:szCs w:val="20"/>
        </w:rPr>
        <w:t xml:space="preserve">, </w:t>
      </w:r>
      <w:r w:rsidRPr="009460DA">
        <w:rPr>
          <w:rFonts w:ascii="Cambria" w:hAnsi="Cambria"/>
          <w:iCs/>
          <w:noProof/>
          <w:sz w:val="20"/>
          <w:szCs w:val="20"/>
        </w:rPr>
        <w:t>8</w:t>
      </w:r>
      <w:r w:rsidRPr="009460DA">
        <w:rPr>
          <w:rFonts w:ascii="Cambria" w:hAnsi="Cambria"/>
          <w:noProof/>
          <w:sz w:val="20"/>
          <w:szCs w:val="20"/>
        </w:rPr>
        <w:t xml:space="preserve">(1), 63–77.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Jashari, A. &amp; Kutllovci, E. (2020). The impact of human resource management practices on organizational performance case study: Manufacturing enterprises in Kosovo. </w:t>
      </w:r>
      <w:r w:rsidRPr="009460DA">
        <w:rPr>
          <w:rFonts w:ascii="Cambria" w:hAnsi="Cambria"/>
          <w:i/>
          <w:iCs/>
          <w:noProof/>
          <w:sz w:val="20"/>
          <w:szCs w:val="20"/>
        </w:rPr>
        <w:t>Business: Theory and Practice</w:t>
      </w:r>
      <w:r w:rsidRPr="009460DA">
        <w:rPr>
          <w:rFonts w:ascii="Cambria" w:hAnsi="Cambria"/>
          <w:noProof/>
          <w:sz w:val="20"/>
          <w:szCs w:val="20"/>
        </w:rPr>
        <w:t xml:space="preserve">, </w:t>
      </w:r>
      <w:r w:rsidRPr="009460DA">
        <w:rPr>
          <w:rFonts w:ascii="Cambria" w:hAnsi="Cambria"/>
          <w:iCs/>
          <w:noProof/>
          <w:sz w:val="20"/>
          <w:szCs w:val="20"/>
        </w:rPr>
        <w:t>21</w:t>
      </w:r>
      <w:r w:rsidRPr="009460DA">
        <w:rPr>
          <w:rFonts w:ascii="Cambria" w:hAnsi="Cambria"/>
          <w:noProof/>
          <w:sz w:val="20"/>
          <w:szCs w:val="20"/>
        </w:rPr>
        <w:t xml:space="preserve">(1), 222–229.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Khan, W. A., Wafa, S. A., Hassan, R. A. &amp; Kashif, U. (2020). The mediating effect of innovation on the relationship between organizational culture and performance of large manufacturing firms in Pakistan. </w:t>
      </w:r>
      <w:r w:rsidRPr="009460DA">
        <w:rPr>
          <w:rFonts w:ascii="Cambria" w:hAnsi="Cambria"/>
          <w:i/>
          <w:iCs/>
          <w:noProof/>
          <w:sz w:val="20"/>
          <w:szCs w:val="20"/>
        </w:rPr>
        <w:t>Malaysian Journal of Business and Economics</w:t>
      </w:r>
      <w:r w:rsidRPr="009460DA">
        <w:rPr>
          <w:rFonts w:ascii="Cambria" w:hAnsi="Cambria"/>
          <w:noProof/>
          <w:sz w:val="20"/>
          <w:szCs w:val="20"/>
        </w:rPr>
        <w:t xml:space="preserve">, </w:t>
      </w:r>
      <w:r w:rsidRPr="009460DA">
        <w:rPr>
          <w:rFonts w:ascii="Cambria" w:hAnsi="Cambria"/>
          <w:iCs/>
          <w:noProof/>
          <w:sz w:val="20"/>
          <w:szCs w:val="20"/>
        </w:rPr>
        <w:t>6</w:t>
      </w:r>
      <w:r w:rsidRPr="009460DA">
        <w:rPr>
          <w:rFonts w:ascii="Cambria" w:hAnsi="Cambria"/>
          <w:noProof/>
          <w:sz w:val="20"/>
          <w:szCs w:val="20"/>
        </w:rPr>
        <w:t>(2), 1–15.</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Kim, H. S. &amp; Jang, S. (Shawn). (2020). The effect of increasing employee compensation on firm performance: Evidence from the restaurant industry. </w:t>
      </w:r>
      <w:r w:rsidRPr="009460DA">
        <w:rPr>
          <w:rFonts w:ascii="Cambria" w:hAnsi="Cambria"/>
          <w:i/>
          <w:iCs/>
          <w:noProof/>
          <w:sz w:val="20"/>
          <w:szCs w:val="20"/>
        </w:rPr>
        <w:t>International Journal of Hospitality Management</w:t>
      </w:r>
      <w:r w:rsidRPr="009460DA">
        <w:rPr>
          <w:rFonts w:ascii="Cambria" w:hAnsi="Cambria"/>
          <w:noProof/>
          <w:sz w:val="20"/>
          <w:szCs w:val="20"/>
        </w:rPr>
        <w:t xml:space="preserve">, </w:t>
      </w:r>
      <w:r w:rsidRPr="009460DA">
        <w:rPr>
          <w:rFonts w:ascii="Cambria" w:hAnsi="Cambria"/>
          <w:iCs/>
          <w:noProof/>
          <w:sz w:val="20"/>
          <w:szCs w:val="20"/>
        </w:rPr>
        <w:t>88</w:t>
      </w:r>
      <w:r w:rsidRPr="009460DA">
        <w:rPr>
          <w:rFonts w:ascii="Cambria" w:hAnsi="Cambria"/>
          <w:noProof/>
          <w:sz w:val="20"/>
          <w:szCs w:val="20"/>
        </w:rPr>
        <w:t xml:space="preserve">, 1–8.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Kitchot, S., Siengthai, S. &amp; Sukhotu, V. (2021). The mediating effects of HRM practices on the relationship between SCM and SME firm performance in Thailand. </w:t>
      </w:r>
      <w:r w:rsidRPr="009460DA">
        <w:rPr>
          <w:rFonts w:ascii="Cambria" w:hAnsi="Cambria"/>
          <w:i/>
          <w:iCs/>
          <w:noProof/>
          <w:sz w:val="20"/>
          <w:szCs w:val="20"/>
        </w:rPr>
        <w:t>Supply Chain Management</w:t>
      </w:r>
      <w:r w:rsidRPr="009460DA">
        <w:rPr>
          <w:rFonts w:ascii="Cambria" w:hAnsi="Cambria"/>
          <w:noProof/>
          <w:sz w:val="20"/>
          <w:szCs w:val="20"/>
        </w:rPr>
        <w:t xml:space="preserve">, </w:t>
      </w:r>
      <w:r w:rsidRPr="009460DA">
        <w:rPr>
          <w:rFonts w:ascii="Cambria" w:hAnsi="Cambria"/>
          <w:iCs/>
          <w:noProof/>
          <w:sz w:val="20"/>
          <w:szCs w:val="20"/>
        </w:rPr>
        <w:t>26</w:t>
      </w:r>
      <w:r w:rsidRPr="009460DA">
        <w:rPr>
          <w:rFonts w:ascii="Cambria" w:hAnsi="Cambria"/>
          <w:noProof/>
          <w:sz w:val="20"/>
          <w:szCs w:val="20"/>
        </w:rPr>
        <w:t xml:space="preserve">(1), 87–101.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Kuria, M. W. &amp; Mose, D. T. (2019). Effect of Green Human Resource Management Practices on Organizational Effectiveness of Universities in Kenya. </w:t>
      </w:r>
      <w:r w:rsidRPr="009460DA">
        <w:rPr>
          <w:rFonts w:ascii="Cambria" w:hAnsi="Cambria"/>
          <w:i/>
          <w:iCs/>
          <w:noProof/>
          <w:sz w:val="20"/>
          <w:szCs w:val="20"/>
        </w:rPr>
        <w:t>Human Resource and Leadership Journal</w:t>
      </w:r>
      <w:r w:rsidRPr="009460DA">
        <w:rPr>
          <w:rFonts w:ascii="Cambria" w:hAnsi="Cambria"/>
          <w:noProof/>
          <w:sz w:val="20"/>
          <w:szCs w:val="20"/>
        </w:rPr>
        <w:t xml:space="preserve">, </w:t>
      </w:r>
      <w:r w:rsidRPr="009460DA">
        <w:rPr>
          <w:rFonts w:ascii="Cambria" w:hAnsi="Cambria"/>
          <w:iCs/>
          <w:noProof/>
          <w:sz w:val="20"/>
          <w:szCs w:val="20"/>
        </w:rPr>
        <w:t>4</w:t>
      </w:r>
      <w:r w:rsidRPr="009460DA">
        <w:rPr>
          <w:rFonts w:ascii="Cambria" w:hAnsi="Cambria"/>
          <w:noProof/>
          <w:sz w:val="20"/>
          <w:szCs w:val="20"/>
        </w:rPr>
        <w:t xml:space="preserve">(2), 1–20.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Lai, Y., Saridakis, G. &amp; Johnstone, S. (2017). Human resource practices, employee attitudes and small firm performance. </w:t>
      </w:r>
      <w:r w:rsidRPr="009460DA">
        <w:rPr>
          <w:rFonts w:ascii="Cambria" w:hAnsi="Cambria"/>
          <w:i/>
          <w:iCs/>
          <w:noProof/>
          <w:sz w:val="20"/>
          <w:szCs w:val="20"/>
        </w:rPr>
        <w:t>International Small Business Journal: Researching Entrepreneurship</w:t>
      </w:r>
      <w:r w:rsidRPr="009460DA">
        <w:rPr>
          <w:rFonts w:ascii="Cambria" w:hAnsi="Cambria"/>
          <w:noProof/>
          <w:sz w:val="20"/>
          <w:szCs w:val="20"/>
        </w:rPr>
        <w:t xml:space="preserve">, </w:t>
      </w:r>
      <w:r w:rsidRPr="009460DA">
        <w:rPr>
          <w:rFonts w:ascii="Cambria" w:hAnsi="Cambria"/>
          <w:iCs/>
          <w:noProof/>
          <w:sz w:val="20"/>
          <w:szCs w:val="20"/>
        </w:rPr>
        <w:t>35</w:t>
      </w:r>
      <w:r w:rsidRPr="009460DA">
        <w:rPr>
          <w:rFonts w:ascii="Cambria" w:hAnsi="Cambria"/>
          <w:noProof/>
          <w:sz w:val="20"/>
          <w:szCs w:val="20"/>
        </w:rPr>
        <w:t xml:space="preserve">(4), 470–494.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Milon, M. (2019). Present Scenario of Human Resource Management (HRM) Practices in the Life Insurance Companies: Bangladesh Perspective. </w:t>
      </w:r>
      <w:r w:rsidRPr="009460DA">
        <w:rPr>
          <w:rFonts w:ascii="Cambria" w:hAnsi="Cambria"/>
          <w:i/>
          <w:iCs/>
          <w:noProof/>
          <w:sz w:val="20"/>
          <w:szCs w:val="20"/>
        </w:rPr>
        <w:t>Canadian Journal of Business and Information Studies</w:t>
      </w:r>
      <w:r w:rsidRPr="009460DA">
        <w:rPr>
          <w:rFonts w:ascii="Cambria" w:hAnsi="Cambria"/>
          <w:noProof/>
          <w:sz w:val="20"/>
          <w:szCs w:val="20"/>
        </w:rPr>
        <w:t xml:space="preserve">, </w:t>
      </w:r>
      <w:r w:rsidRPr="009460DA">
        <w:rPr>
          <w:rFonts w:ascii="Cambria" w:hAnsi="Cambria"/>
          <w:iCs/>
          <w:noProof/>
          <w:sz w:val="20"/>
          <w:szCs w:val="20"/>
        </w:rPr>
        <w:t>1</w:t>
      </w:r>
      <w:r w:rsidRPr="009460DA">
        <w:rPr>
          <w:rFonts w:ascii="Cambria" w:hAnsi="Cambria"/>
          <w:noProof/>
          <w:sz w:val="20"/>
          <w:szCs w:val="20"/>
        </w:rPr>
        <w:t xml:space="preserve">(6), 17–27.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Nafari, E. &amp; Rezaei, B. (2022). Relationship between human resources strategies and organizational performance based on the balanced scorecard in a public hospital in Iran: a cross-sectional study. </w:t>
      </w:r>
      <w:r w:rsidRPr="009460DA">
        <w:rPr>
          <w:rFonts w:ascii="Cambria" w:hAnsi="Cambria"/>
          <w:i/>
          <w:iCs/>
          <w:noProof/>
          <w:sz w:val="20"/>
          <w:szCs w:val="20"/>
        </w:rPr>
        <w:t>BMC Health Services Research</w:t>
      </w:r>
      <w:r w:rsidRPr="009460DA">
        <w:rPr>
          <w:rFonts w:ascii="Cambria" w:hAnsi="Cambria"/>
          <w:noProof/>
          <w:sz w:val="20"/>
          <w:szCs w:val="20"/>
        </w:rPr>
        <w:t xml:space="preserve">, </w:t>
      </w:r>
      <w:r w:rsidRPr="009460DA">
        <w:rPr>
          <w:rFonts w:ascii="Cambria" w:hAnsi="Cambria"/>
          <w:iCs/>
          <w:noProof/>
          <w:sz w:val="20"/>
          <w:szCs w:val="20"/>
        </w:rPr>
        <w:t>22</w:t>
      </w:r>
      <w:r w:rsidRPr="009460DA">
        <w:rPr>
          <w:rFonts w:ascii="Cambria" w:hAnsi="Cambria"/>
          <w:noProof/>
          <w:sz w:val="20"/>
          <w:szCs w:val="20"/>
        </w:rPr>
        <w:t xml:space="preserve">(1), 1–9.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Njenga, M. W. (2018). </w:t>
      </w:r>
      <w:r w:rsidRPr="009460DA">
        <w:rPr>
          <w:rFonts w:ascii="Cambria" w:hAnsi="Cambria"/>
          <w:iCs/>
          <w:noProof/>
          <w:sz w:val="20"/>
          <w:szCs w:val="20"/>
        </w:rPr>
        <w:t>The influence of strategic human resource management practices on firm performance of insurance firms in Kenya</w:t>
      </w:r>
      <w:r w:rsidRPr="009460DA">
        <w:rPr>
          <w:rFonts w:ascii="Cambria" w:hAnsi="Cambria"/>
          <w:noProof/>
          <w:sz w:val="20"/>
          <w:szCs w:val="20"/>
        </w:rPr>
        <w:t>. https://su-plus.strathmore.edu/handle/11071/6171</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Ohanyere, C. P., Ngige, C. &amp; Jacobs, C. (2021). Effect of Training on Organizational Performance of Small and Medium Scale Enterprises in Anambra State, Nigeria. </w:t>
      </w:r>
      <w:r w:rsidRPr="009460DA">
        <w:rPr>
          <w:rFonts w:ascii="Cambria" w:hAnsi="Cambria"/>
          <w:i/>
          <w:iCs/>
          <w:noProof/>
          <w:sz w:val="20"/>
          <w:szCs w:val="20"/>
        </w:rPr>
        <w:t>International Journal of Management and Entrepreneurship</w:t>
      </w:r>
      <w:r w:rsidRPr="009460DA">
        <w:rPr>
          <w:rFonts w:ascii="Cambria" w:hAnsi="Cambria"/>
          <w:noProof/>
          <w:sz w:val="20"/>
          <w:szCs w:val="20"/>
        </w:rPr>
        <w:t xml:space="preserve">, </w:t>
      </w:r>
      <w:r w:rsidRPr="009460DA">
        <w:rPr>
          <w:rFonts w:ascii="Cambria" w:hAnsi="Cambria"/>
          <w:iCs/>
          <w:noProof/>
          <w:sz w:val="20"/>
          <w:szCs w:val="20"/>
        </w:rPr>
        <w:t>3</w:t>
      </w:r>
      <w:r w:rsidRPr="009460DA">
        <w:rPr>
          <w:rFonts w:ascii="Cambria" w:hAnsi="Cambria"/>
          <w:noProof/>
          <w:sz w:val="20"/>
          <w:szCs w:val="20"/>
        </w:rPr>
        <w:t>(1), 1–9.</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Paderna, R. D., Guiveses, M. L., Ong, S. J. &amp; Tsai, J. L. (n.d.). </w:t>
      </w:r>
      <w:r w:rsidRPr="009460DA">
        <w:rPr>
          <w:rFonts w:ascii="Cambria" w:hAnsi="Cambria"/>
          <w:iCs/>
          <w:noProof/>
          <w:sz w:val="20"/>
          <w:szCs w:val="20"/>
        </w:rPr>
        <w:t>Improving Employee Experience in a Medium-sized Retail Chain through Quality Human Resource Management Practices :</w:t>
      </w:r>
      <w:r w:rsidRPr="009460DA">
        <w:rPr>
          <w:rFonts w:ascii="Cambria" w:hAnsi="Cambria"/>
          <w:i/>
          <w:iCs/>
          <w:noProof/>
          <w:sz w:val="20"/>
          <w:szCs w:val="20"/>
        </w:rPr>
        <w:t xml:space="preserve"> Does Bifurcation Bias in Family Firms Moderate the Nexus ?</w:t>
      </w:r>
      <w:r w:rsidRPr="009460DA">
        <w:rPr>
          <w:rFonts w:ascii="Cambria" w:hAnsi="Cambria"/>
          <w:noProof/>
          <w:sz w:val="20"/>
          <w:szCs w:val="20"/>
        </w:rPr>
        <w:t xml:space="preserve"> </w:t>
      </w:r>
      <w:r w:rsidRPr="009460DA">
        <w:rPr>
          <w:rFonts w:ascii="Cambria" w:hAnsi="Cambria"/>
          <w:iCs/>
          <w:noProof/>
          <w:sz w:val="20"/>
          <w:szCs w:val="20"/>
        </w:rPr>
        <w:t>9</w:t>
      </w:r>
      <w:r w:rsidRPr="009460DA">
        <w:rPr>
          <w:rFonts w:ascii="Cambria" w:hAnsi="Cambria"/>
          <w:noProof/>
          <w:sz w:val="20"/>
          <w:szCs w:val="20"/>
        </w:rPr>
        <w:t>(1), 62–79.</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Parayitam, S., Naina, S. M., Shea, T., Syed Mohideen, A. H. &amp; Aruldoss, A. (2021). The Relationship Between Human Resource Management Practices, Knowledge Management Practices, and Performance: Evidence from the Healthcare Industry in India. </w:t>
      </w:r>
      <w:r w:rsidRPr="009460DA">
        <w:rPr>
          <w:rFonts w:ascii="Cambria" w:hAnsi="Cambria"/>
          <w:iCs/>
          <w:noProof/>
          <w:sz w:val="20"/>
          <w:szCs w:val="20"/>
        </w:rPr>
        <w:t>Global Business Review</w:t>
      </w:r>
      <w:r w:rsidRPr="009460DA">
        <w:rPr>
          <w:rFonts w:ascii="Cambria" w:hAnsi="Cambria"/>
          <w:noProof/>
          <w:sz w:val="20"/>
          <w:szCs w:val="20"/>
        </w:rPr>
        <w:t xml:space="preserve">.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lastRenderedPageBreak/>
        <w:t xml:space="preserve">Rasool, S. F., Wang, M., Zhang, Y. &amp; Samma, M. (2020). Sustainable work performance: the roles of workplace violence and occupational stress. </w:t>
      </w:r>
      <w:r w:rsidRPr="009460DA">
        <w:rPr>
          <w:rFonts w:ascii="Cambria" w:hAnsi="Cambria"/>
          <w:i/>
          <w:iCs/>
          <w:noProof/>
          <w:sz w:val="20"/>
          <w:szCs w:val="20"/>
        </w:rPr>
        <w:t>International Journal of Environmental Research and Public Health</w:t>
      </w:r>
      <w:r w:rsidRPr="009460DA">
        <w:rPr>
          <w:rFonts w:ascii="Cambria" w:hAnsi="Cambria"/>
          <w:noProof/>
          <w:sz w:val="20"/>
          <w:szCs w:val="20"/>
        </w:rPr>
        <w:t xml:space="preserve">, </w:t>
      </w:r>
      <w:r w:rsidRPr="009460DA">
        <w:rPr>
          <w:rFonts w:ascii="Cambria" w:hAnsi="Cambria"/>
          <w:iCs/>
          <w:noProof/>
          <w:sz w:val="20"/>
          <w:szCs w:val="20"/>
        </w:rPr>
        <w:t>17</w:t>
      </w:r>
      <w:r w:rsidRPr="009460DA">
        <w:rPr>
          <w:rFonts w:ascii="Cambria" w:hAnsi="Cambria"/>
          <w:noProof/>
          <w:sz w:val="20"/>
          <w:szCs w:val="20"/>
        </w:rPr>
        <w:t xml:space="preserve">(3).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Saeed, B., Bin, Afsar, B., Hafeez, S., Khan, I., Tahir, M. &amp; Afridi, M. A. (2019). Promoting employee pro-environmental behavior through green human resource management practices. </w:t>
      </w:r>
      <w:r w:rsidRPr="009460DA">
        <w:rPr>
          <w:rFonts w:ascii="Cambria" w:hAnsi="Cambria"/>
          <w:i/>
          <w:iCs/>
          <w:noProof/>
          <w:sz w:val="20"/>
          <w:szCs w:val="20"/>
        </w:rPr>
        <w:t>Corporate Social Responsibility and Environmental Management</w:t>
      </w:r>
      <w:r w:rsidRPr="009460DA">
        <w:rPr>
          <w:rFonts w:ascii="Cambria" w:hAnsi="Cambria"/>
          <w:noProof/>
          <w:sz w:val="20"/>
          <w:szCs w:val="20"/>
        </w:rPr>
        <w:t xml:space="preserve">, </w:t>
      </w:r>
      <w:r w:rsidRPr="009460DA">
        <w:rPr>
          <w:rFonts w:ascii="Cambria" w:hAnsi="Cambria"/>
          <w:iCs/>
          <w:noProof/>
          <w:sz w:val="20"/>
          <w:szCs w:val="20"/>
        </w:rPr>
        <w:t>26</w:t>
      </w:r>
      <w:r w:rsidRPr="009460DA">
        <w:rPr>
          <w:rFonts w:ascii="Cambria" w:hAnsi="Cambria"/>
          <w:noProof/>
          <w:sz w:val="20"/>
          <w:szCs w:val="20"/>
        </w:rPr>
        <w:t xml:space="preserve">(2), 424–438.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Samwel, J. O. (2018). Impact of Employee Training on Organizational Performance– Case Study of Drilling Companies in Geita, Shinyanga and Mara Regions in Tanzania. </w:t>
      </w:r>
      <w:r w:rsidRPr="009460DA">
        <w:rPr>
          <w:rFonts w:ascii="Cambria" w:hAnsi="Cambria"/>
          <w:i/>
          <w:iCs/>
          <w:noProof/>
          <w:sz w:val="20"/>
          <w:szCs w:val="20"/>
        </w:rPr>
        <w:t>International Journal of Managerial Studies and Research</w:t>
      </w:r>
      <w:r w:rsidRPr="009460DA">
        <w:rPr>
          <w:rFonts w:ascii="Cambria" w:hAnsi="Cambria"/>
          <w:noProof/>
          <w:sz w:val="20"/>
          <w:szCs w:val="20"/>
        </w:rPr>
        <w:t xml:space="preserve">, </w:t>
      </w:r>
      <w:r w:rsidRPr="009460DA">
        <w:rPr>
          <w:rFonts w:ascii="Cambria" w:hAnsi="Cambria"/>
          <w:i/>
          <w:iCs/>
          <w:noProof/>
          <w:sz w:val="20"/>
          <w:szCs w:val="20"/>
        </w:rPr>
        <w:t>6</w:t>
      </w:r>
      <w:r w:rsidRPr="009460DA">
        <w:rPr>
          <w:rFonts w:ascii="Cambria" w:hAnsi="Cambria"/>
          <w:noProof/>
          <w:sz w:val="20"/>
          <w:szCs w:val="20"/>
        </w:rPr>
        <w:t xml:space="preserve">(1), 36–41.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Sarfraz, M., Qun, W., Abdullah, M. I. &amp; Alvi, A. T. (2018). Employees’ perception of Corporate Social Responsibility impact on employee outcomes: Mediating role of organizational justice for Small and Medium Enterprises (SMEs). </w:t>
      </w:r>
      <w:r w:rsidRPr="009460DA">
        <w:rPr>
          <w:rFonts w:ascii="Cambria" w:hAnsi="Cambria"/>
          <w:i/>
          <w:iCs/>
          <w:noProof/>
          <w:sz w:val="20"/>
          <w:szCs w:val="20"/>
        </w:rPr>
        <w:t>Sustainability (Switzerland)</w:t>
      </w:r>
      <w:r w:rsidRPr="009460DA">
        <w:rPr>
          <w:rFonts w:ascii="Cambria" w:hAnsi="Cambria"/>
          <w:noProof/>
          <w:sz w:val="20"/>
          <w:szCs w:val="20"/>
        </w:rPr>
        <w:t xml:space="preserve">, </w:t>
      </w:r>
      <w:r w:rsidRPr="009460DA">
        <w:rPr>
          <w:rFonts w:ascii="Cambria" w:hAnsi="Cambria"/>
          <w:iCs/>
          <w:noProof/>
          <w:sz w:val="20"/>
          <w:szCs w:val="20"/>
        </w:rPr>
        <w:t>10</w:t>
      </w:r>
      <w:r w:rsidRPr="009460DA">
        <w:rPr>
          <w:rFonts w:ascii="Cambria" w:hAnsi="Cambria"/>
          <w:noProof/>
          <w:sz w:val="20"/>
          <w:szCs w:val="20"/>
        </w:rPr>
        <w:t xml:space="preserve">(7).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Shayegan, S., Yavari, N. &amp; Bazrkar, A. (2022). Human resource development practices and organizational performance: Examining the mediating role of transformational leadership style. </w:t>
      </w:r>
      <w:r w:rsidRPr="009460DA">
        <w:rPr>
          <w:rFonts w:ascii="Cambria" w:hAnsi="Cambria"/>
          <w:i/>
          <w:iCs/>
          <w:noProof/>
          <w:sz w:val="20"/>
          <w:szCs w:val="20"/>
        </w:rPr>
        <w:t>WPOM-Working Papers on Operations Management</w:t>
      </w:r>
      <w:r w:rsidRPr="009460DA">
        <w:rPr>
          <w:rFonts w:ascii="Cambria" w:hAnsi="Cambria"/>
          <w:noProof/>
          <w:sz w:val="20"/>
          <w:szCs w:val="20"/>
        </w:rPr>
        <w:t xml:space="preserve">, </w:t>
      </w:r>
      <w:r w:rsidRPr="009460DA">
        <w:rPr>
          <w:rFonts w:ascii="Cambria" w:hAnsi="Cambria"/>
          <w:iCs/>
          <w:noProof/>
          <w:sz w:val="20"/>
          <w:szCs w:val="20"/>
        </w:rPr>
        <w:t>13</w:t>
      </w:r>
      <w:r w:rsidRPr="009460DA">
        <w:rPr>
          <w:rFonts w:ascii="Cambria" w:hAnsi="Cambria"/>
          <w:noProof/>
          <w:sz w:val="20"/>
          <w:szCs w:val="20"/>
        </w:rPr>
        <w:t xml:space="preserve">(2), 64–85.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Sweis, R. J., Ogla, K., Abdallat, Y., Sweis, G. J., Suifan, T. &amp; Saleh, R. (2020). The impact of human resource management practices on organizational performance in construction companies in Jordan. </w:t>
      </w:r>
      <w:r w:rsidRPr="009460DA">
        <w:rPr>
          <w:rFonts w:ascii="Cambria" w:hAnsi="Cambria"/>
          <w:i/>
          <w:iCs/>
          <w:noProof/>
          <w:sz w:val="20"/>
          <w:szCs w:val="20"/>
        </w:rPr>
        <w:t>International Journal of Business Innovation and Research</w:t>
      </w:r>
      <w:r w:rsidRPr="009460DA">
        <w:rPr>
          <w:rFonts w:ascii="Cambria" w:hAnsi="Cambria"/>
          <w:noProof/>
          <w:sz w:val="20"/>
          <w:szCs w:val="20"/>
        </w:rPr>
        <w:t xml:space="preserve">, </w:t>
      </w:r>
      <w:r w:rsidRPr="009460DA">
        <w:rPr>
          <w:rFonts w:ascii="Cambria" w:hAnsi="Cambria"/>
          <w:iCs/>
          <w:noProof/>
          <w:sz w:val="20"/>
          <w:szCs w:val="20"/>
        </w:rPr>
        <w:t>23</w:t>
      </w:r>
      <w:r w:rsidRPr="009460DA">
        <w:rPr>
          <w:rFonts w:ascii="Cambria" w:hAnsi="Cambria"/>
          <w:noProof/>
          <w:sz w:val="20"/>
          <w:szCs w:val="20"/>
        </w:rPr>
        <w:t xml:space="preserve">(4), 421–434.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Tensay, A. T. &amp; Singh, M. (2020). The nexus between HRM, employee engagement and organizational performance of federal public service organizations in Ethiopia. </w:t>
      </w:r>
      <w:r w:rsidRPr="009460DA">
        <w:rPr>
          <w:rFonts w:ascii="Cambria" w:hAnsi="Cambria"/>
          <w:i/>
          <w:iCs/>
          <w:noProof/>
          <w:sz w:val="20"/>
          <w:szCs w:val="20"/>
        </w:rPr>
        <w:t>Heliyon</w:t>
      </w:r>
      <w:r w:rsidRPr="009460DA">
        <w:rPr>
          <w:rFonts w:ascii="Cambria" w:hAnsi="Cambria"/>
          <w:noProof/>
          <w:sz w:val="20"/>
          <w:szCs w:val="20"/>
        </w:rPr>
        <w:t xml:space="preserve">, </w:t>
      </w:r>
      <w:r w:rsidRPr="009460DA">
        <w:rPr>
          <w:rFonts w:ascii="Cambria" w:hAnsi="Cambria"/>
          <w:iCs/>
          <w:noProof/>
          <w:sz w:val="20"/>
          <w:szCs w:val="20"/>
        </w:rPr>
        <w:t>6</w:t>
      </w:r>
      <w:r w:rsidRPr="009460DA">
        <w:rPr>
          <w:rFonts w:ascii="Cambria" w:hAnsi="Cambria"/>
          <w:noProof/>
          <w:sz w:val="20"/>
          <w:szCs w:val="20"/>
        </w:rPr>
        <w:t xml:space="preserve">(6), e04094. </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r w:rsidRPr="009460DA">
        <w:rPr>
          <w:rFonts w:ascii="Cambria" w:hAnsi="Cambria"/>
          <w:noProof/>
          <w:sz w:val="20"/>
          <w:szCs w:val="20"/>
        </w:rPr>
        <w:t xml:space="preserve">Terng, L. C. &amp; Ahmad, N. (2021). The Relationship Between Human Resource Management Practices and Employee Performance. </w:t>
      </w:r>
      <w:r w:rsidRPr="009460DA">
        <w:rPr>
          <w:rFonts w:ascii="Cambria" w:hAnsi="Cambria"/>
          <w:i/>
          <w:iCs/>
          <w:noProof/>
          <w:sz w:val="20"/>
          <w:szCs w:val="20"/>
        </w:rPr>
        <w:t>Research In Management Of Technology And Business</w:t>
      </w:r>
      <w:r w:rsidRPr="009460DA">
        <w:rPr>
          <w:rFonts w:ascii="Cambria" w:hAnsi="Cambria"/>
          <w:noProof/>
          <w:sz w:val="20"/>
          <w:szCs w:val="20"/>
        </w:rPr>
        <w:t xml:space="preserve">, </w:t>
      </w:r>
      <w:r w:rsidRPr="009460DA">
        <w:rPr>
          <w:rFonts w:ascii="Cambria" w:hAnsi="Cambria"/>
          <w:iCs/>
          <w:noProof/>
          <w:sz w:val="20"/>
          <w:szCs w:val="20"/>
        </w:rPr>
        <w:t>2</w:t>
      </w:r>
      <w:r w:rsidRPr="009460DA">
        <w:rPr>
          <w:rFonts w:ascii="Cambria" w:hAnsi="Cambria"/>
          <w:noProof/>
          <w:sz w:val="20"/>
          <w:szCs w:val="20"/>
        </w:rPr>
        <w:t>(1), 123–136.</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cs="Arial"/>
          <w:b/>
          <w:sz w:val="20"/>
          <w:szCs w:val="20"/>
        </w:rPr>
      </w:pPr>
      <w:r w:rsidRPr="009460DA">
        <w:rPr>
          <w:rFonts w:ascii="Cambria" w:hAnsi="Cambria" w:cs="Arial"/>
          <w:noProof/>
          <w:sz w:val="20"/>
          <w:szCs w:val="20"/>
        </w:rPr>
        <w:t xml:space="preserve">Yeneneh, A. (2021). </w:t>
      </w:r>
      <w:r w:rsidRPr="009460DA">
        <w:rPr>
          <w:rFonts w:ascii="Cambria" w:hAnsi="Cambria" w:cs="Arial"/>
          <w:iCs/>
          <w:noProof/>
          <w:sz w:val="20"/>
          <w:szCs w:val="20"/>
        </w:rPr>
        <w:t>The Impact of Human Resource Management Practice on Organizational Commitment and Organizational Performance in the Public Sector, Ethiopia</w:t>
      </w:r>
      <w:r w:rsidRPr="009460DA">
        <w:rPr>
          <w:rFonts w:ascii="Cambria" w:hAnsi="Cambria" w:cs="Arial"/>
          <w:noProof/>
          <w:sz w:val="20"/>
          <w:szCs w:val="20"/>
        </w:rPr>
        <w:t>. Addis Ababa University Page.</w:t>
      </w:r>
    </w:p>
    <w:p w:rsidR="003A1358" w:rsidRPr="009460DA" w:rsidRDefault="003A1358" w:rsidP="009460DA">
      <w:pPr>
        <w:widowControl w:val="0"/>
        <w:autoSpaceDE w:val="0"/>
        <w:autoSpaceDN w:val="0"/>
        <w:adjustRightInd w:val="0"/>
        <w:spacing w:after="0" w:line="240" w:lineRule="auto"/>
        <w:ind w:left="720" w:hanging="720"/>
        <w:jc w:val="both"/>
        <w:rPr>
          <w:rFonts w:ascii="Cambria" w:hAnsi="Cambria"/>
          <w:noProof/>
          <w:sz w:val="20"/>
          <w:szCs w:val="20"/>
        </w:rPr>
      </w:pPr>
    </w:p>
    <w:p w:rsidR="003A1358" w:rsidRPr="009460DA" w:rsidRDefault="00902FB4" w:rsidP="009460DA">
      <w:pPr>
        <w:widowControl w:val="0"/>
        <w:autoSpaceDE w:val="0"/>
        <w:autoSpaceDN w:val="0"/>
        <w:adjustRightInd w:val="0"/>
        <w:spacing w:after="0" w:line="240" w:lineRule="auto"/>
        <w:ind w:left="720" w:hanging="720"/>
        <w:jc w:val="both"/>
        <w:rPr>
          <w:rFonts w:ascii="Cambria" w:hAnsi="Cambria" w:cs="Arial"/>
          <w:b/>
          <w:sz w:val="20"/>
          <w:szCs w:val="20"/>
        </w:rPr>
      </w:pPr>
      <w:r w:rsidRPr="009460DA">
        <w:rPr>
          <w:rFonts w:ascii="Cambria" w:hAnsi="Cambria" w:cs="Arial"/>
          <w:b/>
          <w:sz w:val="20"/>
          <w:szCs w:val="20"/>
        </w:rPr>
        <w:fldChar w:fldCharType="end"/>
      </w:r>
    </w:p>
    <w:p w:rsidR="003A1358" w:rsidRDefault="003A1358"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F730A4" w:rsidRDefault="00F730A4" w:rsidP="009460DA">
      <w:pPr>
        <w:spacing w:after="0" w:line="240" w:lineRule="auto"/>
        <w:jc w:val="both"/>
        <w:rPr>
          <w:rFonts w:ascii="Cambria" w:hAnsi="Cambria"/>
          <w:sz w:val="20"/>
          <w:szCs w:val="20"/>
          <w:lang w:val="en-US" w:eastAsia="zh-CN"/>
        </w:rPr>
      </w:pPr>
    </w:p>
    <w:p w:rsidR="00162181" w:rsidRPr="00162181" w:rsidRDefault="00162181" w:rsidP="00162181">
      <w:pPr>
        <w:pStyle w:val="Heading1"/>
        <w:spacing w:before="0" w:line="240" w:lineRule="auto"/>
        <w:jc w:val="center"/>
        <w:rPr>
          <w:rFonts w:ascii="Cambria" w:hAnsi="Cambria"/>
          <w:color w:val="auto"/>
          <w:sz w:val="20"/>
          <w:szCs w:val="20"/>
          <w:lang w:val="en-MY"/>
        </w:rPr>
      </w:pPr>
      <w:r w:rsidRPr="00162181">
        <w:rPr>
          <w:rFonts w:ascii="Cambria" w:hAnsi="Cambria"/>
          <w:color w:val="auto"/>
          <w:sz w:val="20"/>
          <w:szCs w:val="20"/>
          <w:lang w:val="en-MY"/>
        </w:rPr>
        <w:lastRenderedPageBreak/>
        <w:t>Modelling Online Shopping Behaviour Patterns among Higher Education Consumers: A Structural Equation Modelling (SEM-AMOS) Approach</w:t>
      </w:r>
    </w:p>
    <w:p w:rsidR="00162181" w:rsidRPr="00162181" w:rsidRDefault="00162181" w:rsidP="00162181">
      <w:pPr>
        <w:pStyle w:val="Heading1"/>
        <w:spacing w:before="0" w:line="240" w:lineRule="auto"/>
        <w:jc w:val="center"/>
        <w:rPr>
          <w:rFonts w:ascii="Cambria" w:hAnsi="Cambria"/>
          <w:color w:val="auto"/>
          <w:sz w:val="20"/>
          <w:szCs w:val="20"/>
          <w:lang w:val="en-MY"/>
        </w:rPr>
      </w:pPr>
    </w:p>
    <w:p w:rsidR="00162181" w:rsidRPr="00162181" w:rsidRDefault="00162181" w:rsidP="00162181">
      <w:pPr>
        <w:pStyle w:val="BodyText"/>
        <w:spacing w:after="0" w:line="240" w:lineRule="auto"/>
        <w:jc w:val="center"/>
        <w:rPr>
          <w:rFonts w:ascii="Cambria" w:hAnsi="Cambria"/>
          <w:color w:val="7030A0"/>
          <w:position w:val="5"/>
          <w:sz w:val="20"/>
          <w:szCs w:val="20"/>
          <w:vertAlign w:val="superscript"/>
        </w:rPr>
      </w:pPr>
      <w:r w:rsidRPr="00162181">
        <w:rPr>
          <w:rFonts w:ascii="Cambria" w:hAnsi="Cambria"/>
          <w:color w:val="7030A0"/>
          <w:sz w:val="20"/>
          <w:szCs w:val="20"/>
        </w:rPr>
        <w:t>Siti Hasma Hajar Mat Zin</w:t>
      </w:r>
      <w:r w:rsidRPr="00162181">
        <w:rPr>
          <w:rFonts w:ascii="Cambria" w:hAnsi="Cambria"/>
          <w:color w:val="7030A0"/>
          <w:position w:val="5"/>
          <w:sz w:val="20"/>
          <w:szCs w:val="20"/>
          <w:vertAlign w:val="superscript"/>
        </w:rPr>
        <w:t>1</w:t>
      </w:r>
      <w:r w:rsidRPr="00162181">
        <w:rPr>
          <w:rFonts w:ascii="Cambria" w:hAnsi="Cambria"/>
          <w:color w:val="7030A0"/>
          <w:position w:val="5"/>
          <w:sz w:val="20"/>
          <w:szCs w:val="20"/>
        </w:rPr>
        <w:t>*</w:t>
      </w:r>
      <w:r w:rsidRPr="00162181">
        <w:rPr>
          <w:rFonts w:ascii="Cambria" w:hAnsi="Cambria"/>
          <w:color w:val="7030A0"/>
          <w:sz w:val="20"/>
          <w:szCs w:val="20"/>
        </w:rPr>
        <w:t>, Siti Haslini Binti Zakaria</w:t>
      </w:r>
      <w:r w:rsidRPr="00162181">
        <w:rPr>
          <w:rFonts w:ascii="Cambria" w:hAnsi="Cambria"/>
          <w:color w:val="7030A0"/>
          <w:position w:val="5"/>
          <w:sz w:val="20"/>
          <w:szCs w:val="20"/>
          <w:vertAlign w:val="superscript"/>
        </w:rPr>
        <w:t>2</w:t>
      </w:r>
      <w:r w:rsidRPr="00162181">
        <w:rPr>
          <w:rFonts w:ascii="Cambria" w:hAnsi="Cambria"/>
          <w:color w:val="7030A0"/>
          <w:sz w:val="20"/>
          <w:szCs w:val="20"/>
        </w:rPr>
        <w:t>, Balkiah Moktar</w:t>
      </w:r>
      <w:r w:rsidRPr="00162181">
        <w:rPr>
          <w:rFonts w:ascii="Cambria" w:hAnsi="Cambria"/>
          <w:color w:val="7030A0"/>
          <w:position w:val="5"/>
          <w:sz w:val="20"/>
          <w:szCs w:val="20"/>
          <w:vertAlign w:val="superscript"/>
        </w:rPr>
        <w:t>3</w:t>
      </w:r>
      <w:r w:rsidRPr="00162181">
        <w:rPr>
          <w:rFonts w:ascii="Cambria" w:hAnsi="Cambria"/>
          <w:color w:val="7030A0"/>
          <w:position w:val="5"/>
          <w:sz w:val="20"/>
          <w:szCs w:val="20"/>
        </w:rPr>
        <w:t xml:space="preserve"> </w:t>
      </w:r>
      <w:r w:rsidRPr="00162181">
        <w:rPr>
          <w:rFonts w:ascii="Cambria" w:hAnsi="Cambria"/>
          <w:color w:val="7030A0"/>
          <w:sz w:val="20"/>
          <w:szCs w:val="20"/>
        </w:rPr>
        <w:t>&amp; Rumaizah Binti Che Md Nor</w:t>
      </w:r>
      <w:r w:rsidRPr="00162181">
        <w:rPr>
          <w:rFonts w:ascii="Cambria" w:hAnsi="Cambria"/>
          <w:color w:val="7030A0"/>
          <w:position w:val="5"/>
          <w:sz w:val="20"/>
          <w:szCs w:val="20"/>
          <w:vertAlign w:val="superscript"/>
        </w:rPr>
        <w:t>4</w:t>
      </w:r>
    </w:p>
    <w:p w:rsidR="00162181" w:rsidRPr="00162181" w:rsidRDefault="00162181" w:rsidP="00162181">
      <w:pPr>
        <w:pStyle w:val="BodyText"/>
        <w:spacing w:after="0" w:line="240" w:lineRule="auto"/>
        <w:ind w:firstLine="2"/>
        <w:jc w:val="center"/>
        <w:rPr>
          <w:rFonts w:ascii="Cambria" w:hAnsi="Cambria"/>
          <w:color w:val="7030A0"/>
          <w:sz w:val="20"/>
          <w:szCs w:val="20"/>
        </w:rPr>
      </w:pPr>
      <w:r w:rsidRPr="00162181">
        <w:rPr>
          <w:rFonts w:ascii="Cambria" w:hAnsi="Cambria"/>
          <w:color w:val="7030A0"/>
          <w:position w:val="5"/>
          <w:sz w:val="20"/>
          <w:szCs w:val="20"/>
          <w:vertAlign w:val="superscript"/>
        </w:rPr>
        <w:t>1</w:t>
      </w:r>
      <w:r w:rsidRPr="00162181">
        <w:rPr>
          <w:rFonts w:ascii="Cambria" w:hAnsi="Cambria"/>
          <w:color w:val="7030A0"/>
          <w:sz w:val="20"/>
          <w:szCs w:val="20"/>
        </w:rPr>
        <w:t>Mathematical Sciences Studies, College of Computing, Informatics and Mathematics, Universiti Teknologi MARA (UiTM), Johor Branch, Malaysia</w:t>
      </w:r>
    </w:p>
    <w:p w:rsidR="00162181" w:rsidRPr="00162181" w:rsidRDefault="00162181" w:rsidP="00162181">
      <w:pPr>
        <w:pStyle w:val="BodyText"/>
        <w:spacing w:after="0" w:line="240" w:lineRule="auto"/>
        <w:ind w:firstLine="2"/>
        <w:jc w:val="center"/>
        <w:rPr>
          <w:rFonts w:ascii="Cambria" w:hAnsi="Cambria"/>
          <w:color w:val="7030A0"/>
          <w:sz w:val="20"/>
          <w:szCs w:val="20"/>
        </w:rPr>
      </w:pPr>
      <w:r w:rsidRPr="00162181">
        <w:rPr>
          <w:rFonts w:ascii="Cambria" w:hAnsi="Cambria"/>
          <w:color w:val="7030A0"/>
          <w:position w:val="5"/>
          <w:sz w:val="20"/>
          <w:szCs w:val="20"/>
          <w:vertAlign w:val="superscript"/>
        </w:rPr>
        <w:t>2</w:t>
      </w:r>
      <w:r w:rsidRPr="00162181">
        <w:rPr>
          <w:rFonts w:ascii="Cambria" w:hAnsi="Cambria"/>
          <w:color w:val="7030A0"/>
          <w:position w:val="5"/>
          <w:sz w:val="20"/>
          <w:szCs w:val="20"/>
        </w:rPr>
        <w:t>Faculty of Business Management &amp; Professional Studies, Management Science &amp; University (MSU), University Drive, Shah Alam, Selangor, Malaysia</w:t>
      </w:r>
    </w:p>
    <w:p w:rsidR="00162181" w:rsidRPr="00162181" w:rsidRDefault="00162181" w:rsidP="00162181">
      <w:pPr>
        <w:pStyle w:val="BodyText"/>
        <w:spacing w:after="0" w:line="240" w:lineRule="auto"/>
        <w:ind w:firstLine="2"/>
        <w:jc w:val="center"/>
        <w:rPr>
          <w:rFonts w:ascii="Cambria" w:hAnsi="Cambria"/>
          <w:color w:val="7030A0"/>
          <w:sz w:val="20"/>
          <w:szCs w:val="20"/>
        </w:rPr>
      </w:pPr>
      <w:r w:rsidRPr="00162181">
        <w:rPr>
          <w:rFonts w:ascii="Cambria" w:hAnsi="Cambria"/>
          <w:color w:val="7030A0"/>
          <w:position w:val="5"/>
          <w:sz w:val="20"/>
          <w:szCs w:val="20"/>
          <w:vertAlign w:val="superscript"/>
        </w:rPr>
        <w:t>3</w:t>
      </w:r>
      <w:r w:rsidRPr="00162181">
        <w:rPr>
          <w:rFonts w:ascii="Cambria" w:hAnsi="Cambria"/>
          <w:color w:val="7030A0"/>
          <w:sz w:val="20"/>
          <w:szCs w:val="20"/>
        </w:rPr>
        <w:t>Mathematical Sciences Studies, College of Computing, Informatics and Mathematics, Universiti Teknologi MARA (UiTM), Perlis Branch, Malaysia</w:t>
      </w:r>
    </w:p>
    <w:p w:rsidR="00162181" w:rsidRPr="00162181" w:rsidRDefault="00162181" w:rsidP="00162181">
      <w:pPr>
        <w:pStyle w:val="BodyText"/>
        <w:spacing w:after="0" w:line="240" w:lineRule="auto"/>
        <w:ind w:firstLine="2"/>
        <w:jc w:val="center"/>
        <w:rPr>
          <w:rFonts w:ascii="Cambria" w:hAnsi="Cambria"/>
          <w:color w:val="7030A0"/>
          <w:sz w:val="20"/>
          <w:szCs w:val="20"/>
        </w:rPr>
      </w:pPr>
      <w:r w:rsidRPr="00162181">
        <w:rPr>
          <w:rFonts w:ascii="Cambria" w:hAnsi="Cambria"/>
          <w:color w:val="7030A0"/>
          <w:position w:val="5"/>
          <w:sz w:val="20"/>
          <w:szCs w:val="20"/>
          <w:vertAlign w:val="superscript"/>
        </w:rPr>
        <w:t>4</w:t>
      </w:r>
      <w:r w:rsidRPr="00162181">
        <w:rPr>
          <w:rFonts w:ascii="Cambria" w:hAnsi="Cambria"/>
          <w:color w:val="7030A0"/>
          <w:sz w:val="20"/>
          <w:szCs w:val="20"/>
        </w:rPr>
        <w:t>Mathematical Sciences Studies, College of Computing, Informatics and Mathematics, Universiti Teknologi MARA (UiTM), Sarawak Branch, Malaysia</w:t>
      </w:r>
    </w:p>
    <w:p w:rsidR="00162181" w:rsidRPr="00162181" w:rsidRDefault="00162181" w:rsidP="00162181">
      <w:pPr>
        <w:pStyle w:val="BodyText"/>
        <w:spacing w:after="0" w:line="240" w:lineRule="auto"/>
        <w:ind w:firstLine="2"/>
        <w:jc w:val="center"/>
        <w:rPr>
          <w:rFonts w:ascii="Cambria" w:hAnsi="Cambria"/>
          <w:color w:val="7030A0"/>
          <w:sz w:val="20"/>
          <w:szCs w:val="20"/>
        </w:rPr>
      </w:pPr>
      <w:r w:rsidRPr="00162181">
        <w:rPr>
          <w:rFonts w:ascii="Cambria" w:hAnsi="Cambria"/>
          <w:color w:val="7030A0"/>
          <w:sz w:val="20"/>
          <w:szCs w:val="20"/>
        </w:rPr>
        <w:t>hasmahajar@uitm.edu.my</w:t>
      </w:r>
      <w:r w:rsidRPr="00162181">
        <w:rPr>
          <w:rFonts w:ascii="Cambria" w:hAnsi="Cambria"/>
          <w:color w:val="7030A0"/>
          <w:sz w:val="20"/>
          <w:szCs w:val="20"/>
          <w:vertAlign w:val="superscript"/>
        </w:rPr>
        <w:t>1*</w:t>
      </w:r>
      <w:r w:rsidRPr="00162181">
        <w:rPr>
          <w:rFonts w:ascii="Cambria" w:hAnsi="Cambria"/>
          <w:color w:val="7030A0"/>
          <w:sz w:val="20"/>
          <w:szCs w:val="20"/>
        </w:rPr>
        <w:t>, siti_haslini@msu.edu.my</w:t>
      </w:r>
      <w:r w:rsidRPr="00162181">
        <w:rPr>
          <w:rFonts w:ascii="Cambria" w:hAnsi="Cambria"/>
          <w:color w:val="7030A0"/>
          <w:sz w:val="20"/>
          <w:szCs w:val="20"/>
          <w:vertAlign w:val="superscript"/>
        </w:rPr>
        <w:t>2</w:t>
      </w:r>
      <w:r w:rsidRPr="00162181">
        <w:rPr>
          <w:rFonts w:ascii="Cambria" w:hAnsi="Cambria"/>
          <w:color w:val="7030A0"/>
          <w:sz w:val="20"/>
          <w:szCs w:val="20"/>
        </w:rPr>
        <w:t>, balkiah@uitm.edu.my</w:t>
      </w:r>
      <w:r w:rsidRPr="00162181">
        <w:rPr>
          <w:rFonts w:ascii="Cambria" w:hAnsi="Cambria"/>
          <w:color w:val="7030A0"/>
          <w:sz w:val="20"/>
          <w:szCs w:val="20"/>
          <w:vertAlign w:val="superscript"/>
        </w:rPr>
        <w:t>3</w:t>
      </w:r>
      <w:r w:rsidRPr="00162181">
        <w:rPr>
          <w:rFonts w:ascii="Cambria" w:hAnsi="Cambria"/>
          <w:color w:val="7030A0"/>
          <w:sz w:val="20"/>
          <w:szCs w:val="20"/>
        </w:rPr>
        <w:t xml:space="preserve"> &amp; rumaizah@uitm.edu.my</w:t>
      </w:r>
      <w:r w:rsidRPr="00162181">
        <w:rPr>
          <w:rFonts w:ascii="Cambria" w:hAnsi="Cambria"/>
          <w:color w:val="7030A0"/>
          <w:sz w:val="20"/>
          <w:szCs w:val="20"/>
          <w:vertAlign w:val="superscript"/>
        </w:rPr>
        <w:t>4</w:t>
      </w:r>
    </w:p>
    <w:p w:rsidR="00162181" w:rsidRPr="00162181" w:rsidRDefault="00162181" w:rsidP="00162181">
      <w:pPr>
        <w:pStyle w:val="BodyText"/>
        <w:spacing w:after="0" w:line="240" w:lineRule="auto"/>
        <w:ind w:firstLine="2"/>
        <w:jc w:val="center"/>
        <w:rPr>
          <w:rFonts w:ascii="Cambria" w:hAnsi="Cambria"/>
          <w:color w:val="7030A0"/>
          <w:sz w:val="20"/>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b/>
          <w:sz w:val="20"/>
          <w:szCs w:val="20"/>
        </w:rPr>
        <w:t>Abstract:</w:t>
      </w:r>
      <w:r w:rsidRPr="00162181">
        <w:rPr>
          <w:rFonts w:ascii="Cambria" w:hAnsi="Cambria"/>
          <w:b/>
          <w:spacing w:val="1"/>
          <w:sz w:val="20"/>
          <w:szCs w:val="20"/>
        </w:rPr>
        <w:t xml:space="preserve"> </w:t>
      </w:r>
      <w:r w:rsidRPr="00162181">
        <w:rPr>
          <w:rFonts w:ascii="Cambria" w:hAnsi="Cambria"/>
          <w:sz w:val="20"/>
          <w:szCs w:val="20"/>
        </w:rPr>
        <w:t>Online shopping is a phenomenon that is growing rapidly all over the world. Since 2020, Malaysian consumers have shifted their preference towards online shopping to fulfill their daily needs compared to shopping in a traditional store. Due to this reason, it is vital to identify the characteristics that affect consumers' online shopping behavior between various online websites for business owners to improve their online marketplace. However, only a few studies on online shopping behavior patterns among consumers across different online shopping platforms have been conducted in Malaysia. Therefore, this study was conducted to identify the factors influencing online shopping behavior patterns among Malaysian consumers. The factors involved were web characteristics, external stimulus, affection, and cognition. Data was collected using an online questionnaire, and a cross-sectional research design was used for this study. SPSS version 26.0 and AMOS version 21.0 were used to analyze the data gathered. A total of 371 students and staff were selected randomly from Universiti Teknologi MARA (UiTM) in Malaysia. The results show that the best online shopping platform in Malaysia that is preferred by respondents is Shopee. Only two constructs were statistically significant for online shopping behavior, web characteristics, and cognition. However, the direct effect of external stimulus and affection is not statistically significant. In conclusion, e-businesses should enhance the functionality, usability, and appearance of their websites. Effectively enhancing consumers' perceptions of online shopping could potentially have a positive influence on both their purchase intent and behavior.</w:t>
      </w:r>
    </w:p>
    <w:p w:rsidR="00162181" w:rsidRPr="00162181" w:rsidRDefault="00162181" w:rsidP="00162181">
      <w:pPr>
        <w:pStyle w:val="BodyText"/>
        <w:spacing w:after="0" w:line="240" w:lineRule="auto"/>
        <w:jc w:val="both"/>
        <w:rPr>
          <w:rFonts w:ascii="Cambria" w:hAnsi="Cambria"/>
          <w:sz w:val="20"/>
          <w:szCs w:val="20"/>
        </w:rPr>
      </w:pPr>
    </w:p>
    <w:p w:rsidR="00162181" w:rsidRPr="00162181" w:rsidRDefault="00162181" w:rsidP="00162181">
      <w:pPr>
        <w:pBdr>
          <w:bottom w:val="single" w:sz="4" w:space="1" w:color="auto"/>
        </w:pBdr>
        <w:spacing w:after="0" w:line="240" w:lineRule="auto"/>
        <w:jc w:val="both"/>
        <w:rPr>
          <w:rFonts w:ascii="Cambria" w:hAnsi="Cambria"/>
          <w:i/>
          <w:sz w:val="20"/>
          <w:szCs w:val="20"/>
        </w:rPr>
      </w:pPr>
      <w:r w:rsidRPr="00162181">
        <w:rPr>
          <w:rFonts w:ascii="Cambria" w:hAnsi="Cambria"/>
          <w:b/>
          <w:sz w:val="20"/>
          <w:szCs w:val="20"/>
        </w:rPr>
        <w:t>Keywords</w:t>
      </w:r>
      <w:r w:rsidRPr="00162181">
        <w:rPr>
          <w:rFonts w:ascii="Cambria" w:hAnsi="Cambria"/>
          <w:sz w:val="20"/>
          <w:szCs w:val="20"/>
        </w:rPr>
        <w:t xml:space="preserve">: </w:t>
      </w:r>
      <w:r w:rsidRPr="00162181">
        <w:rPr>
          <w:rFonts w:ascii="Cambria" w:hAnsi="Cambria"/>
          <w:i/>
          <w:sz w:val="20"/>
          <w:szCs w:val="20"/>
        </w:rPr>
        <w:t>Web characteristics, external stimulus, cognition, affection, behavior.</w:t>
      </w: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p>
    <w:p w:rsidR="00162181" w:rsidRPr="00162181" w:rsidRDefault="00162181" w:rsidP="00162181">
      <w:pPr>
        <w:pStyle w:val="Heading1"/>
        <w:tabs>
          <w:tab w:val="left" w:pos="447"/>
        </w:tabs>
        <w:spacing w:before="0" w:line="240" w:lineRule="auto"/>
        <w:jc w:val="both"/>
        <w:rPr>
          <w:rFonts w:ascii="Cambria" w:hAnsi="Cambria"/>
          <w:color w:val="auto"/>
          <w:sz w:val="20"/>
          <w:szCs w:val="20"/>
        </w:rPr>
      </w:pPr>
      <w:r w:rsidRPr="00162181">
        <w:rPr>
          <w:rFonts w:ascii="Cambria" w:hAnsi="Cambria"/>
          <w:bCs w:val="0"/>
          <w:color w:val="auto"/>
          <w:sz w:val="20"/>
          <w:szCs w:val="20"/>
        </w:rPr>
        <w:t xml:space="preserve">1. </w:t>
      </w:r>
      <w:r w:rsidRPr="00162181">
        <w:rPr>
          <w:rFonts w:ascii="Cambria" w:hAnsi="Cambria"/>
          <w:color w:val="auto"/>
          <w:sz w:val="20"/>
          <w:szCs w:val="20"/>
        </w:rPr>
        <w:t>Introduction</w:t>
      </w:r>
      <w:r w:rsidRPr="00162181">
        <w:rPr>
          <w:rFonts w:ascii="Cambria" w:hAnsi="Cambria"/>
          <w:color w:val="auto"/>
          <w:spacing w:val="-5"/>
          <w:sz w:val="20"/>
          <w:szCs w:val="20"/>
        </w:rPr>
        <w:t xml:space="preserve"> </w:t>
      </w:r>
      <w:r w:rsidRPr="00162181">
        <w:rPr>
          <w:rFonts w:ascii="Cambria" w:hAnsi="Cambria"/>
          <w:color w:val="auto"/>
          <w:sz w:val="20"/>
          <w:szCs w:val="20"/>
        </w:rPr>
        <w:t>and</w:t>
      </w:r>
      <w:r w:rsidRPr="00162181">
        <w:rPr>
          <w:rFonts w:ascii="Cambria" w:hAnsi="Cambria"/>
          <w:color w:val="auto"/>
          <w:spacing w:val="-5"/>
          <w:sz w:val="20"/>
          <w:szCs w:val="20"/>
        </w:rPr>
        <w:t xml:space="preserve"> </w:t>
      </w:r>
      <w:r w:rsidRPr="00162181">
        <w:rPr>
          <w:rFonts w:ascii="Cambria" w:hAnsi="Cambria"/>
          <w:color w:val="auto"/>
          <w:sz w:val="20"/>
          <w:szCs w:val="20"/>
        </w:rPr>
        <w:t>Background</w:t>
      </w: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Nowadays, online shopping is a global phenomenon that is expanding quickly. Consumers' online shopping habits have been permanently altered because of the pandemic Coronavirus Disease 2019 (COVID-19). A related study by the United Nations Conference on Trade and Development (2020) found that 50 percent of the respondents from nine countries prefer to shop online more frequently. Additionally, they used the internet more frequently for news, medical information, and online entertainment. Due to the COVID-19 epidemic, consumers in developing nations are moving towards a more digital lifestyle. These developments will have an ongoing impact even when the global economy starts to recover. In Malaysia, consumers continue to prioritize online shopping for their daily requirements over traditional in-store shopping. According to an IPSOS Malaysia survey conducted in 2022, online shopping among consumers appears structured, with individuals displaying a consistent inclination towards online shopping even two years after the country reopened due to COVID-19.</w:t>
      </w:r>
    </w:p>
    <w:p w:rsidR="00162181" w:rsidRPr="00162181" w:rsidRDefault="00162181" w:rsidP="00162181">
      <w:pPr>
        <w:pStyle w:val="BodyText"/>
        <w:spacing w:after="0" w:line="240" w:lineRule="auto"/>
        <w:jc w:val="both"/>
        <w:rPr>
          <w:rFonts w:ascii="Cambria" w:hAnsi="Cambria"/>
          <w:sz w:val="20"/>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Based on,</w:t>
      </w:r>
      <w:r w:rsidRPr="00162181">
        <w:rPr>
          <w:rFonts w:ascii="Cambria" w:hAnsi="Cambria"/>
          <w:noProof/>
          <w:sz w:val="20"/>
          <w:szCs w:val="20"/>
        </w:rPr>
        <w:t xml:space="preserve"> Daroch, Nagrath, &amp; Gupta (2021)</w:t>
      </w:r>
      <w:r w:rsidRPr="00162181">
        <w:rPr>
          <w:rFonts w:ascii="Cambria" w:hAnsi="Cambria"/>
          <w:sz w:val="20"/>
          <w:szCs w:val="20"/>
        </w:rPr>
        <w:t xml:space="preserve">, online shopping refers to the act of purchasing items directly from the seller without the need for an intermediary. It is often referred to as the process of buying and selling products online. It also has other names such as e-shop, e-store, internet shop, webstore, virtual store, and online store </w:t>
      </w:r>
      <w:sdt>
        <w:sdtPr>
          <w:rPr>
            <w:rFonts w:ascii="Cambria" w:hAnsi="Cambria"/>
            <w:sz w:val="20"/>
            <w:szCs w:val="20"/>
          </w:rPr>
          <w:id w:val="-89165753"/>
          <w:citation/>
        </w:sdtPr>
        <w:sdtContent>
          <w:r w:rsidRPr="00162181">
            <w:rPr>
              <w:rFonts w:ascii="Cambria" w:hAnsi="Cambria"/>
              <w:sz w:val="20"/>
              <w:szCs w:val="20"/>
            </w:rPr>
            <w:fldChar w:fldCharType="begin"/>
          </w:r>
          <w:r w:rsidRPr="00162181">
            <w:rPr>
              <w:rFonts w:ascii="Cambria" w:hAnsi="Cambria"/>
              <w:sz w:val="20"/>
              <w:szCs w:val="20"/>
            </w:rPr>
            <w:instrText xml:space="preserve"> CITATION Sin13 \l 1033 </w:instrText>
          </w:r>
          <w:r w:rsidRPr="00162181">
            <w:rPr>
              <w:rFonts w:ascii="Cambria" w:hAnsi="Cambria"/>
              <w:sz w:val="20"/>
              <w:szCs w:val="20"/>
            </w:rPr>
            <w:fldChar w:fldCharType="separate"/>
          </w:r>
          <w:r w:rsidRPr="00162181">
            <w:rPr>
              <w:rFonts w:ascii="Cambria" w:hAnsi="Cambria"/>
              <w:noProof/>
              <w:sz w:val="20"/>
              <w:szCs w:val="20"/>
            </w:rPr>
            <w:t>(Singh &amp; Sailo, 2013)</w:t>
          </w:r>
          <w:r w:rsidRPr="00162181">
            <w:rPr>
              <w:rFonts w:ascii="Cambria" w:hAnsi="Cambria"/>
              <w:sz w:val="20"/>
              <w:szCs w:val="20"/>
            </w:rPr>
            <w:fldChar w:fldCharType="end"/>
          </w:r>
        </w:sdtContent>
      </w:sdt>
      <w:r w:rsidRPr="00162181">
        <w:rPr>
          <w:rFonts w:ascii="Cambria" w:hAnsi="Cambria"/>
          <w:sz w:val="20"/>
          <w:szCs w:val="20"/>
        </w:rPr>
        <w:t xml:space="preserve">. Online retailers describe every item in text, with photographs, and with multimedia components, in contrast to physical stores. Many online retailers include links to pages with a variety of additional product information </w:t>
      </w:r>
      <w:sdt>
        <w:sdtPr>
          <w:rPr>
            <w:rFonts w:ascii="Cambria" w:hAnsi="Cambria"/>
            <w:sz w:val="20"/>
            <w:szCs w:val="20"/>
          </w:rPr>
          <w:id w:val="1184016888"/>
          <w:citation/>
        </w:sdtPr>
        <w:sdtContent>
          <w:r w:rsidRPr="00162181">
            <w:rPr>
              <w:rFonts w:ascii="Cambria" w:hAnsi="Cambria"/>
              <w:sz w:val="20"/>
              <w:szCs w:val="20"/>
            </w:rPr>
            <w:fldChar w:fldCharType="begin"/>
          </w:r>
          <w:r w:rsidRPr="00162181">
            <w:rPr>
              <w:rFonts w:ascii="Cambria" w:hAnsi="Cambria"/>
              <w:sz w:val="20"/>
              <w:szCs w:val="20"/>
            </w:rPr>
            <w:instrText xml:space="preserve"> CITATION Rah18 \l 1033 </w:instrText>
          </w:r>
          <w:r w:rsidRPr="00162181">
            <w:rPr>
              <w:rFonts w:ascii="Cambria" w:hAnsi="Cambria"/>
              <w:sz w:val="20"/>
              <w:szCs w:val="20"/>
            </w:rPr>
            <w:fldChar w:fldCharType="separate"/>
          </w:r>
          <w:r w:rsidRPr="00162181">
            <w:rPr>
              <w:rFonts w:ascii="Cambria" w:hAnsi="Cambria"/>
              <w:noProof/>
              <w:sz w:val="20"/>
              <w:szCs w:val="20"/>
            </w:rPr>
            <w:t>(Rahman, et al., 2018)</w:t>
          </w:r>
          <w:r w:rsidRPr="00162181">
            <w:rPr>
              <w:rFonts w:ascii="Cambria" w:hAnsi="Cambria"/>
              <w:sz w:val="20"/>
              <w:szCs w:val="20"/>
            </w:rPr>
            <w:fldChar w:fldCharType="end"/>
          </w:r>
        </w:sdtContent>
      </w:sdt>
      <w:r w:rsidRPr="00162181">
        <w:rPr>
          <w:rFonts w:ascii="Cambria" w:hAnsi="Cambria"/>
          <w:sz w:val="20"/>
          <w:szCs w:val="20"/>
        </w:rPr>
        <w:t xml:space="preserve">. Potential customers will use the internet to </w:t>
      </w:r>
      <w:r w:rsidRPr="00162181">
        <w:rPr>
          <w:rFonts w:ascii="Cambria" w:hAnsi="Cambria"/>
          <w:sz w:val="20"/>
          <w:szCs w:val="20"/>
        </w:rPr>
        <w:lastRenderedPageBreak/>
        <w:t xml:space="preserve">access relevant information for specific items or services during online purchasing. To satisfy their perceived demands, individuals then assess the choices and choose the one that best satisfies their criteria. Lastly, the transaction is carried out by </w:t>
      </w:r>
      <w:r w:rsidRPr="00162181">
        <w:rPr>
          <w:rFonts w:ascii="Cambria" w:hAnsi="Cambria"/>
          <w:noProof/>
          <w:sz w:val="20"/>
          <w:szCs w:val="20"/>
        </w:rPr>
        <w:t>Javadi, Dolatabadi, Nourbakhsh, Poursaeedi, &amp; Asadollahi (2012)</w:t>
      </w:r>
      <w:r w:rsidRPr="00162181">
        <w:rPr>
          <w:rFonts w:ascii="Cambria" w:hAnsi="Cambria"/>
          <w:sz w:val="20"/>
          <w:szCs w:val="20"/>
        </w:rPr>
        <w:t xml:space="preserve">. The term online shopping attitude describes individuals' sentiments and emotions toward engaging in online purchases </w:t>
      </w:r>
      <w:sdt>
        <w:sdtPr>
          <w:rPr>
            <w:rFonts w:ascii="Cambria" w:hAnsi="Cambria"/>
            <w:sz w:val="20"/>
            <w:szCs w:val="20"/>
          </w:rPr>
          <w:id w:val="-480539128"/>
          <w:citation/>
        </w:sdtPr>
        <w:sdtContent>
          <w:r w:rsidRPr="00162181">
            <w:rPr>
              <w:rFonts w:ascii="Cambria" w:hAnsi="Cambria"/>
              <w:sz w:val="20"/>
              <w:szCs w:val="20"/>
            </w:rPr>
            <w:fldChar w:fldCharType="begin"/>
          </w:r>
          <w:r w:rsidRPr="00162181">
            <w:rPr>
              <w:rFonts w:ascii="Cambria" w:hAnsi="Cambria"/>
              <w:sz w:val="20"/>
              <w:szCs w:val="20"/>
            </w:rPr>
            <w:instrText xml:space="preserve"> CITATION LiY22 \l 1033 </w:instrText>
          </w:r>
          <w:r w:rsidRPr="00162181">
            <w:rPr>
              <w:rFonts w:ascii="Cambria" w:hAnsi="Cambria"/>
              <w:sz w:val="20"/>
              <w:szCs w:val="20"/>
            </w:rPr>
            <w:fldChar w:fldCharType="separate"/>
          </w:r>
          <w:r w:rsidRPr="00162181">
            <w:rPr>
              <w:rFonts w:ascii="Cambria" w:hAnsi="Cambria"/>
              <w:noProof/>
              <w:sz w:val="20"/>
              <w:szCs w:val="20"/>
            </w:rPr>
            <w:t>(Li, 2022)</w:t>
          </w:r>
          <w:r w:rsidRPr="00162181">
            <w:rPr>
              <w:rFonts w:ascii="Cambria" w:hAnsi="Cambria"/>
              <w:sz w:val="20"/>
              <w:szCs w:val="20"/>
            </w:rPr>
            <w:fldChar w:fldCharType="end"/>
          </w:r>
        </w:sdtContent>
      </w:sdt>
      <w:r w:rsidRPr="00162181">
        <w:rPr>
          <w:rFonts w:ascii="Cambria" w:hAnsi="Cambria"/>
          <w:sz w:val="20"/>
          <w:szCs w:val="20"/>
        </w:rPr>
        <w:t xml:space="preserve">. According to </w:t>
      </w:r>
      <w:r w:rsidRPr="00162181">
        <w:rPr>
          <w:rFonts w:ascii="Cambria" w:hAnsi="Cambria"/>
          <w:noProof/>
          <w:sz w:val="20"/>
          <w:szCs w:val="20"/>
        </w:rPr>
        <w:t>Javadi et al, (2012)</w:t>
      </w:r>
      <w:r w:rsidRPr="00162181">
        <w:rPr>
          <w:rFonts w:ascii="Cambria" w:hAnsi="Cambria"/>
          <w:sz w:val="20"/>
          <w:szCs w:val="20"/>
        </w:rPr>
        <w:t>, some internet shoppers are adventurous explorers, fun seekers, and shopping lovers, while others are technology muddlers who detest waiting for deliveries.</w:t>
      </w:r>
    </w:p>
    <w:p w:rsidR="00162181" w:rsidRPr="00162181" w:rsidRDefault="00162181" w:rsidP="00162181">
      <w:pPr>
        <w:pStyle w:val="BodyText"/>
        <w:spacing w:after="0" w:line="240" w:lineRule="auto"/>
        <w:jc w:val="both"/>
        <w:rPr>
          <w:rFonts w:ascii="Cambria" w:hAnsi="Cambria"/>
          <w:sz w:val="16"/>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 xml:space="preserve">Consequently, more research is now being done to better understand the unique traits of online shopping by concentrating on online consumer behavior. There are several reasons why consumers prefer to shop online. Some consumers prefer to buy online since they can save time due to hectic schedules </w:t>
      </w:r>
      <w:r w:rsidRPr="00162181">
        <w:rPr>
          <w:rFonts w:ascii="Cambria" w:hAnsi="Cambria"/>
          <w:noProof/>
          <w:sz w:val="20"/>
          <w:szCs w:val="20"/>
        </w:rPr>
        <w:t>(Huseynov &amp; Ozkan, 2016</w:t>
      </w:r>
      <w:r w:rsidRPr="00162181">
        <w:rPr>
          <w:rFonts w:ascii="Cambria" w:hAnsi="Cambria"/>
          <w:sz w:val="20"/>
          <w:szCs w:val="20"/>
        </w:rPr>
        <w:t>;</w:t>
      </w:r>
      <w:r w:rsidRPr="00162181">
        <w:rPr>
          <w:rFonts w:ascii="Cambria" w:hAnsi="Cambria"/>
          <w:noProof/>
          <w:sz w:val="20"/>
          <w:szCs w:val="20"/>
        </w:rPr>
        <w:t xml:space="preserve"> Mittal, 2013)</w:t>
      </w:r>
      <w:r w:rsidRPr="00162181">
        <w:rPr>
          <w:rFonts w:ascii="Cambria" w:hAnsi="Cambria"/>
          <w:sz w:val="20"/>
          <w:szCs w:val="20"/>
        </w:rPr>
        <w:t xml:space="preserve">. Besides that, convenience, fun, and speed are the other factors driving consumers to purchase more online </w:t>
      </w:r>
      <w:sdt>
        <w:sdtPr>
          <w:rPr>
            <w:rFonts w:ascii="Cambria" w:hAnsi="Cambria"/>
            <w:sz w:val="20"/>
            <w:szCs w:val="20"/>
          </w:rPr>
          <w:id w:val="-713269348"/>
          <w:citation/>
        </w:sdtPr>
        <w:sdtContent>
          <w:r w:rsidRPr="00162181">
            <w:rPr>
              <w:rFonts w:ascii="Cambria" w:hAnsi="Cambria"/>
              <w:sz w:val="20"/>
              <w:szCs w:val="20"/>
            </w:rPr>
            <w:fldChar w:fldCharType="begin"/>
          </w:r>
          <w:r w:rsidRPr="00162181">
            <w:rPr>
              <w:rFonts w:ascii="Cambria" w:hAnsi="Cambria"/>
              <w:sz w:val="20"/>
              <w:szCs w:val="20"/>
            </w:rPr>
            <w:instrText xml:space="preserve"> CITATION Len09 \l 1033 </w:instrText>
          </w:r>
          <w:r w:rsidRPr="00162181">
            <w:rPr>
              <w:rFonts w:ascii="Cambria" w:hAnsi="Cambria"/>
              <w:sz w:val="20"/>
              <w:szCs w:val="20"/>
            </w:rPr>
            <w:fldChar w:fldCharType="separate"/>
          </w:r>
          <w:r w:rsidRPr="00162181">
            <w:rPr>
              <w:rFonts w:ascii="Cambria" w:hAnsi="Cambria"/>
              <w:noProof/>
              <w:sz w:val="20"/>
              <w:szCs w:val="20"/>
            </w:rPr>
            <w:t>(Lennon, Ha, &amp; Lyons, 2009)</w:t>
          </w:r>
          <w:r w:rsidRPr="00162181">
            <w:rPr>
              <w:rFonts w:ascii="Cambria" w:hAnsi="Cambria"/>
              <w:sz w:val="20"/>
              <w:szCs w:val="20"/>
            </w:rPr>
            <w:fldChar w:fldCharType="end"/>
          </w:r>
        </w:sdtContent>
      </w:sdt>
      <w:r w:rsidRPr="00162181">
        <w:rPr>
          <w:rFonts w:ascii="Cambria" w:hAnsi="Cambria"/>
          <w:sz w:val="20"/>
          <w:szCs w:val="20"/>
        </w:rPr>
        <w:t xml:space="preserve">. Consumers who shop online also benefit more because they may save time, avoid using cash, and choose the product they want </w:t>
      </w:r>
      <w:r w:rsidRPr="00162181">
        <w:rPr>
          <w:rFonts w:ascii="Cambria" w:hAnsi="Cambria"/>
          <w:noProof/>
          <w:sz w:val="20"/>
          <w:szCs w:val="20"/>
        </w:rPr>
        <w:t>(Yazid, Wel, &amp; Omar, 2016</w:t>
      </w:r>
      <w:r w:rsidRPr="00162181">
        <w:rPr>
          <w:rFonts w:ascii="Cambria" w:hAnsi="Cambria"/>
          <w:sz w:val="20"/>
          <w:szCs w:val="20"/>
        </w:rPr>
        <w:t xml:space="preserve">; </w:t>
      </w:r>
      <w:r w:rsidRPr="00162181">
        <w:rPr>
          <w:rFonts w:ascii="Cambria" w:hAnsi="Cambria"/>
          <w:noProof/>
          <w:sz w:val="20"/>
          <w:szCs w:val="20"/>
        </w:rPr>
        <w:t>Yulihasri, Islam, &amp; Daud, 2011)</w:t>
      </w:r>
      <w:r w:rsidRPr="00162181">
        <w:rPr>
          <w:rFonts w:ascii="Cambria" w:hAnsi="Cambria"/>
          <w:sz w:val="20"/>
          <w:szCs w:val="20"/>
        </w:rPr>
        <w:t xml:space="preserve">. Using an e-commerce platform allows customers to find everything they need under one roof </w:t>
      </w:r>
      <w:sdt>
        <w:sdtPr>
          <w:rPr>
            <w:rFonts w:ascii="Cambria" w:hAnsi="Cambria"/>
            <w:sz w:val="20"/>
            <w:szCs w:val="20"/>
          </w:rPr>
          <w:id w:val="-2132238741"/>
          <w:citation/>
        </w:sdtPr>
        <w:sdtContent>
          <w:r w:rsidRPr="00162181">
            <w:rPr>
              <w:rFonts w:ascii="Cambria" w:hAnsi="Cambria"/>
              <w:sz w:val="20"/>
              <w:szCs w:val="20"/>
            </w:rPr>
            <w:fldChar w:fldCharType="begin"/>
          </w:r>
          <w:r w:rsidRPr="00162181">
            <w:rPr>
              <w:rFonts w:ascii="Cambria" w:hAnsi="Cambria"/>
              <w:sz w:val="20"/>
              <w:szCs w:val="20"/>
            </w:rPr>
            <w:instrText xml:space="preserve"> CITATION Sae20 \l 1033 </w:instrText>
          </w:r>
          <w:r w:rsidRPr="00162181">
            <w:rPr>
              <w:rFonts w:ascii="Cambria" w:hAnsi="Cambria"/>
              <w:sz w:val="20"/>
              <w:szCs w:val="20"/>
            </w:rPr>
            <w:fldChar w:fldCharType="separate"/>
          </w:r>
          <w:r w:rsidRPr="00162181">
            <w:rPr>
              <w:rFonts w:ascii="Cambria" w:hAnsi="Cambria"/>
              <w:noProof/>
              <w:sz w:val="20"/>
              <w:szCs w:val="20"/>
            </w:rPr>
            <w:t>(Saeeda, Naqvib, &amp; Memon, 2020)</w:t>
          </w:r>
          <w:r w:rsidRPr="00162181">
            <w:rPr>
              <w:rFonts w:ascii="Cambria" w:hAnsi="Cambria"/>
              <w:sz w:val="20"/>
              <w:szCs w:val="20"/>
            </w:rPr>
            <w:fldChar w:fldCharType="end"/>
          </w:r>
        </w:sdtContent>
      </w:sdt>
      <w:r w:rsidRPr="00162181">
        <w:rPr>
          <w:rFonts w:ascii="Cambria" w:hAnsi="Cambria"/>
          <w:sz w:val="20"/>
          <w:szCs w:val="20"/>
        </w:rPr>
        <w:t xml:space="preserve">. The number of customers and sales through online shopping has grown consistently over the previous ten years, according to </w:t>
      </w:r>
      <w:r w:rsidRPr="00162181">
        <w:rPr>
          <w:rFonts w:ascii="Cambria" w:hAnsi="Cambria"/>
          <w:noProof/>
          <w:sz w:val="20"/>
          <w:szCs w:val="20"/>
        </w:rPr>
        <w:t>Ozen &amp; Engizek (2014)</w:t>
      </w:r>
      <w:r w:rsidRPr="00162181">
        <w:rPr>
          <w:rFonts w:ascii="Cambria" w:hAnsi="Cambria"/>
          <w:sz w:val="20"/>
          <w:szCs w:val="20"/>
        </w:rPr>
        <w:t xml:space="preserve">. More businesses are becoming so interested in the e-commerce industry's rapid growth and rising market value that they invest in developing online shopping websites to provide customers with more options </w:t>
      </w:r>
      <w:sdt>
        <w:sdtPr>
          <w:rPr>
            <w:rFonts w:ascii="Cambria" w:hAnsi="Cambria"/>
            <w:sz w:val="20"/>
            <w:szCs w:val="20"/>
          </w:rPr>
          <w:id w:val="1518036249"/>
          <w:citation/>
        </w:sdtPr>
        <w:sdtContent>
          <w:r w:rsidRPr="00162181">
            <w:rPr>
              <w:rFonts w:ascii="Cambria" w:hAnsi="Cambria"/>
              <w:sz w:val="20"/>
              <w:szCs w:val="20"/>
            </w:rPr>
            <w:fldChar w:fldCharType="begin"/>
          </w:r>
          <w:r w:rsidRPr="00162181">
            <w:rPr>
              <w:rFonts w:ascii="Cambria" w:hAnsi="Cambria"/>
              <w:sz w:val="20"/>
              <w:szCs w:val="20"/>
            </w:rPr>
            <w:instrText xml:space="preserve"> CITATION WuS17 \l 1033 </w:instrText>
          </w:r>
          <w:r w:rsidRPr="00162181">
            <w:rPr>
              <w:rFonts w:ascii="Cambria" w:hAnsi="Cambria"/>
              <w:sz w:val="20"/>
              <w:szCs w:val="20"/>
            </w:rPr>
            <w:fldChar w:fldCharType="separate"/>
          </w:r>
          <w:r w:rsidRPr="00162181">
            <w:rPr>
              <w:rFonts w:ascii="Cambria" w:hAnsi="Cambria"/>
              <w:noProof/>
              <w:sz w:val="20"/>
              <w:szCs w:val="20"/>
            </w:rPr>
            <w:t>(Wu &amp; Tsai, 2017)</w:t>
          </w:r>
          <w:r w:rsidRPr="00162181">
            <w:rPr>
              <w:rFonts w:ascii="Cambria" w:hAnsi="Cambria"/>
              <w:sz w:val="20"/>
              <w:szCs w:val="20"/>
            </w:rPr>
            <w:fldChar w:fldCharType="end"/>
          </w:r>
        </w:sdtContent>
      </w:sdt>
      <w:r w:rsidRPr="00162181">
        <w:rPr>
          <w:rFonts w:ascii="Cambria" w:hAnsi="Cambria"/>
          <w:sz w:val="20"/>
          <w:szCs w:val="20"/>
        </w:rPr>
        <w:t>.</w:t>
      </w:r>
    </w:p>
    <w:p w:rsidR="00162181" w:rsidRPr="00162181" w:rsidRDefault="00162181" w:rsidP="00162181">
      <w:pPr>
        <w:pStyle w:val="BodyText"/>
        <w:spacing w:after="0" w:line="240" w:lineRule="auto"/>
        <w:jc w:val="both"/>
        <w:rPr>
          <w:rFonts w:ascii="Cambria" w:hAnsi="Cambria"/>
          <w:sz w:val="16"/>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 xml:space="preserve">The majority of businesses with an online presence manages logistics and fulfilment, carry out e-commerce marketing and sales activities, and more using an online shop or platform. Nowadays, all e-commerce platforms are making a lot of effort to expand their user bases and find the best marketing strategies </w:t>
      </w:r>
      <w:sdt>
        <w:sdtPr>
          <w:rPr>
            <w:rFonts w:ascii="Cambria" w:hAnsi="Cambria"/>
            <w:sz w:val="20"/>
            <w:szCs w:val="20"/>
          </w:rPr>
          <w:id w:val="-838772312"/>
          <w:citation/>
        </w:sdtPr>
        <w:sdtContent>
          <w:r w:rsidRPr="00162181">
            <w:rPr>
              <w:rFonts w:ascii="Cambria" w:hAnsi="Cambria"/>
              <w:sz w:val="20"/>
              <w:szCs w:val="20"/>
            </w:rPr>
            <w:fldChar w:fldCharType="begin"/>
          </w:r>
          <w:r w:rsidRPr="00162181">
            <w:rPr>
              <w:rFonts w:ascii="Cambria" w:hAnsi="Cambria"/>
              <w:sz w:val="20"/>
              <w:szCs w:val="20"/>
            </w:rPr>
            <w:instrText xml:space="preserve"> CITATION Yid21 \l 1033 </w:instrText>
          </w:r>
          <w:r w:rsidRPr="00162181">
            <w:rPr>
              <w:rFonts w:ascii="Cambria" w:hAnsi="Cambria"/>
              <w:sz w:val="20"/>
              <w:szCs w:val="20"/>
            </w:rPr>
            <w:fldChar w:fldCharType="separate"/>
          </w:r>
          <w:r w:rsidRPr="00162181">
            <w:rPr>
              <w:rFonts w:ascii="Cambria" w:hAnsi="Cambria"/>
              <w:noProof/>
              <w:sz w:val="20"/>
              <w:szCs w:val="20"/>
            </w:rPr>
            <w:t>(Wang, 2021)</w:t>
          </w:r>
          <w:r w:rsidRPr="00162181">
            <w:rPr>
              <w:rFonts w:ascii="Cambria" w:hAnsi="Cambria"/>
              <w:sz w:val="20"/>
              <w:szCs w:val="20"/>
            </w:rPr>
            <w:fldChar w:fldCharType="end"/>
          </w:r>
        </w:sdtContent>
      </w:sdt>
      <w:r w:rsidRPr="00162181">
        <w:rPr>
          <w:rFonts w:ascii="Cambria" w:hAnsi="Cambria"/>
          <w:sz w:val="20"/>
          <w:szCs w:val="20"/>
        </w:rPr>
        <w:t xml:space="preserve">. In Malaysia, the most popular e-commerce websites are Lazada and Shopee </w:t>
      </w:r>
      <w:sdt>
        <w:sdtPr>
          <w:rPr>
            <w:rFonts w:ascii="Cambria" w:hAnsi="Cambria"/>
            <w:sz w:val="20"/>
            <w:szCs w:val="20"/>
          </w:rPr>
          <w:id w:val="-419571290"/>
          <w:citation/>
        </w:sdtPr>
        <w:sdtContent>
          <w:r w:rsidRPr="00162181">
            <w:rPr>
              <w:rFonts w:ascii="Cambria" w:hAnsi="Cambria"/>
              <w:sz w:val="20"/>
              <w:szCs w:val="20"/>
            </w:rPr>
            <w:fldChar w:fldCharType="begin"/>
          </w:r>
          <w:r w:rsidRPr="00162181">
            <w:rPr>
              <w:rFonts w:ascii="Cambria" w:hAnsi="Cambria"/>
              <w:sz w:val="20"/>
              <w:szCs w:val="20"/>
            </w:rPr>
            <w:instrText xml:space="preserve"> CITATION Vas21 \l 1033 </w:instrText>
          </w:r>
          <w:r w:rsidRPr="00162181">
            <w:rPr>
              <w:rFonts w:ascii="Cambria" w:hAnsi="Cambria"/>
              <w:sz w:val="20"/>
              <w:szCs w:val="20"/>
            </w:rPr>
            <w:fldChar w:fldCharType="separate"/>
          </w:r>
          <w:r w:rsidRPr="00162181">
            <w:rPr>
              <w:rFonts w:ascii="Cambria" w:hAnsi="Cambria"/>
              <w:noProof/>
              <w:sz w:val="20"/>
              <w:szCs w:val="20"/>
            </w:rPr>
            <w:t>(Vasudevan &amp; Arokiasamy, 2021)</w:t>
          </w:r>
          <w:r w:rsidRPr="00162181">
            <w:rPr>
              <w:rFonts w:ascii="Cambria" w:hAnsi="Cambria"/>
              <w:sz w:val="20"/>
              <w:szCs w:val="20"/>
            </w:rPr>
            <w:fldChar w:fldCharType="end"/>
          </w:r>
        </w:sdtContent>
      </w:sdt>
      <w:r w:rsidRPr="00162181">
        <w:rPr>
          <w:rFonts w:ascii="Cambria" w:hAnsi="Cambria"/>
          <w:sz w:val="20"/>
          <w:szCs w:val="20"/>
        </w:rPr>
        <w:t xml:space="preserve">. Another study by </w:t>
      </w:r>
      <w:r w:rsidRPr="00162181">
        <w:rPr>
          <w:rFonts w:ascii="Cambria" w:hAnsi="Cambria"/>
          <w:noProof/>
          <w:sz w:val="20"/>
          <w:szCs w:val="20"/>
        </w:rPr>
        <w:t>Isa, Shah, Palpanadan, &amp; Isa (2020)</w:t>
      </w:r>
      <w:r w:rsidRPr="00162181">
        <w:rPr>
          <w:rFonts w:ascii="Cambria" w:hAnsi="Cambria"/>
          <w:sz w:val="20"/>
          <w:szCs w:val="20"/>
        </w:rPr>
        <w:t xml:space="preserve"> found that Shopee, Lazada, and Food Panda were the top three shopping websites that customers visited the most since they all supplied the basic everyday goods that customers needed. The elements of a comfortable website, such as an attractive design, nice users, a choice of native language, the amount of uploaded information, and the updating of the product specifications, were factors that influenced customers to purchase online via this platform. However, knowledge and understanding of customers' views towards internet purchasing appear lacking. This is especially true for Malaysia, where online shopping is still fairly new, and consumers are less experienced and frequently more skeptical.</w:t>
      </w:r>
    </w:p>
    <w:p w:rsidR="00162181" w:rsidRPr="00162181" w:rsidRDefault="00162181" w:rsidP="00162181">
      <w:pPr>
        <w:pStyle w:val="BodyText"/>
        <w:spacing w:after="0" w:line="240" w:lineRule="auto"/>
        <w:jc w:val="both"/>
        <w:rPr>
          <w:rFonts w:ascii="Cambria" w:hAnsi="Cambria"/>
          <w:sz w:val="16"/>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Therefore, this study will be conducted among the current users of online shopping in Malaysia to study the online shopping behavior pattern between different online shopping platforms and determine the factors that influence consumers' decisions among the many e-commerce retailers, with the following objectives:</w:t>
      </w:r>
    </w:p>
    <w:p w:rsidR="00162181" w:rsidRPr="00162181" w:rsidRDefault="00162181" w:rsidP="00162181">
      <w:pPr>
        <w:pStyle w:val="BodyText"/>
        <w:widowControl w:val="0"/>
        <w:numPr>
          <w:ilvl w:val="0"/>
          <w:numId w:val="47"/>
        </w:numPr>
        <w:autoSpaceDE w:val="0"/>
        <w:autoSpaceDN w:val="0"/>
        <w:spacing w:after="0" w:line="240" w:lineRule="auto"/>
        <w:jc w:val="both"/>
        <w:rPr>
          <w:rFonts w:ascii="Cambria" w:hAnsi="Cambria"/>
          <w:sz w:val="20"/>
          <w:szCs w:val="20"/>
        </w:rPr>
      </w:pPr>
      <w:r w:rsidRPr="00162181">
        <w:rPr>
          <w:rFonts w:ascii="Cambria" w:hAnsi="Cambria"/>
          <w:sz w:val="20"/>
          <w:szCs w:val="20"/>
        </w:rPr>
        <w:t>To investigate if there are differences in online shopping behavior patterns among consumers between different online shopping platforms.</w:t>
      </w:r>
    </w:p>
    <w:p w:rsidR="00162181" w:rsidRPr="00162181" w:rsidRDefault="00162181" w:rsidP="00162181">
      <w:pPr>
        <w:pStyle w:val="BodyText"/>
        <w:widowControl w:val="0"/>
        <w:numPr>
          <w:ilvl w:val="0"/>
          <w:numId w:val="47"/>
        </w:numPr>
        <w:autoSpaceDE w:val="0"/>
        <w:autoSpaceDN w:val="0"/>
        <w:spacing w:after="0" w:line="240" w:lineRule="auto"/>
        <w:jc w:val="both"/>
        <w:rPr>
          <w:rFonts w:ascii="Cambria" w:hAnsi="Cambria"/>
          <w:sz w:val="20"/>
          <w:szCs w:val="20"/>
        </w:rPr>
      </w:pPr>
      <w:r w:rsidRPr="00162181">
        <w:rPr>
          <w:rFonts w:ascii="Cambria" w:hAnsi="Cambria"/>
          <w:sz w:val="20"/>
          <w:szCs w:val="20"/>
        </w:rPr>
        <w:t>To identify the relative strengths of all factors in influencing online shopping behavior patterns.</w:t>
      </w:r>
    </w:p>
    <w:p w:rsidR="00162181" w:rsidRPr="00162181" w:rsidRDefault="00162181" w:rsidP="00162181">
      <w:pPr>
        <w:pStyle w:val="BodyText"/>
        <w:widowControl w:val="0"/>
        <w:numPr>
          <w:ilvl w:val="0"/>
          <w:numId w:val="47"/>
        </w:numPr>
        <w:autoSpaceDE w:val="0"/>
        <w:autoSpaceDN w:val="0"/>
        <w:spacing w:after="0" w:line="240" w:lineRule="auto"/>
        <w:jc w:val="both"/>
        <w:rPr>
          <w:rFonts w:ascii="Cambria" w:hAnsi="Cambria"/>
          <w:sz w:val="20"/>
          <w:szCs w:val="20"/>
        </w:rPr>
      </w:pPr>
      <w:r w:rsidRPr="00162181">
        <w:rPr>
          <w:rFonts w:ascii="Cambria" w:hAnsi="Cambria"/>
          <w:sz w:val="20"/>
          <w:szCs w:val="20"/>
        </w:rPr>
        <w:t xml:space="preserve">To determine how web characteristics, external stimuli, and affective and cognitive processes influence consumer online shopping behavior patterns. </w:t>
      </w:r>
      <w:r w:rsidRPr="00162181">
        <w:rPr>
          <w:rFonts w:ascii="Cambria" w:hAnsi="Cambria"/>
          <w:sz w:val="20"/>
          <w:szCs w:val="20"/>
          <w:lang w:val="en-MY"/>
        </w:rPr>
        <w:t xml:space="preserve">The theoretical framework, which is adapted from </w:t>
      </w:r>
      <w:r w:rsidRPr="00162181">
        <w:rPr>
          <w:rFonts w:ascii="Cambria" w:hAnsi="Cambria"/>
          <w:noProof/>
          <w:sz w:val="20"/>
          <w:szCs w:val="20"/>
        </w:rPr>
        <w:t>Wu &amp; Tsai (2017)</w:t>
      </w:r>
      <w:r w:rsidRPr="00162181">
        <w:rPr>
          <w:rFonts w:ascii="Cambria" w:hAnsi="Cambria"/>
          <w:sz w:val="20"/>
          <w:szCs w:val="20"/>
          <w:lang w:val="en-MY"/>
        </w:rPr>
        <w:t>, is shown in Figure 1. The framework consists of four independent variables and one dependent variable. The independent variables are web characteristics, external stimulus, affective, and cognition. Meanwhile, the dependent variable is the pattern of online shopping behavior.</w:t>
      </w:r>
    </w:p>
    <w:p w:rsidR="00162181" w:rsidRPr="00162181" w:rsidRDefault="00162181" w:rsidP="00162181">
      <w:pPr>
        <w:pStyle w:val="BodyText"/>
        <w:spacing w:after="0" w:line="240" w:lineRule="auto"/>
        <w:jc w:val="both"/>
        <w:rPr>
          <w:rFonts w:ascii="Cambria" w:hAnsi="Cambria"/>
          <w:b/>
          <w:bCs/>
          <w:sz w:val="16"/>
          <w:szCs w:val="20"/>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b/>
          <w:bCs/>
          <w:sz w:val="20"/>
          <w:szCs w:val="20"/>
        </w:rPr>
        <w:t>Figure 1: Theoretical Framework</w:t>
      </w:r>
    </w:p>
    <w:p w:rsidR="00162181" w:rsidRDefault="00162181" w:rsidP="00162181">
      <w:pPr>
        <w:pStyle w:val="BodyText"/>
        <w:spacing w:after="0" w:line="240" w:lineRule="auto"/>
        <w:jc w:val="both"/>
        <w:rPr>
          <w:rFonts w:ascii="Cambria" w:hAnsi="Cambria"/>
          <w:b/>
          <w:sz w:val="20"/>
          <w:szCs w:val="20"/>
          <w:lang w:val="en-US"/>
        </w:rPr>
      </w:pPr>
      <w:r w:rsidRPr="00162181">
        <w:rPr>
          <w:rFonts w:ascii="Cambria" w:hAnsi="Cambria"/>
          <w:noProof/>
          <w:sz w:val="20"/>
          <w:szCs w:val="20"/>
          <w:lang w:val="en-GB" w:eastAsia="en-GB"/>
        </w:rPr>
        <w:drawing>
          <wp:inline distT="0" distB="0" distL="0" distR="0">
            <wp:extent cx="5896045" cy="1397203"/>
            <wp:effectExtent l="19050" t="0" r="9455" b="0"/>
            <wp:docPr id="2145162352" name="Picture 2145162352" descr="A diagram of a shopp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62352" name="Picture 1" descr="A diagram of a shopping process&#10;&#10;Description automatically generated"/>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9862" cy="1431284"/>
                    </a:xfrm>
                    <a:prstGeom prst="rect">
                      <a:avLst/>
                    </a:prstGeom>
                  </pic:spPr>
                </pic:pic>
              </a:graphicData>
            </a:graphic>
          </wp:inline>
        </w:drawing>
      </w: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b/>
          <w:sz w:val="20"/>
          <w:szCs w:val="20"/>
        </w:rPr>
        <w:lastRenderedPageBreak/>
        <w:t>2. Literature</w:t>
      </w:r>
      <w:r w:rsidRPr="00162181">
        <w:rPr>
          <w:rFonts w:ascii="Cambria" w:hAnsi="Cambria"/>
          <w:b/>
          <w:spacing w:val="-2"/>
          <w:sz w:val="20"/>
          <w:szCs w:val="20"/>
        </w:rPr>
        <w:t xml:space="preserve"> </w:t>
      </w:r>
      <w:r w:rsidRPr="00162181">
        <w:rPr>
          <w:rFonts w:ascii="Cambria" w:hAnsi="Cambria"/>
          <w:b/>
          <w:sz w:val="20"/>
          <w:szCs w:val="20"/>
        </w:rPr>
        <w:t>Review</w:t>
      </w: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b/>
          <w:bCs/>
          <w:sz w:val="20"/>
          <w:szCs w:val="20"/>
          <w:lang w:val="en-MY"/>
        </w:rPr>
        <w:t xml:space="preserve">Shopping Online Platforms in Malaysia: </w:t>
      </w:r>
      <w:r w:rsidRPr="00162181">
        <w:rPr>
          <w:rFonts w:ascii="Cambria" w:hAnsi="Cambria"/>
          <w:sz w:val="20"/>
          <w:szCs w:val="20"/>
          <w:lang w:val="en-MY"/>
        </w:rPr>
        <w:t xml:space="preserve">The transition in the business world is happening due to the rise in technology, leading to the phenomenon that shopping has become more convenient. Nowadays, online shopping </w:t>
      </w:r>
      <w:r w:rsidRPr="00162181">
        <w:rPr>
          <w:rFonts w:ascii="Cambria" w:hAnsi="Cambria"/>
          <w:sz w:val="20"/>
          <w:szCs w:val="20"/>
        </w:rPr>
        <w:t>has gained preference</w:t>
      </w:r>
      <w:r w:rsidRPr="00162181">
        <w:rPr>
          <w:rFonts w:ascii="Cambria" w:hAnsi="Cambria"/>
          <w:sz w:val="20"/>
          <w:szCs w:val="20"/>
          <w:lang w:val="en-MY"/>
        </w:rPr>
        <w:t xml:space="preserve"> and </w:t>
      </w:r>
      <w:r w:rsidRPr="00162181">
        <w:rPr>
          <w:rFonts w:ascii="Cambria" w:hAnsi="Cambria"/>
          <w:sz w:val="20"/>
          <w:szCs w:val="20"/>
        </w:rPr>
        <w:t>popularity due to its convenience, enabling</w:t>
      </w:r>
      <w:r w:rsidRPr="00162181">
        <w:rPr>
          <w:rFonts w:ascii="Cambria" w:hAnsi="Cambria"/>
          <w:sz w:val="20"/>
          <w:szCs w:val="20"/>
          <w:lang w:val="en-MY"/>
        </w:rPr>
        <w:t xml:space="preserve"> consumers </w:t>
      </w:r>
      <w:r w:rsidRPr="00162181">
        <w:rPr>
          <w:rFonts w:ascii="Cambria" w:hAnsi="Cambria"/>
          <w:sz w:val="20"/>
          <w:szCs w:val="20"/>
        </w:rPr>
        <w:t>to</w:t>
      </w:r>
      <w:r w:rsidRPr="00162181">
        <w:rPr>
          <w:rFonts w:ascii="Cambria" w:hAnsi="Cambria"/>
          <w:sz w:val="20"/>
          <w:szCs w:val="20"/>
          <w:lang w:val="en-MY"/>
        </w:rPr>
        <w:t xml:space="preserve"> shop </w:t>
      </w:r>
      <w:r w:rsidRPr="00162181">
        <w:rPr>
          <w:rFonts w:ascii="Cambria" w:hAnsi="Cambria"/>
          <w:sz w:val="20"/>
          <w:szCs w:val="20"/>
        </w:rPr>
        <w:t xml:space="preserve">from </w:t>
      </w:r>
      <w:r w:rsidRPr="00162181">
        <w:rPr>
          <w:rFonts w:ascii="Cambria" w:hAnsi="Cambria"/>
          <w:sz w:val="20"/>
          <w:szCs w:val="20"/>
          <w:lang w:val="en-MY"/>
        </w:rPr>
        <w:t xml:space="preserve">anywhere and </w:t>
      </w:r>
      <w:r w:rsidRPr="00162181">
        <w:rPr>
          <w:rFonts w:ascii="Cambria" w:hAnsi="Cambria"/>
          <w:sz w:val="20"/>
          <w:szCs w:val="20"/>
        </w:rPr>
        <w:t xml:space="preserve">at any time, thereby eliminating the necessity to visit physical </w:t>
      </w:r>
      <w:r w:rsidRPr="00162181">
        <w:rPr>
          <w:rFonts w:ascii="Cambria" w:hAnsi="Cambria"/>
          <w:sz w:val="20"/>
          <w:szCs w:val="20"/>
          <w:lang w:val="en-MY"/>
        </w:rPr>
        <w:t xml:space="preserve">stores or shops. According to </w:t>
      </w:r>
      <w:r w:rsidRPr="00162181">
        <w:rPr>
          <w:rFonts w:ascii="Cambria" w:hAnsi="Cambria"/>
          <w:noProof/>
          <w:sz w:val="20"/>
          <w:szCs w:val="20"/>
        </w:rPr>
        <w:t>Afzainizam, Fahmy, Hanif, Muqri, &amp; Firdhaus (2021)</w:t>
      </w:r>
      <w:r w:rsidRPr="00162181">
        <w:rPr>
          <w:rFonts w:ascii="Cambria" w:hAnsi="Cambria"/>
          <w:sz w:val="20"/>
          <w:szCs w:val="20"/>
          <w:lang w:val="en-MY"/>
        </w:rPr>
        <w:t>, this transition will affect those companies or people who still stick with the old business method. This is because, in Malaysia, people tend to change their habit of shopping to online shopping due to a few factors such as time, price, and the variability of items. There are more than 20 online shopping platforms in Malaysia, such as Lazada, Taobao, Zalora, Shopee, etc. Based on the results of a survey conducted by Ipsos reported that 82% of the respondents in this study chose to shop using Shopee for the past six months, followed by Lazada (31%), Facebook (18%), GoShop and Mudah (6%) and TaoBao and Instagram (5%). This study also revealed that most Malaysians preferred Shopee as their online shopping platform due to its user-friendly.</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Fast delivery, customer reviews, prices and promotions offered by this platform. Results from a study by </w:t>
      </w:r>
      <w:sdt>
        <w:sdtPr>
          <w:rPr>
            <w:rFonts w:ascii="Cambria" w:hAnsi="Cambria"/>
            <w:sz w:val="20"/>
            <w:szCs w:val="20"/>
            <w:lang w:val="en-MY"/>
          </w:rPr>
          <w:id w:val="956769572"/>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Mus221 \l 1033 </w:instrText>
          </w:r>
          <w:r w:rsidRPr="00162181">
            <w:rPr>
              <w:rFonts w:ascii="Cambria" w:hAnsi="Cambria"/>
              <w:sz w:val="20"/>
              <w:szCs w:val="20"/>
              <w:lang w:val="en-MY"/>
            </w:rPr>
            <w:fldChar w:fldCharType="separate"/>
          </w:r>
          <w:r w:rsidRPr="00162181">
            <w:rPr>
              <w:rFonts w:ascii="Cambria" w:hAnsi="Cambria"/>
              <w:noProof/>
              <w:sz w:val="20"/>
              <w:szCs w:val="20"/>
            </w:rPr>
            <w:t>(Mustakim, Hassan, Sauid, Ebrahim, &amp; Mokhtar, 2022)</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are used to support this conclusion. They revealed that perceived usefulness, perceived usability, perceived trust, and perceived convenience significantly influenced customer satisfaction on Shopee.</w:t>
      </w:r>
      <w:r w:rsidRPr="00162181">
        <w:rPr>
          <w:rFonts w:ascii="Cambria" w:hAnsi="Cambria"/>
          <w:b/>
          <w:bCs/>
          <w:sz w:val="20"/>
          <w:szCs w:val="20"/>
          <w:lang w:val="en-MY"/>
        </w:rPr>
        <w:t xml:space="preserve"> </w:t>
      </w:r>
      <w:r w:rsidRPr="00162181">
        <w:rPr>
          <w:rFonts w:ascii="Cambria" w:hAnsi="Cambria"/>
          <w:sz w:val="20"/>
          <w:szCs w:val="20"/>
          <w:lang w:val="en-MY"/>
        </w:rPr>
        <w:t xml:space="preserve">To retain customers, online retailers must </w:t>
      </w:r>
      <w:r w:rsidRPr="00162181">
        <w:rPr>
          <w:rFonts w:ascii="Cambria" w:hAnsi="Cambria"/>
          <w:sz w:val="20"/>
          <w:szCs w:val="20"/>
        </w:rPr>
        <w:t>comprehensively</w:t>
      </w:r>
      <w:r w:rsidRPr="00162181">
        <w:rPr>
          <w:rFonts w:ascii="Cambria" w:hAnsi="Cambria"/>
          <w:sz w:val="20"/>
          <w:szCs w:val="20"/>
          <w:lang w:val="en-MY"/>
        </w:rPr>
        <w:t xml:space="preserve"> understand customers’ perceptions, satisfaction, and intentions toward online shopping. </w:t>
      </w:r>
      <w:sdt>
        <w:sdtPr>
          <w:rPr>
            <w:rFonts w:ascii="Cambria" w:hAnsi="Cambria"/>
            <w:sz w:val="20"/>
            <w:szCs w:val="20"/>
            <w:lang w:val="en-MY"/>
          </w:rPr>
          <w:id w:val="-947388701"/>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Mus22 \l 1033 </w:instrText>
          </w:r>
          <w:r w:rsidRPr="00162181">
            <w:rPr>
              <w:rFonts w:ascii="Cambria" w:hAnsi="Cambria"/>
              <w:sz w:val="20"/>
              <w:szCs w:val="20"/>
              <w:lang w:val="en-MY"/>
            </w:rPr>
            <w:fldChar w:fldCharType="separate"/>
          </w:r>
          <w:r w:rsidRPr="00162181">
            <w:rPr>
              <w:rFonts w:ascii="Cambria" w:hAnsi="Cambria"/>
              <w:noProof/>
              <w:sz w:val="20"/>
              <w:szCs w:val="20"/>
            </w:rPr>
            <w:t>(Musa, Nasaratnam, Rethinam, Varatharajoo, &amp; Shanmugam, 2022)</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concluded that the convenience of online shopping, delivery time, and site design were significant for customer satisfaction. Meanwhile, consumers’ attitudes toward online shopping and perceived behavioral control significantly influence the consumer’s intention to </w:t>
      </w:r>
      <w:r w:rsidRPr="00162181">
        <w:rPr>
          <w:rFonts w:ascii="Cambria" w:hAnsi="Cambria"/>
          <w:sz w:val="20"/>
          <w:szCs w:val="20"/>
        </w:rPr>
        <w:t>engage in</w:t>
      </w:r>
      <w:r w:rsidRPr="00162181">
        <w:rPr>
          <w:rFonts w:ascii="Cambria" w:hAnsi="Cambria"/>
          <w:sz w:val="20"/>
          <w:szCs w:val="20"/>
          <w:lang w:val="en-MY"/>
        </w:rPr>
        <w:t xml:space="preserve"> online</w:t>
      </w:r>
      <w:r w:rsidRPr="00162181">
        <w:rPr>
          <w:rFonts w:ascii="Cambria" w:hAnsi="Cambria"/>
          <w:sz w:val="20"/>
          <w:szCs w:val="20"/>
        </w:rPr>
        <w:t xml:space="preserve"> shopping</w:t>
      </w:r>
      <w:r w:rsidRPr="00162181">
        <w:rPr>
          <w:rFonts w:ascii="Cambria" w:hAnsi="Cambria"/>
          <w:sz w:val="20"/>
          <w:szCs w:val="20"/>
          <w:lang w:val="en-MY"/>
        </w:rPr>
        <w:t xml:space="preserve"> in Malaysia </w:t>
      </w:r>
      <w:sdt>
        <w:sdtPr>
          <w:rPr>
            <w:rFonts w:ascii="Cambria" w:hAnsi="Cambria"/>
            <w:sz w:val="20"/>
            <w:szCs w:val="20"/>
            <w:lang w:val="en-MY"/>
          </w:rPr>
          <w:id w:val="970782621"/>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Wen20 \l 1033 </w:instrText>
          </w:r>
          <w:r w:rsidRPr="00162181">
            <w:rPr>
              <w:rFonts w:ascii="Cambria" w:hAnsi="Cambria"/>
              <w:sz w:val="20"/>
              <w:szCs w:val="20"/>
              <w:lang w:val="en-MY"/>
            </w:rPr>
            <w:fldChar w:fldCharType="separate"/>
          </w:r>
          <w:r w:rsidRPr="00162181">
            <w:rPr>
              <w:rFonts w:ascii="Cambria" w:hAnsi="Cambria"/>
              <w:noProof/>
              <w:sz w:val="20"/>
              <w:szCs w:val="20"/>
            </w:rPr>
            <w:t>(Wen, Satar, Ishak, &amp; Ating, 2020)</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However, </w:t>
      </w:r>
      <w:r w:rsidRPr="00162181">
        <w:rPr>
          <w:rFonts w:ascii="Cambria" w:hAnsi="Cambria"/>
          <w:noProof/>
          <w:sz w:val="20"/>
          <w:szCs w:val="20"/>
        </w:rPr>
        <w:t>Afzainizam et al, (2021)</w:t>
      </w:r>
      <w:r w:rsidRPr="00162181">
        <w:rPr>
          <w:rFonts w:ascii="Cambria" w:hAnsi="Cambria"/>
          <w:sz w:val="20"/>
          <w:szCs w:val="20"/>
          <w:lang w:val="en-MY"/>
        </w:rPr>
        <w:t xml:space="preserve"> demonstrated that the key reason that prevents online shopping is a lack of product information, customer service, delivery time, payment options, and product quality.</w:t>
      </w:r>
    </w:p>
    <w:p w:rsidR="00162181" w:rsidRPr="00162181" w:rsidRDefault="00162181" w:rsidP="00162181">
      <w:pPr>
        <w:pStyle w:val="BodyText"/>
        <w:spacing w:after="0" w:line="240" w:lineRule="auto"/>
        <w:jc w:val="both"/>
        <w:rPr>
          <w:rFonts w:ascii="Cambria" w:hAnsi="Cambria"/>
          <w:b/>
          <w:bCs/>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b/>
          <w:bCs/>
          <w:sz w:val="20"/>
          <w:szCs w:val="20"/>
          <w:lang w:val="en-MY"/>
        </w:rPr>
        <w:t xml:space="preserve">Website Characteristics: </w:t>
      </w:r>
      <w:r w:rsidRPr="00162181">
        <w:rPr>
          <w:rFonts w:ascii="Cambria" w:hAnsi="Cambria"/>
          <w:sz w:val="20"/>
          <w:szCs w:val="20"/>
          <w:lang w:val="en-MY"/>
        </w:rPr>
        <w:t xml:space="preserve">Due to the expansion of the Internet in the 1990s and the development of internet technology, social and business practices have transformed </w:t>
      </w:r>
      <w:sdt>
        <w:sdtPr>
          <w:rPr>
            <w:rFonts w:ascii="Cambria" w:hAnsi="Cambria"/>
            <w:sz w:val="20"/>
            <w:szCs w:val="20"/>
            <w:lang w:val="en-MY"/>
          </w:rPr>
          <w:id w:val="-784117499"/>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Vis15 \l 1033 </w:instrText>
          </w:r>
          <w:r w:rsidRPr="00162181">
            <w:rPr>
              <w:rFonts w:ascii="Cambria" w:hAnsi="Cambria"/>
              <w:sz w:val="20"/>
              <w:szCs w:val="20"/>
              <w:lang w:val="en-MY"/>
            </w:rPr>
            <w:fldChar w:fldCharType="separate"/>
          </w:r>
          <w:r w:rsidRPr="00162181">
            <w:rPr>
              <w:rFonts w:ascii="Cambria" w:hAnsi="Cambria"/>
              <w:noProof/>
              <w:sz w:val="20"/>
              <w:szCs w:val="20"/>
            </w:rPr>
            <w:t>(Visinescu, Sidorova, Jones, &amp; Prybutok, 2015)</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Individuals nowadays prefer online </w:t>
      </w:r>
      <w:r w:rsidRPr="00162181">
        <w:rPr>
          <w:rFonts w:ascii="Cambria" w:hAnsi="Cambria"/>
          <w:sz w:val="20"/>
          <w:szCs w:val="20"/>
        </w:rPr>
        <w:t xml:space="preserve">shopping </w:t>
      </w:r>
      <w:r w:rsidRPr="00162181">
        <w:rPr>
          <w:rFonts w:ascii="Cambria" w:hAnsi="Cambria"/>
          <w:sz w:val="20"/>
          <w:szCs w:val="20"/>
          <w:lang w:val="en-MY"/>
        </w:rPr>
        <w:t xml:space="preserve">instead of shopping at stores or shops. </w:t>
      </w:r>
      <w:r w:rsidRPr="00162181">
        <w:rPr>
          <w:rFonts w:ascii="Cambria" w:hAnsi="Cambria"/>
          <w:sz w:val="20"/>
          <w:szCs w:val="20"/>
        </w:rPr>
        <w:t xml:space="preserve">In the context of running an online business, </w:t>
      </w:r>
      <w:r w:rsidRPr="00162181">
        <w:rPr>
          <w:rFonts w:ascii="Cambria" w:hAnsi="Cambria"/>
          <w:noProof/>
          <w:sz w:val="20"/>
          <w:szCs w:val="20"/>
        </w:rPr>
        <w:t>Rasli, Khairi, Ayathuray, &amp; Sudirman (2018)</w:t>
      </w:r>
      <w:r w:rsidRPr="00162181">
        <w:rPr>
          <w:rFonts w:ascii="Cambria" w:hAnsi="Cambria"/>
          <w:sz w:val="20"/>
          <w:szCs w:val="20"/>
          <w:lang w:val="en-MY"/>
        </w:rPr>
        <w:t xml:space="preserve"> </w:t>
      </w:r>
      <w:r w:rsidRPr="00162181">
        <w:rPr>
          <w:rFonts w:ascii="Cambria" w:hAnsi="Cambria"/>
          <w:sz w:val="20"/>
          <w:szCs w:val="20"/>
        </w:rPr>
        <w:t>emphasized</w:t>
      </w:r>
      <w:r w:rsidRPr="00162181">
        <w:rPr>
          <w:rFonts w:ascii="Cambria" w:hAnsi="Cambria"/>
          <w:sz w:val="20"/>
          <w:szCs w:val="20"/>
          <w:lang w:val="en-MY"/>
        </w:rPr>
        <w:t xml:space="preserve"> that the most important factor</w:t>
      </w:r>
      <w:r w:rsidRPr="00162181">
        <w:rPr>
          <w:rFonts w:ascii="Cambria" w:hAnsi="Cambria" w:cs="Segoe UI"/>
          <w:sz w:val="20"/>
          <w:szCs w:val="20"/>
          <w:shd w:val="clear" w:color="auto" w:fill="F7F7F8"/>
        </w:rPr>
        <w:t xml:space="preserve"> </w:t>
      </w:r>
      <w:r w:rsidRPr="00162181">
        <w:rPr>
          <w:rFonts w:ascii="Cambria" w:hAnsi="Cambria"/>
          <w:sz w:val="20"/>
          <w:szCs w:val="20"/>
        </w:rPr>
        <w:t>requiring consideration</w:t>
      </w:r>
      <w:r w:rsidRPr="00162181">
        <w:rPr>
          <w:rFonts w:ascii="Cambria" w:hAnsi="Cambria"/>
          <w:sz w:val="20"/>
          <w:szCs w:val="20"/>
          <w:lang w:val="en-MY"/>
        </w:rPr>
        <w:t xml:space="preserve"> is the quality of the website. However, the website characteristics may impact the sales and performance in online business</w:t>
      </w:r>
      <w:r w:rsidRPr="00162181">
        <w:rPr>
          <w:rFonts w:ascii="Cambria" w:hAnsi="Cambria"/>
          <w:sz w:val="20"/>
          <w:szCs w:val="20"/>
        </w:rPr>
        <w:t xml:space="preserve"> operations</w:t>
      </w:r>
      <w:r w:rsidRPr="00162181">
        <w:rPr>
          <w:rFonts w:ascii="Cambria" w:hAnsi="Cambria"/>
          <w:sz w:val="20"/>
          <w:szCs w:val="20"/>
          <w:lang w:val="en-MY"/>
        </w:rPr>
        <w:t xml:space="preserve"> differently according to the product involvement </w:t>
      </w:r>
      <w:sdt>
        <w:sdtPr>
          <w:rPr>
            <w:rFonts w:ascii="Cambria" w:hAnsi="Cambria"/>
            <w:sz w:val="20"/>
            <w:szCs w:val="20"/>
            <w:lang w:val="en-MY"/>
          </w:rPr>
          <w:id w:val="1206146400"/>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Mal16 \l 1033 </w:instrText>
          </w:r>
          <w:r w:rsidRPr="00162181">
            <w:rPr>
              <w:rFonts w:ascii="Cambria" w:hAnsi="Cambria"/>
              <w:sz w:val="20"/>
              <w:szCs w:val="20"/>
              <w:lang w:val="en-MY"/>
            </w:rPr>
            <w:fldChar w:fldCharType="separate"/>
          </w:r>
          <w:r w:rsidRPr="00162181">
            <w:rPr>
              <w:rFonts w:ascii="Cambria" w:hAnsi="Cambria"/>
              <w:noProof/>
              <w:sz w:val="20"/>
              <w:szCs w:val="20"/>
            </w:rPr>
            <w:t>(Mallapragada, Chandukala, &amp; Liu, 2016)</w:t>
          </w:r>
          <w:r w:rsidRPr="00162181">
            <w:rPr>
              <w:rFonts w:ascii="Cambria" w:hAnsi="Cambria"/>
              <w:sz w:val="20"/>
              <w:szCs w:val="20"/>
              <w:lang w:val="en-MY"/>
            </w:rPr>
            <w:fldChar w:fldCharType="end"/>
          </w:r>
        </w:sdtContent>
      </w:sdt>
      <w:r w:rsidRPr="00162181">
        <w:rPr>
          <w:rFonts w:ascii="Cambria" w:hAnsi="Cambria"/>
          <w:sz w:val="20"/>
          <w:szCs w:val="20"/>
          <w:lang w:val="en-MY"/>
        </w:rPr>
        <w:t>.</w:t>
      </w:r>
      <w:r w:rsidRPr="00162181">
        <w:rPr>
          <w:rFonts w:ascii="Cambria" w:hAnsi="Cambria"/>
          <w:b/>
          <w:bCs/>
          <w:sz w:val="20"/>
          <w:szCs w:val="20"/>
          <w:lang w:val="en-MY"/>
        </w:rPr>
        <w:t xml:space="preserve"> </w:t>
      </w:r>
      <w:r w:rsidRPr="00162181">
        <w:rPr>
          <w:rFonts w:ascii="Cambria" w:hAnsi="Cambria"/>
          <w:sz w:val="20"/>
          <w:szCs w:val="20"/>
          <w:lang w:val="en-MY"/>
        </w:rPr>
        <w:t xml:space="preserve">A study by </w:t>
      </w:r>
      <w:r w:rsidRPr="00162181">
        <w:rPr>
          <w:rFonts w:ascii="Cambria" w:hAnsi="Cambria"/>
          <w:noProof/>
          <w:sz w:val="20"/>
          <w:szCs w:val="20"/>
        </w:rPr>
        <w:t>Isa et al (2020)</w:t>
      </w:r>
      <w:r w:rsidRPr="00162181">
        <w:rPr>
          <w:rFonts w:ascii="Cambria" w:hAnsi="Cambria"/>
          <w:sz w:val="20"/>
          <w:szCs w:val="20"/>
          <w:lang w:val="en-MY"/>
        </w:rPr>
        <w:t xml:space="preserve"> found that the top three customer-preferred online shopping websites are Shopee, Lazada, and Food Panda. They also concluded that the attractive design of the website, user-friendly, selection of different </w:t>
      </w:r>
      <w:proofErr w:type="gramStart"/>
      <w:r w:rsidRPr="00162181">
        <w:rPr>
          <w:rFonts w:ascii="Cambria" w:hAnsi="Cambria"/>
          <w:sz w:val="20"/>
          <w:szCs w:val="20"/>
          <w:lang w:val="en-MY"/>
        </w:rPr>
        <w:t>languages,</w:t>
      </w:r>
      <w:proofErr w:type="gramEnd"/>
      <w:r w:rsidRPr="00162181">
        <w:rPr>
          <w:rFonts w:ascii="Cambria" w:hAnsi="Cambria"/>
          <w:sz w:val="20"/>
          <w:szCs w:val="20"/>
          <w:lang w:val="en-MY"/>
        </w:rPr>
        <w:t xml:space="preserve"> provided information and updated product details were the factors that can attract customers to retain online shopping. This result is consistent with the finding by </w:t>
      </w:r>
      <w:r w:rsidRPr="00162181">
        <w:rPr>
          <w:rFonts w:ascii="Cambria" w:hAnsi="Cambria"/>
          <w:noProof/>
          <w:sz w:val="20"/>
          <w:szCs w:val="20"/>
        </w:rPr>
        <w:t>Lee &amp; Kozar (2006)</w:t>
      </w:r>
      <w:r w:rsidRPr="00162181">
        <w:rPr>
          <w:rFonts w:ascii="Cambria" w:hAnsi="Cambria"/>
          <w:sz w:val="20"/>
          <w:szCs w:val="20"/>
        </w:rPr>
        <w:t>, which found</w:t>
      </w:r>
      <w:r w:rsidRPr="00162181">
        <w:rPr>
          <w:rFonts w:ascii="Cambria" w:hAnsi="Cambria"/>
          <w:sz w:val="20"/>
          <w:szCs w:val="20"/>
          <w:lang w:val="en-MY"/>
        </w:rPr>
        <w:t xml:space="preserve"> that customers </w:t>
      </w:r>
      <w:r w:rsidRPr="00162181">
        <w:rPr>
          <w:rFonts w:ascii="Cambria" w:hAnsi="Cambria"/>
          <w:sz w:val="20"/>
          <w:szCs w:val="20"/>
        </w:rPr>
        <w:t>considered</w:t>
      </w:r>
      <w:r w:rsidRPr="00162181">
        <w:rPr>
          <w:rFonts w:ascii="Cambria" w:hAnsi="Cambria"/>
          <w:sz w:val="20"/>
          <w:szCs w:val="20"/>
          <w:lang w:val="en-MY"/>
        </w:rPr>
        <w:t xml:space="preserve"> the system's quality as the most important criterion when</w:t>
      </w:r>
      <w:r w:rsidRPr="00162181">
        <w:rPr>
          <w:rFonts w:ascii="Cambria" w:hAnsi="Cambria"/>
          <w:sz w:val="20"/>
          <w:szCs w:val="20"/>
        </w:rPr>
        <w:t xml:space="preserve"> selecting</w:t>
      </w:r>
      <w:r w:rsidRPr="00162181">
        <w:rPr>
          <w:rFonts w:ascii="Cambria" w:hAnsi="Cambria"/>
          <w:sz w:val="20"/>
          <w:szCs w:val="20"/>
          <w:lang w:val="en-MY"/>
        </w:rPr>
        <w:t xml:space="preserve"> online websites. Instead, system quality, safety, and friendly users while navigating the website also attracted customers to use the online website. According to </w:t>
      </w:r>
      <w:r w:rsidRPr="00162181">
        <w:rPr>
          <w:rFonts w:ascii="Cambria" w:hAnsi="Cambria"/>
          <w:noProof/>
          <w:sz w:val="20"/>
          <w:szCs w:val="20"/>
        </w:rPr>
        <w:t>Shalini &amp; HemaMalini (2015)</w:t>
      </w:r>
      <w:r w:rsidRPr="00162181">
        <w:rPr>
          <w:rFonts w:ascii="Cambria" w:hAnsi="Cambria"/>
          <w:sz w:val="20"/>
          <w:szCs w:val="20"/>
          <w:lang w:val="en-MY"/>
        </w:rPr>
        <w:t>, there is a correlation between website attributes and attitudes, trust, and intentions toward online shopping. This means that website characteristics will impact online shoppers. Besides that, attitude and trust also play the main role in leading customers to buy the products via online shopping. However, they also revealed that online shopping website characteristics do not influence consumers' intention to purchase online.</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lang w:val="en-MY"/>
        </w:rPr>
        <w:t xml:space="preserve">External Stimulus: </w:t>
      </w:r>
      <w:r w:rsidRPr="00162181">
        <w:rPr>
          <w:rFonts w:ascii="Cambria" w:hAnsi="Cambria"/>
          <w:sz w:val="20"/>
          <w:szCs w:val="20"/>
          <w:lang w:val="en-MY"/>
        </w:rPr>
        <w:t xml:space="preserve">According to </w:t>
      </w:r>
      <w:r w:rsidRPr="00162181">
        <w:rPr>
          <w:rFonts w:ascii="Cambria" w:hAnsi="Cambria"/>
          <w:noProof/>
          <w:sz w:val="20"/>
          <w:szCs w:val="20"/>
        </w:rPr>
        <w:t>Youn &amp; Faber (2000)</w:t>
      </w:r>
      <w:r w:rsidRPr="00162181">
        <w:rPr>
          <w:rFonts w:ascii="Cambria" w:hAnsi="Cambria"/>
          <w:sz w:val="20"/>
          <w:szCs w:val="20"/>
          <w:lang w:val="en-MY"/>
        </w:rPr>
        <w:t xml:space="preserve">, the marketing and retail environments are influenced by external variables. Shopping environments include store size, atmosphere, design, and format, whereas the marketing environment comprises multiple sales and promotional activities. </w:t>
      </w:r>
      <w:r w:rsidRPr="00162181">
        <w:rPr>
          <w:rFonts w:ascii="Cambria" w:hAnsi="Cambria"/>
          <w:noProof/>
          <w:sz w:val="20"/>
          <w:szCs w:val="20"/>
        </w:rPr>
        <w:t>Pritchett, Pritchett, &amp; Kotler, (2003)</w:t>
      </w:r>
      <w:r w:rsidRPr="00162181">
        <w:rPr>
          <w:rFonts w:ascii="Cambria" w:hAnsi="Cambria"/>
          <w:sz w:val="20"/>
          <w:szCs w:val="20"/>
          <w:lang w:val="en-MY"/>
        </w:rPr>
        <w:t xml:space="preserve"> stated that the external stimuli that affect consumers' purchasing decisions include marketing, products, pricing, distribution, promotions, etc. The advertising and purchasing terms serve as indicators of external stimuli. The size of the store, the environment, the layout, and the configuration are terms of purchase, whereas the offers and promotional activities are terms of presentation </w:t>
      </w:r>
      <w:sdt>
        <w:sdtPr>
          <w:rPr>
            <w:rFonts w:ascii="Cambria" w:hAnsi="Cambria"/>
            <w:sz w:val="20"/>
            <w:szCs w:val="20"/>
            <w:lang w:val="en-MY"/>
          </w:rPr>
          <w:id w:val="1925534246"/>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Vis13 \l 1033 </w:instrText>
          </w:r>
          <w:r w:rsidRPr="00162181">
            <w:rPr>
              <w:rFonts w:ascii="Cambria" w:hAnsi="Cambria"/>
              <w:sz w:val="20"/>
              <w:szCs w:val="20"/>
              <w:lang w:val="en-MY"/>
            </w:rPr>
            <w:fldChar w:fldCharType="separate"/>
          </w:r>
          <w:r w:rsidRPr="00162181">
            <w:rPr>
              <w:rFonts w:ascii="Cambria" w:hAnsi="Cambria"/>
              <w:noProof/>
              <w:sz w:val="20"/>
              <w:szCs w:val="20"/>
            </w:rPr>
            <w:t>(Vishnu &amp; Raheem, 2013)</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According to </w:t>
      </w:r>
      <w:r w:rsidRPr="00162181">
        <w:rPr>
          <w:rFonts w:ascii="Cambria" w:hAnsi="Cambria"/>
          <w:noProof/>
          <w:sz w:val="20"/>
          <w:szCs w:val="20"/>
        </w:rPr>
        <w:t>Sawyer (1984)</w:t>
      </w:r>
      <w:r w:rsidRPr="00162181">
        <w:rPr>
          <w:rFonts w:ascii="Cambria" w:hAnsi="Cambria"/>
          <w:sz w:val="20"/>
          <w:szCs w:val="20"/>
          <w:lang w:val="en-MY"/>
        </w:rPr>
        <w:t>, in addition to being influenced by internal elements like personal ideas and values, people's attitudes will also alter when exposed to external stimuli.</w:t>
      </w:r>
      <w:r w:rsidRPr="00162181">
        <w:rPr>
          <w:rFonts w:ascii="Cambria" w:hAnsi="Cambria"/>
          <w:b/>
          <w:bCs/>
          <w:sz w:val="20"/>
          <w:szCs w:val="20"/>
          <w:lang w:val="en-MY"/>
        </w:rPr>
        <w:t xml:space="preserve"> </w:t>
      </w:r>
      <w:r w:rsidRPr="00162181">
        <w:rPr>
          <w:rFonts w:ascii="Cambria" w:hAnsi="Cambria"/>
          <w:noProof/>
          <w:sz w:val="20"/>
          <w:szCs w:val="20"/>
        </w:rPr>
        <w:t>Kimiagari &amp; Malafe (2021)</w:t>
      </w:r>
      <w:r w:rsidRPr="00162181">
        <w:rPr>
          <w:rFonts w:ascii="Cambria" w:hAnsi="Cambria"/>
          <w:sz w:val="20"/>
          <w:szCs w:val="20"/>
          <w:lang w:val="en-MY"/>
        </w:rPr>
        <w:t xml:space="preserve"> found </w:t>
      </w:r>
      <w:r w:rsidRPr="00162181">
        <w:rPr>
          <w:rFonts w:ascii="Cambria" w:hAnsi="Cambria"/>
          <w:sz w:val="20"/>
          <w:szCs w:val="20"/>
          <w:lang w:val="en-MY"/>
        </w:rPr>
        <w:lastRenderedPageBreak/>
        <w:t xml:space="preserve">that external and internal stimuli significantly affect consumer behavior patterns through social media platforms. A study by </w:t>
      </w:r>
      <w:r w:rsidRPr="00162181">
        <w:rPr>
          <w:rFonts w:ascii="Cambria" w:hAnsi="Cambria"/>
          <w:noProof/>
          <w:sz w:val="20"/>
          <w:szCs w:val="20"/>
        </w:rPr>
        <w:t>Lee &amp; Chen (2021)</w:t>
      </w:r>
      <w:r w:rsidRPr="00162181">
        <w:rPr>
          <w:rFonts w:ascii="Cambria" w:hAnsi="Cambria"/>
          <w:sz w:val="20"/>
          <w:szCs w:val="20"/>
          <w:lang w:val="en-MY"/>
        </w:rPr>
        <w:t xml:space="preserve"> on online commerce about impulsive behavior found that perceived usefulness directly affects enjoyment but not the urge to buy impulsively.</w:t>
      </w:r>
    </w:p>
    <w:p w:rsidR="00162181" w:rsidRPr="00162181" w:rsidRDefault="00162181" w:rsidP="00162181">
      <w:pPr>
        <w:pStyle w:val="BodyText"/>
        <w:spacing w:after="0" w:line="240" w:lineRule="auto"/>
        <w:jc w:val="both"/>
        <w:rPr>
          <w:rFonts w:ascii="Cambria" w:hAnsi="Cambria"/>
          <w:b/>
          <w:bCs/>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rPr>
        <w:t>Consumer’s Attitude</w:t>
      </w:r>
      <w:r w:rsidRPr="00162181">
        <w:rPr>
          <w:rFonts w:ascii="Cambria" w:hAnsi="Cambria"/>
          <w:b/>
          <w:bCs/>
          <w:sz w:val="20"/>
          <w:szCs w:val="20"/>
          <w:lang w:val="en-MY"/>
        </w:rPr>
        <w:t xml:space="preserve">: </w:t>
      </w:r>
      <w:r w:rsidRPr="00162181">
        <w:rPr>
          <w:rFonts w:ascii="Cambria" w:hAnsi="Cambria"/>
          <w:sz w:val="20"/>
          <w:szCs w:val="20"/>
        </w:rPr>
        <w:t xml:space="preserve">The consumer’s attitude comprises three components which are affection, cognition, and behavior </w:t>
      </w:r>
      <w:sdt>
        <w:sdtPr>
          <w:rPr>
            <w:rFonts w:ascii="Cambria" w:hAnsi="Cambria"/>
            <w:sz w:val="20"/>
            <w:szCs w:val="20"/>
          </w:rPr>
          <w:id w:val="-1642719967"/>
          <w:citation/>
        </w:sdtPr>
        <w:sdtContent>
          <w:r w:rsidRPr="00162181">
            <w:rPr>
              <w:rFonts w:ascii="Cambria" w:hAnsi="Cambria"/>
              <w:sz w:val="20"/>
              <w:szCs w:val="20"/>
            </w:rPr>
            <w:fldChar w:fldCharType="begin"/>
          </w:r>
          <w:r w:rsidRPr="00162181">
            <w:rPr>
              <w:rFonts w:ascii="Cambria" w:hAnsi="Cambria"/>
              <w:sz w:val="20"/>
              <w:szCs w:val="20"/>
            </w:rPr>
            <w:instrText xml:space="preserve"> CITATION WuS17 \l 1033 </w:instrText>
          </w:r>
          <w:r w:rsidRPr="00162181">
            <w:rPr>
              <w:rFonts w:ascii="Cambria" w:hAnsi="Cambria"/>
              <w:sz w:val="20"/>
              <w:szCs w:val="20"/>
            </w:rPr>
            <w:fldChar w:fldCharType="separate"/>
          </w:r>
          <w:r w:rsidRPr="00162181">
            <w:rPr>
              <w:rFonts w:ascii="Cambria" w:hAnsi="Cambria"/>
              <w:noProof/>
              <w:sz w:val="20"/>
              <w:szCs w:val="20"/>
            </w:rPr>
            <w:t>(Wu &amp; Tsai, 2017)</w:t>
          </w:r>
          <w:r w:rsidRPr="00162181">
            <w:rPr>
              <w:rFonts w:ascii="Cambria" w:hAnsi="Cambria"/>
              <w:sz w:val="20"/>
              <w:szCs w:val="20"/>
            </w:rPr>
            <w:fldChar w:fldCharType="end"/>
          </w:r>
        </w:sdtContent>
      </w:sdt>
      <w:r w:rsidRPr="00162181">
        <w:rPr>
          <w:rFonts w:ascii="Cambria" w:hAnsi="Cambria"/>
          <w:sz w:val="20"/>
          <w:szCs w:val="20"/>
        </w:rPr>
        <w:t xml:space="preserve">. </w:t>
      </w:r>
      <w:r w:rsidRPr="00162181">
        <w:rPr>
          <w:rFonts w:ascii="Cambria" w:hAnsi="Cambria"/>
          <w:noProof/>
          <w:sz w:val="20"/>
          <w:szCs w:val="20"/>
        </w:rPr>
        <w:t>Fihartini et al (2023)</w:t>
      </w:r>
      <w:r w:rsidRPr="00162181">
        <w:rPr>
          <w:rFonts w:ascii="Cambria" w:hAnsi="Cambria"/>
          <w:sz w:val="20"/>
          <w:szCs w:val="20"/>
        </w:rPr>
        <w:t xml:space="preserve"> defined affection as an emotional characteristic such as satisfaction. According to </w:t>
      </w:r>
      <w:r w:rsidRPr="00162181">
        <w:rPr>
          <w:rFonts w:ascii="Cambria" w:hAnsi="Cambria"/>
          <w:noProof/>
          <w:sz w:val="20"/>
          <w:szCs w:val="20"/>
        </w:rPr>
        <w:t>Peter, Olson, &amp; Grunert (1999)</w:t>
      </w:r>
      <w:r w:rsidRPr="00162181">
        <w:rPr>
          <w:rFonts w:ascii="Cambria" w:hAnsi="Cambria"/>
          <w:sz w:val="20"/>
          <w:szCs w:val="20"/>
        </w:rPr>
        <w:t xml:space="preserve"> affection is broken down into emotions, particular feelings, moods, and judgments. On the other hand, affection is the expression of one's comprehension of a subject through their response, whether they like or dislike it </w:t>
      </w:r>
      <w:sdt>
        <w:sdtPr>
          <w:rPr>
            <w:rFonts w:ascii="Cambria" w:hAnsi="Cambria"/>
            <w:sz w:val="20"/>
            <w:szCs w:val="20"/>
          </w:rPr>
          <w:id w:val="1674443942"/>
          <w:citation/>
        </w:sdtPr>
        <w:sdtContent>
          <w:r w:rsidRPr="00162181">
            <w:rPr>
              <w:rFonts w:ascii="Cambria" w:hAnsi="Cambria"/>
              <w:sz w:val="20"/>
              <w:szCs w:val="20"/>
            </w:rPr>
            <w:fldChar w:fldCharType="begin"/>
          </w:r>
          <w:r w:rsidRPr="00162181">
            <w:rPr>
              <w:rFonts w:ascii="Cambria" w:hAnsi="Cambria"/>
              <w:sz w:val="20"/>
              <w:szCs w:val="20"/>
            </w:rPr>
            <w:instrText xml:space="preserve"> CITATION Nes01 \l 1033 </w:instrText>
          </w:r>
          <w:r w:rsidRPr="00162181">
            <w:rPr>
              <w:rFonts w:ascii="Cambria" w:hAnsi="Cambria"/>
              <w:sz w:val="20"/>
              <w:szCs w:val="20"/>
            </w:rPr>
            <w:fldChar w:fldCharType="separate"/>
          </w:r>
          <w:r w:rsidRPr="00162181">
            <w:rPr>
              <w:rFonts w:ascii="Cambria" w:hAnsi="Cambria"/>
              <w:noProof/>
              <w:sz w:val="20"/>
              <w:szCs w:val="20"/>
            </w:rPr>
            <w:t>(Hanna &amp; Wozniak, 2001)</w:t>
          </w:r>
          <w:r w:rsidRPr="00162181">
            <w:rPr>
              <w:rFonts w:ascii="Cambria" w:hAnsi="Cambria"/>
              <w:sz w:val="20"/>
              <w:szCs w:val="20"/>
            </w:rPr>
            <w:fldChar w:fldCharType="end"/>
          </w:r>
        </w:sdtContent>
      </w:sdt>
      <w:r w:rsidRPr="00162181">
        <w:rPr>
          <w:rFonts w:ascii="Cambria" w:hAnsi="Cambria"/>
          <w:sz w:val="20"/>
          <w:szCs w:val="20"/>
        </w:rPr>
        <w:t>.</w:t>
      </w:r>
      <w:r w:rsidRPr="00162181">
        <w:rPr>
          <w:rFonts w:ascii="Cambria" w:hAnsi="Cambria"/>
          <w:b/>
          <w:bCs/>
          <w:sz w:val="20"/>
          <w:szCs w:val="20"/>
          <w:lang w:val="en-MY"/>
        </w:rPr>
        <w:t xml:space="preserve"> </w:t>
      </w:r>
      <w:r w:rsidRPr="00162181">
        <w:rPr>
          <w:rFonts w:ascii="Cambria" w:hAnsi="Cambria"/>
          <w:sz w:val="20"/>
          <w:szCs w:val="20"/>
        </w:rPr>
        <w:t xml:space="preserve">Meanwhile, cognition refers to psychological characteristics, such as emotional intelligence </w:t>
      </w:r>
      <w:sdt>
        <w:sdtPr>
          <w:rPr>
            <w:rFonts w:ascii="Cambria" w:hAnsi="Cambria"/>
            <w:sz w:val="20"/>
            <w:szCs w:val="20"/>
          </w:rPr>
          <w:id w:val="33167326"/>
          <w:citation/>
        </w:sdtPr>
        <w:sdtContent>
          <w:r w:rsidRPr="00162181">
            <w:rPr>
              <w:rFonts w:ascii="Cambria" w:hAnsi="Cambria"/>
              <w:sz w:val="20"/>
              <w:szCs w:val="20"/>
            </w:rPr>
            <w:fldChar w:fldCharType="begin"/>
          </w:r>
          <w:r w:rsidRPr="00162181">
            <w:rPr>
              <w:rFonts w:ascii="Cambria" w:hAnsi="Cambria"/>
              <w:sz w:val="20"/>
              <w:szCs w:val="20"/>
            </w:rPr>
            <w:instrText xml:space="preserve"> CITATION Fih23 \l 1033 </w:instrText>
          </w:r>
          <w:r w:rsidRPr="00162181">
            <w:rPr>
              <w:rFonts w:ascii="Cambria" w:hAnsi="Cambria"/>
              <w:sz w:val="20"/>
              <w:szCs w:val="20"/>
            </w:rPr>
            <w:fldChar w:fldCharType="separate"/>
          </w:r>
          <w:r w:rsidRPr="00162181">
            <w:rPr>
              <w:rFonts w:ascii="Cambria" w:hAnsi="Cambria"/>
              <w:noProof/>
              <w:sz w:val="20"/>
              <w:szCs w:val="20"/>
            </w:rPr>
            <w:t>(Fihartini, Ramelan, Karim, &amp; Andriani, 2023)</w:t>
          </w:r>
          <w:r w:rsidRPr="00162181">
            <w:rPr>
              <w:rFonts w:ascii="Cambria" w:hAnsi="Cambria"/>
              <w:sz w:val="20"/>
              <w:szCs w:val="20"/>
            </w:rPr>
            <w:fldChar w:fldCharType="end"/>
          </w:r>
        </w:sdtContent>
      </w:sdt>
      <w:r w:rsidRPr="00162181">
        <w:rPr>
          <w:rFonts w:ascii="Cambria" w:hAnsi="Cambria"/>
          <w:sz w:val="20"/>
          <w:szCs w:val="20"/>
        </w:rPr>
        <w:t xml:space="preserve">. Besides that, consumer cognition is defined as their perception, beliefs, and knowledge of the attitude's subject matter. It typically derives from personal experience or other relevant sources </w:t>
      </w:r>
      <w:sdt>
        <w:sdtPr>
          <w:rPr>
            <w:rFonts w:ascii="Cambria" w:hAnsi="Cambria"/>
            <w:sz w:val="20"/>
            <w:szCs w:val="20"/>
          </w:rPr>
          <w:id w:val="1910196342"/>
          <w:citation/>
        </w:sdtPr>
        <w:sdtContent>
          <w:r w:rsidRPr="00162181">
            <w:rPr>
              <w:rFonts w:ascii="Cambria" w:hAnsi="Cambria"/>
              <w:sz w:val="20"/>
              <w:szCs w:val="20"/>
            </w:rPr>
            <w:fldChar w:fldCharType="begin"/>
          </w:r>
          <w:r w:rsidRPr="00162181">
            <w:rPr>
              <w:rFonts w:ascii="Cambria" w:hAnsi="Cambria"/>
              <w:sz w:val="20"/>
              <w:szCs w:val="20"/>
            </w:rPr>
            <w:instrText xml:space="preserve"> CITATION WuS17 \l 1033 </w:instrText>
          </w:r>
          <w:r w:rsidRPr="00162181">
            <w:rPr>
              <w:rFonts w:ascii="Cambria" w:hAnsi="Cambria"/>
              <w:sz w:val="20"/>
              <w:szCs w:val="20"/>
            </w:rPr>
            <w:fldChar w:fldCharType="separate"/>
          </w:r>
          <w:r w:rsidRPr="00162181">
            <w:rPr>
              <w:rFonts w:ascii="Cambria" w:hAnsi="Cambria"/>
              <w:noProof/>
              <w:sz w:val="20"/>
              <w:szCs w:val="20"/>
            </w:rPr>
            <w:t>(Wu &amp; Tsai, 2017)</w:t>
          </w:r>
          <w:r w:rsidRPr="00162181">
            <w:rPr>
              <w:rFonts w:ascii="Cambria" w:hAnsi="Cambria"/>
              <w:sz w:val="20"/>
              <w:szCs w:val="20"/>
            </w:rPr>
            <w:fldChar w:fldCharType="end"/>
          </w:r>
        </w:sdtContent>
      </w:sdt>
      <w:r w:rsidRPr="00162181">
        <w:rPr>
          <w:rFonts w:ascii="Cambria" w:hAnsi="Cambria"/>
          <w:sz w:val="20"/>
          <w:szCs w:val="20"/>
        </w:rPr>
        <w:t xml:space="preserve">. </w:t>
      </w:r>
      <w:r w:rsidRPr="00162181">
        <w:rPr>
          <w:rFonts w:ascii="Cambria" w:hAnsi="Cambria"/>
          <w:noProof/>
          <w:sz w:val="20"/>
          <w:szCs w:val="20"/>
        </w:rPr>
        <w:t>Peter, Olson, &amp; Grunert (1999)</w:t>
      </w:r>
      <w:r w:rsidRPr="00162181">
        <w:rPr>
          <w:rFonts w:ascii="Cambria" w:hAnsi="Cambria"/>
          <w:sz w:val="20"/>
          <w:szCs w:val="20"/>
        </w:rPr>
        <w:t xml:space="preserve"> stated that cognition is the understanding and perception of an attitude's subject matter as a result of combining information learned about it directly or from other sources.</w:t>
      </w:r>
    </w:p>
    <w:p w:rsidR="00162181" w:rsidRPr="00162181" w:rsidRDefault="00162181" w:rsidP="00162181">
      <w:pPr>
        <w:pStyle w:val="BodyText"/>
        <w:spacing w:after="0" w:line="240" w:lineRule="auto"/>
        <w:jc w:val="both"/>
        <w:rPr>
          <w:rFonts w:ascii="Cambria" w:hAnsi="Cambria"/>
          <w:b/>
          <w:bCs/>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rPr>
        <w:t xml:space="preserve">Consumer behavior is defined as their purpose or action toward the subject of their attitude. For instance, the possibility that he or she would act in a particular manner or perform a certain action. Based on </w:t>
      </w:r>
      <w:r w:rsidRPr="00162181">
        <w:rPr>
          <w:rFonts w:ascii="Cambria" w:hAnsi="Cambria"/>
          <w:noProof/>
          <w:sz w:val="20"/>
          <w:szCs w:val="20"/>
        </w:rPr>
        <w:t>Ajzen (1985)</w:t>
      </w:r>
      <w:r w:rsidRPr="00162181">
        <w:rPr>
          <w:rFonts w:ascii="Cambria" w:hAnsi="Cambria"/>
          <w:sz w:val="20"/>
          <w:szCs w:val="20"/>
        </w:rPr>
        <w:t>, in terms of customer behavior, the behavior aspect of attitude is frequently represented in their purchase intention.</w:t>
      </w:r>
      <w:r w:rsidRPr="00162181">
        <w:rPr>
          <w:rFonts w:ascii="Cambria" w:hAnsi="Cambria"/>
          <w:sz w:val="20"/>
          <w:szCs w:val="20"/>
          <w:lang w:val="en-MY"/>
        </w:rPr>
        <w:t xml:space="preserve"> In response to the pandemic, </w:t>
      </w:r>
      <w:r w:rsidRPr="00162181">
        <w:rPr>
          <w:rFonts w:ascii="Cambria" w:hAnsi="Cambria"/>
          <w:noProof/>
          <w:sz w:val="20"/>
          <w:szCs w:val="20"/>
        </w:rPr>
        <w:t>Zeng, Lin, &amp; Zhou (2023)</w:t>
      </w:r>
      <w:r w:rsidRPr="00162181">
        <w:rPr>
          <w:rFonts w:ascii="Cambria" w:hAnsi="Cambria"/>
          <w:sz w:val="20"/>
          <w:szCs w:val="20"/>
          <w:lang w:val="en-MY"/>
        </w:rPr>
        <w:t xml:space="preserve"> studied the attitudes towards this situation. Besides that, </w:t>
      </w:r>
      <w:sdt>
        <w:sdtPr>
          <w:rPr>
            <w:rFonts w:ascii="Cambria" w:hAnsi="Cambria"/>
            <w:sz w:val="20"/>
            <w:szCs w:val="20"/>
          </w:rPr>
          <w:id w:val="1327321073"/>
          <w:citation/>
        </w:sdtPr>
        <w:sdtContent>
          <w:r w:rsidRPr="00162181">
            <w:rPr>
              <w:rFonts w:ascii="Cambria" w:hAnsi="Cambria"/>
              <w:sz w:val="20"/>
              <w:szCs w:val="20"/>
            </w:rPr>
            <w:fldChar w:fldCharType="begin"/>
          </w:r>
          <w:r w:rsidRPr="00162181">
            <w:rPr>
              <w:rFonts w:ascii="Cambria" w:hAnsi="Cambria"/>
              <w:sz w:val="20"/>
              <w:szCs w:val="20"/>
            </w:rPr>
            <w:instrText xml:space="preserve"> CITATION Das22 \l 1033 </w:instrText>
          </w:r>
          <w:r w:rsidRPr="00162181">
            <w:rPr>
              <w:rFonts w:ascii="Cambria" w:hAnsi="Cambria"/>
              <w:sz w:val="20"/>
              <w:szCs w:val="20"/>
            </w:rPr>
            <w:fldChar w:fldCharType="separate"/>
          </w:r>
          <w:r w:rsidRPr="00162181">
            <w:rPr>
              <w:rFonts w:ascii="Cambria" w:hAnsi="Cambria"/>
              <w:noProof/>
              <w:sz w:val="20"/>
              <w:szCs w:val="20"/>
            </w:rPr>
            <w:t>(Das, Sarkar, &amp; Debroy, 2022)</w:t>
          </w:r>
          <w:r w:rsidRPr="00162181">
            <w:rPr>
              <w:rFonts w:ascii="Cambria" w:hAnsi="Cambria"/>
              <w:sz w:val="20"/>
              <w:szCs w:val="20"/>
            </w:rPr>
            <w:fldChar w:fldCharType="end"/>
          </w:r>
        </w:sdtContent>
      </w:sdt>
      <w:r w:rsidRPr="00162181">
        <w:rPr>
          <w:rFonts w:ascii="Cambria" w:hAnsi="Cambria"/>
          <w:sz w:val="20"/>
          <w:szCs w:val="20"/>
          <w:lang w:val="en-MY"/>
        </w:rPr>
        <w:t xml:space="preserve"> conducted a study on consumers' changing behavior during the pandemic phase. Compared to </w:t>
      </w:r>
      <w:r w:rsidRPr="00162181">
        <w:rPr>
          <w:rFonts w:ascii="Cambria" w:hAnsi="Cambria"/>
          <w:noProof/>
          <w:sz w:val="20"/>
          <w:szCs w:val="20"/>
        </w:rPr>
        <w:t>Wu &amp; Huang (2023)</w:t>
      </w:r>
      <w:r w:rsidRPr="00162181">
        <w:rPr>
          <w:rFonts w:ascii="Cambria" w:hAnsi="Cambria"/>
          <w:sz w:val="20"/>
          <w:szCs w:val="20"/>
          <w:lang w:val="en-MY"/>
        </w:rPr>
        <w:t xml:space="preserve">, it was focused on the current live-streaming trend and its effect on consumers' behavior. </w:t>
      </w:r>
      <w:r w:rsidRPr="00162181">
        <w:rPr>
          <w:rFonts w:ascii="Cambria" w:hAnsi="Cambria"/>
          <w:noProof/>
          <w:sz w:val="20"/>
          <w:szCs w:val="20"/>
        </w:rPr>
        <w:t>Tao, Sun, Liu, Tian, &amp; Zhang (2022)</w:t>
      </w:r>
      <w:r w:rsidRPr="00162181">
        <w:rPr>
          <w:rFonts w:ascii="Cambria" w:hAnsi="Cambria"/>
          <w:sz w:val="20"/>
          <w:szCs w:val="20"/>
          <w:lang w:val="en-MY"/>
        </w:rPr>
        <w:t xml:space="preserve"> examined the psychological impact of consumers amidst the pandemic situation. In understanding consumers' behavior, </w:t>
      </w:r>
      <w:r w:rsidRPr="00162181">
        <w:rPr>
          <w:rFonts w:ascii="Cambria" w:hAnsi="Cambria"/>
          <w:noProof/>
          <w:sz w:val="20"/>
          <w:szCs w:val="20"/>
        </w:rPr>
        <w:t>Wu, Wang, Ding, &amp; Mo (2023)</w:t>
      </w:r>
      <w:r w:rsidRPr="00162181">
        <w:rPr>
          <w:rFonts w:ascii="Cambria" w:hAnsi="Cambria"/>
          <w:sz w:val="20"/>
          <w:szCs w:val="20"/>
          <w:lang w:val="en-MY"/>
        </w:rPr>
        <w:t xml:space="preserve"> utilized the cognitive-emotional part as their primary concern.</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sz w:val="20"/>
          <w:szCs w:val="20"/>
          <w:lang w:val="en-MY"/>
        </w:rPr>
        <w:t xml:space="preserve">3. </w:t>
      </w:r>
      <w:r w:rsidRPr="00162181">
        <w:rPr>
          <w:rFonts w:ascii="Cambria" w:hAnsi="Cambria"/>
          <w:b/>
          <w:sz w:val="20"/>
          <w:szCs w:val="20"/>
        </w:rPr>
        <w:t>Research</w:t>
      </w:r>
      <w:r w:rsidRPr="00162181">
        <w:rPr>
          <w:rFonts w:ascii="Cambria" w:hAnsi="Cambria"/>
          <w:b/>
          <w:spacing w:val="-3"/>
          <w:sz w:val="20"/>
          <w:szCs w:val="20"/>
        </w:rPr>
        <w:t xml:space="preserve"> </w:t>
      </w:r>
      <w:r w:rsidRPr="00162181">
        <w:rPr>
          <w:rFonts w:ascii="Cambria" w:hAnsi="Cambria"/>
          <w:b/>
          <w:sz w:val="20"/>
          <w:szCs w:val="20"/>
        </w:rPr>
        <w:t>Methodology</w:t>
      </w: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b/>
          <w:bCs/>
          <w:sz w:val="20"/>
          <w:szCs w:val="20"/>
          <w:lang w:val="en-MY"/>
        </w:rPr>
        <w:t xml:space="preserve">Respondents and Sampling Method: </w:t>
      </w:r>
      <w:r w:rsidRPr="00162181">
        <w:rPr>
          <w:rFonts w:ascii="Cambria" w:hAnsi="Cambria"/>
          <w:sz w:val="20"/>
          <w:szCs w:val="20"/>
          <w:lang w:val="en-MY"/>
        </w:rPr>
        <w:t xml:space="preserve">The population in this study is students and staff from Universiti Teknologi MARA (UiTM), Malaysia. The students and staff from all campuses were chosen randomly as respondents in this study. Depending on the complexity of the model, </w:t>
      </w:r>
      <w:r w:rsidRPr="00162181">
        <w:rPr>
          <w:rFonts w:ascii="Cambria" w:hAnsi="Cambria"/>
          <w:noProof/>
          <w:sz w:val="20"/>
          <w:szCs w:val="20"/>
        </w:rPr>
        <w:t>Hair, Black, &amp; Babin (2010)</w:t>
      </w:r>
      <w:r w:rsidRPr="00162181">
        <w:rPr>
          <w:rFonts w:ascii="Cambria" w:hAnsi="Cambria"/>
          <w:sz w:val="20"/>
          <w:szCs w:val="20"/>
          <w:lang w:val="en-MY"/>
        </w:rPr>
        <w:t xml:space="preserve"> suggested a minimal sample size.</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sz w:val="20"/>
          <w:szCs w:val="20"/>
        </w:rPr>
        <w:t>Table 1: Model Characteristics using Structural Equation Modelling (SEM)</w:t>
      </w:r>
    </w:p>
    <w:tbl>
      <w:tblPr>
        <w:tblStyle w:val="TableGrid"/>
        <w:tblW w:w="4916"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6363"/>
        <w:gridCol w:w="3052"/>
      </w:tblGrid>
      <w:tr w:rsidR="00162181" w:rsidRPr="00162181" w:rsidTr="00AD72AB">
        <w:trPr>
          <w:jc w:val="center"/>
        </w:trPr>
        <w:tc>
          <w:tcPr>
            <w:tcW w:w="3379" w:type="pct"/>
            <w:tcBorders>
              <w:top w:val="single" w:sz="4" w:space="0" w:color="auto"/>
              <w:bottom w:val="single" w:sz="4" w:space="0" w:color="auto"/>
            </w:tcBorders>
            <w:vAlign w:val="center"/>
          </w:tcPr>
          <w:p w:rsidR="00162181" w:rsidRPr="00162181" w:rsidRDefault="00162181" w:rsidP="00162181">
            <w:pPr>
              <w:pStyle w:val="TableParagraph"/>
              <w:autoSpaceDE w:val="0"/>
              <w:autoSpaceDN w:val="0"/>
              <w:jc w:val="both"/>
              <w:rPr>
                <w:rFonts w:ascii="Cambria" w:hAnsi="Cambria"/>
                <w:b/>
                <w:sz w:val="20"/>
                <w:szCs w:val="20"/>
              </w:rPr>
            </w:pPr>
            <w:r w:rsidRPr="00162181">
              <w:rPr>
                <w:rFonts w:ascii="Cambria" w:hAnsi="Cambria"/>
                <w:b/>
                <w:sz w:val="20"/>
                <w:szCs w:val="20"/>
              </w:rPr>
              <w:t>Model Characteristics</w:t>
            </w:r>
          </w:p>
          <w:p w:rsidR="00162181" w:rsidRPr="00162181" w:rsidRDefault="00162181" w:rsidP="00162181">
            <w:pPr>
              <w:pStyle w:val="TableParagraph"/>
              <w:autoSpaceDE w:val="0"/>
              <w:autoSpaceDN w:val="0"/>
              <w:jc w:val="both"/>
              <w:rPr>
                <w:rFonts w:ascii="Cambria" w:hAnsi="Cambria"/>
                <w:b/>
                <w:sz w:val="20"/>
                <w:szCs w:val="20"/>
              </w:rPr>
            </w:pPr>
            <w:r w:rsidRPr="00162181">
              <w:rPr>
                <w:rFonts w:ascii="Cambria" w:hAnsi="Cambria"/>
                <w:b/>
                <w:sz w:val="20"/>
                <w:szCs w:val="20"/>
              </w:rPr>
              <w:t>(Number of latent constructs and items)</w:t>
            </w:r>
          </w:p>
        </w:tc>
        <w:tc>
          <w:tcPr>
            <w:tcW w:w="1621" w:type="pct"/>
            <w:tcBorders>
              <w:top w:val="single" w:sz="4" w:space="0" w:color="auto"/>
              <w:bottom w:val="single" w:sz="4" w:space="0" w:color="auto"/>
            </w:tcBorders>
            <w:vAlign w:val="center"/>
          </w:tcPr>
          <w:p w:rsidR="00162181" w:rsidRPr="00162181" w:rsidRDefault="00162181" w:rsidP="00162181">
            <w:pPr>
              <w:pStyle w:val="TableParagraph"/>
              <w:autoSpaceDE w:val="0"/>
              <w:autoSpaceDN w:val="0"/>
              <w:jc w:val="both"/>
              <w:rPr>
                <w:rFonts w:ascii="Cambria" w:hAnsi="Cambria"/>
                <w:b/>
                <w:sz w:val="20"/>
                <w:szCs w:val="20"/>
              </w:rPr>
            </w:pPr>
            <w:r w:rsidRPr="00162181">
              <w:rPr>
                <w:rFonts w:ascii="Cambria" w:hAnsi="Cambria"/>
                <w:b/>
                <w:sz w:val="20"/>
                <w:szCs w:val="20"/>
              </w:rPr>
              <w:t>Minimum Sample</w:t>
            </w:r>
          </w:p>
          <w:p w:rsidR="00162181" w:rsidRPr="00162181" w:rsidRDefault="00162181" w:rsidP="00162181">
            <w:pPr>
              <w:pStyle w:val="TableParagraph"/>
              <w:autoSpaceDE w:val="0"/>
              <w:autoSpaceDN w:val="0"/>
              <w:jc w:val="both"/>
              <w:rPr>
                <w:rFonts w:ascii="Cambria" w:hAnsi="Cambria"/>
                <w:b/>
                <w:sz w:val="20"/>
                <w:szCs w:val="20"/>
              </w:rPr>
            </w:pPr>
            <w:r w:rsidRPr="00162181">
              <w:rPr>
                <w:rFonts w:ascii="Cambria" w:hAnsi="Cambria"/>
                <w:b/>
                <w:sz w:val="20"/>
                <w:szCs w:val="20"/>
              </w:rPr>
              <w:t>Required</w:t>
            </w:r>
          </w:p>
        </w:tc>
      </w:tr>
      <w:tr w:rsidR="00162181" w:rsidRPr="00162181" w:rsidTr="00AD72AB">
        <w:trPr>
          <w:jc w:val="center"/>
        </w:trPr>
        <w:tc>
          <w:tcPr>
            <w:tcW w:w="3379" w:type="pct"/>
            <w:tcBorders>
              <w:top w:val="single" w:sz="4" w:space="0" w:color="auto"/>
            </w:tcBorders>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Five or fewer latent constructs. Each latent has more than three items</w:t>
            </w:r>
          </w:p>
        </w:tc>
        <w:tc>
          <w:tcPr>
            <w:tcW w:w="1621" w:type="pct"/>
            <w:tcBorders>
              <w:top w:val="single" w:sz="4" w:space="0" w:color="auto"/>
            </w:tcBorders>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100</w:t>
            </w:r>
          </w:p>
        </w:tc>
      </w:tr>
      <w:tr w:rsidR="00162181" w:rsidRPr="00162181" w:rsidTr="00AD72AB">
        <w:trPr>
          <w:jc w:val="center"/>
        </w:trPr>
        <w:tc>
          <w:tcPr>
            <w:tcW w:w="3379"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Seven or fewer latent constructs. Each construct has more than three items</w:t>
            </w:r>
          </w:p>
        </w:tc>
        <w:tc>
          <w:tcPr>
            <w:tcW w:w="1621"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150</w:t>
            </w:r>
          </w:p>
        </w:tc>
      </w:tr>
      <w:tr w:rsidR="00162181" w:rsidRPr="00162181" w:rsidTr="00AD72AB">
        <w:trPr>
          <w:jc w:val="center"/>
        </w:trPr>
        <w:tc>
          <w:tcPr>
            <w:tcW w:w="3379"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Seven or fewer latent constructs. Certain construct has less than three items (under identified model)</w:t>
            </w:r>
          </w:p>
        </w:tc>
        <w:tc>
          <w:tcPr>
            <w:tcW w:w="1621"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300</w:t>
            </w:r>
          </w:p>
        </w:tc>
      </w:tr>
      <w:tr w:rsidR="00162181" w:rsidRPr="00162181" w:rsidTr="00AD72AB">
        <w:trPr>
          <w:jc w:val="center"/>
        </w:trPr>
        <w:tc>
          <w:tcPr>
            <w:tcW w:w="3379"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Large number of latent constructs. Certain constructs have less than three items (under identified model)</w:t>
            </w:r>
          </w:p>
        </w:tc>
        <w:tc>
          <w:tcPr>
            <w:tcW w:w="1621" w:type="pct"/>
            <w:vAlign w:val="center"/>
          </w:tcPr>
          <w:p w:rsidR="00162181" w:rsidRPr="00162181" w:rsidRDefault="00162181" w:rsidP="00162181">
            <w:pPr>
              <w:pStyle w:val="TableParagraph"/>
              <w:autoSpaceDE w:val="0"/>
              <w:autoSpaceDN w:val="0"/>
              <w:jc w:val="both"/>
              <w:rPr>
                <w:rFonts w:ascii="Cambria" w:hAnsi="Cambria"/>
                <w:bCs/>
                <w:sz w:val="20"/>
                <w:szCs w:val="20"/>
              </w:rPr>
            </w:pPr>
            <w:r w:rsidRPr="00162181">
              <w:rPr>
                <w:rFonts w:ascii="Cambria" w:hAnsi="Cambria"/>
                <w:bCs/>
                <w:sz w:val="20"/>
                <w:szCs w:val="20"/>
              </w:rPr>
              <w:t>500</w:t>
            </w:r>
          </w:p>
        </w:tc>
      </w:tr>
    </w:tbl>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rPr>
      </w:pPr>
      <w:r w:rsidRPr="00162181">
        <w:rPr>
          <w:rFonts w:ascii="Cambria" w:hAnsi="Cambria"/>
          <w:sz w:val="20"/>
          <w:szCs w:val="20"/>
        </w:rPr>
        <w:t>Table 1 was used to determine the minimal sample size for this study, which was 300 observations. Therefore, a total of 371 students and staff were selected randomly from all campus branches in Malaysia. The sampling method used is convenience sampling. This method was used because it is typically affordable and is simple to execute with easily available subjects.</w:t>
      </w:r>
    </w:p>
    <w:p w:rsidR="00162181" w:rsidRPr="00162181" w:rsidRDefault="00162181" w:rsidP="00162181">
      <w:pPr>
        <w:pStyle w:val="BodyText"/>
        <w:spacing w:after="0" w:line="240" w:lineRule="auto"/>
        <w:jc w:val="both"/>
        <w:rPr>
          <w:rFonts w:ascii="Cambria" w:hAnsi="Cambria"/>
          <w:sz w:val="20"/>
          <w:szCs w:val="20"/>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b/>
          <w:bCs/>
          <w:sz w:val="20"/>
          <w:szCs w:val="20"/>
          <w:lang w:val="en-MY"/>
        </w:rPr>
        <w:t>Data Collection Methods</w:t>
      </w:r>
      <w:r w:rsidRPr="00162181">
        <w:rPr>
          <w:rFonts w:ascii="Cambria" w:hAnsi="Cambria"/>
          <w:sz w:val="20"/>
          <w:szCs w:val="20"/>
        </w:rPr>
        <w:t xml:space="preserve">: </w:t>
      </w:r>
      <w:r w:rsidRPr="00162181">
        <w:rPr>
          <w:rFonts w:ascii="Cambria" w:hAnsi="Cambria"/>
          <w:sz w:val="20"/>
          <w:szCs w:val="20"/>
          <w:lang w:val="en-MY"/>
        </w:rPr>
        <w:t>This study was conducted through an online survey created with Google Forms to gain information from the respondents. This approach was chosen due to its many benefits and applicability for this study. The advantages include a lower budget requirement because the survey is sent via email and can be distributed to a large number of respondents at once, and busy respondents can complete the survey whenever it is convenient for them. The data was collected once over two months.</w:t>
      </w:r>
      <w:r w:rsidRPr="00162181">
        <w:rPr>
          <w:rFonts w:ascii="Cambria" w:hAnsi="Cambria"/>
          <w:sz w:val="20"/>
          <w:szCs w:val="20"/>
        </w:rPr>
        <w:t xml:space="preserve"> </w:t>
      </w:r>
      <w:r w:rsidRPr="00162181">
        <w:rPr>
          <w:rFonts w:ascii="Cambria" w:hAnsi="Cambria"/>
          <w:sz w:val="20"/>
          <w:szCs w:val="20"/>
          <w:lang w:val="en-MY"/>
        </w:rPr>
        <w:t xml:space="preserve">A set of questionnaires adapted from other researchers was used to measure the factors contributing to online shopping behavior patterns. The questionnaire used is a survey adapted from </w:t>
      </w:r>
      <w:r w:rsidRPr="00162181">
        <w:rPr>
          <w:rFonts w:ascii="Cambria" w:hAnsi="Cambria"/>
          <w:noProof/>
          <w:sz w:val="20"/>
          <w:szCs w:val="20"/>
        </w:rPr>
        <w:t>Wu &amp; Tsai (2017)</w:t>
      </w:r>
      <w:r w:rsidRPr="00162181">
        <w:rPr>
          <w:rFonts w:ascii="Cambria" w:hAnsi="Cambria"/>
          <w:sz w:val="20"/>
          <w:szCs w:val="20"/>
          <w:lang w:val="en-MY"/>
        </w:rPr>
        <w:t xml:space="preserve">. There were two primary </w:t>
      </w:r>
      <w:r w:rsidRPr="00162181">
        <w:rPr>
          <w:rFonts w:ascii="Cambria" w:hAnsi="Cambria"/>
          <w:sz w:val="20"/>
          <w:szCs w:val="20"/>
          <w:lang w:val="en-MY"/>
        </w:rPr>
        <w:lastRenderedPageBreak/>
        <w:t>sections in the questionnaire. The first section (Section A) contains four items on demographic information such as gender, education level, age group, and UiTM branch. The second section (Section B) consisted of preference for online shopping platforms and another 39 items measuring the respondents’ level of agreement on five variables, which are web characteristics, external stimulus, affection, cognition, and behavior. The interval scale matrix with pre-coded numerical scales was used for the responses in this section. A 7-point scale was used to evaluate the extent of the respondent's viewpoint. Scores range from 1 for "strongly disagree" to 7 for "strongly agree". Table 2 shows each variable listed in the questionnaire.</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sz w:val="20"/>
          <w:szCs w:val="20"/>
        </w:rPr>
      </w:pPr>
      <w:r w:rsidRPr="00162181">
        <w:rPr>
          <w:rFonts w:ascii="Cambria" w:hAnsi="Cambria"/>
          <w:b/>
          <w:sz w:val="20"/>
          <w:szCs w:val="20"/>
        </w:rPr>
        <w:t>Table 2: Number of Measurement Items</w:t>
      </w:r>
    </w:p>
    <w:tbl>
      <w:tblPr>
        <w:tblStyle w:val="TableGrid"/>
        <w:tblW w:w="4869"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3191"/>
        <w:gridCol w:w="3049"/>
      </w:tblGrid>
      <w:tr w:rsidR="00162181" w:rsidRPr="00162181" w:rsidTr="00AD72AB">
        <w:trPr>
          <w:jc w:val="center"/>
        </w:trPr>
        <w:tc>
          <w:tcPr>
            <w:tcW w:w="1654"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cs="Arial"/>
                <w:b/>
                <w:bCs/>
                <w:sz w:val="20"/>
                <w:szCs w:val="20"/>
              </w:rPr>
            </w:pPr>
            <w:r w:rsidRPr="00162181">
              <w:rPr>
                <w:rFonts w:ascii="Cambria" w:hAnsi="Cambria" w:cs="Arial"/>
                <w:b/>
                <w:bCs/>
                <w:sz w:val="20"/>
                <w:szCs w:val="20"/>
              </w:rPr>
              <w:t>Variables</w:t>
            </w:r>
          </w:p>
        </w:tc>
        <w:tc>
          <w:tcPr>
            <w:tcW w:w="1711"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cs="Arial"/>
                <w:b/>
                <w:bCs/>
                <w:sz w:val="20"/>
                <w:szCs w:val="20"/>
              </w:rPr>
            </w:pPr>
            <w:r w:rsidRPr="00162181">
              <w:rPr>
                <w:rFonts w:ascii="Cambria" w:hAnsi="Cambria" w:cs="Arial"/>
                <w:b/>
                <w:bCs/>
                <w:sz w:val="20"/>
                <w:szCs w:val="20"/>
              </w:rPr>
              <w:t>Number of Question</w:t>
            </w:r>
          </w:p>
        </w:tc>
        <w:tc>
          <w:tcPr>
            <w:tcW w:w="1635"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cs="Arial"/>
                <w:b/>
                <w:bCs/>
                <w:sz w:val="20"/>
                <w:szCs w:val="20"/>
              </w:rPr>
            </w:pPr>
            <w:r w:rsidRPr="00162181">
              <w:rPr>
                <w:rFonts w:ascii="Cambria" w:hAnsi="Cambria" w:cs="Arial"/>
                <w:b/>
                <w:bCs/>
                <w:sz w:val="20"/>
                <w:szCs w:val="20"/>
              </w:rPr>
              <w:t>Per variable</w:t>
            </w:r>
          </w:p>
        </w:tc>
      </w:tr>
      <w:tr w:rsidR="00162181" w:rsidRPr="00162181" w:rsidTr="00AD72AB">
        <w:trPr>
          <w:jc w:val="center"/>
        </w:trPr>
        <w:tc>
          <w:tcPr>
            <w:tcW w:w="1654" w:type="pct"/>
            <w:tcBorders>
              <w:top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Web characteristics</w:t>
            </w:r>
          </w:p>
        </w:tc>
        <w:tc>
          <w:tcPr>
            <w:tcW w:w="1711" w:type="pct"/>
            <w:tcBorders>
              <w:top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10</w:t>
            </w:r>
          </w:p>
        </w:tc>
        <w:tc>
          <w:tcPr>
            <w:tcW w:w="1635" w:type="pct"/>
            <w:tcBorders>
              <w:top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Q2 – Q10</w:t>
            </w:r>
          </w:p>
        </w:tc>
      </w:tr>
      <w:tr w:rsidR="00162181" w:rsidRPr="00162181" w:rsidTr="00AD72AB">
        <w:trPr>
          <w:jc w:val="center"/>
        </w:trPr>
        <w:tc>
          <w:tcPr>
            <w:tcW w:w="1654"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External stimulus</w:t>
            </w:r>
          </w:p>
        </w:tc>
        <w:tc>
          <w:tcPr>
            <w:tcW w:w="1711"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12</w:t>
            </w:r>
          </w:p>
        </w:tc>
        <w:tc>
          <w:tcPr>
            <w:tcW w:w="1635"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Q11 – Q22</w:t>
            </w:r>
          </w:p>
        </w:tc>
      </w:tr>
      <w:tr w:rsidR="00162181" w:rsidRPr="00162181" w:rsidTr="00AD72AB">
        <w:trPr>
          <w:jc w:val="center"/>
        </w:trPr>
        <w:tc>
          <w:tcPr>
            <w:tcW w:w="1654"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Affection</w:t>
            </w:r>
          </w:p>
        </w:tc>
        <w:tc>
          <w:tcPr>
            <w:tcW w:w="1711"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6</w:t>
            </w:r>
          </w:p>
        </w:tc>
        <w:tc>
          <w:tcPr>
            <w:tcW w:w="1635"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Q23 – Q28</w:t>
            </w:r>
          </w:p>
        </w:tc>
      </w:tr>
      <w:tr w:rsidR="00162181" w:rsidRPr="00162181" w:rsidTr="00AD72AB">
        <w:trPr>
          <w:jc w:val="center"/>
        </w:trPr>
        <w:tc>
          <w:tcPr>
            <w:tcW w:w="1654"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Cognition</w:t>
            </w:r>
          </w:p>
        </w:tc>
        <w:tc>
          <w:tcPr>
            <w:tcW w:w="1711"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6</w:t>
            </w:r>
          </w:p>
        </w:tc>
        <w:tc>
          <w:tcPr>
            <w:tcW w:w="1635" w:type="pct"/>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Q29 – Q34</w:t>
            </w:r>
          </w:p>
        </w:tc>
      </w:tr>
      <w:tr w:rsidR="00162181" w:rsidRPr="00162181" w:rsidTr="00AD72AB">
        <w:trPr>
          <w:jc w:val="center"/>
        </w:trPr>
        <w:tc>
          <w:tcPr>
            <w:tcW w:w="1654" w:type="pct"/>
            <w:tcBorders>
              <w:bottom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Behavior</w:t>
            </w:r>
          </w:p>
        </w:tc>
        <w:tc>
          <w:tcPr>
            <w:tcW w:w="1711" w:type="pct"/>
            <w:tcBorders>
              <w:bottom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6</w:t>
            </w:r>
          </w:p>
        </w:tc>
        <w:tc>
          <w:tcPr>
            <w:tcW w:w="1635" w:type="pct"/>
            <w:tcBorders>
              <w:bottom w:val="single" w:sz="4" w:space="0" w:color="auto"/>
            </w:tcBorders>
          </w:tcPr>
          <w:p w:rsidR="00162181" w:rsidRPr="00162181" w:rsidRDefault="00162181" w:rsidP="00162181">
            <w:pPr>
              <w:autoSpaceDE w:val="0"/>
              <w:autoSpaceDN w:val="0"/>
              <w:adjustRightInd w:val="0"/>
              <w:jc w:val="both"/>
              <w:rPr>
                <w:rFonts w:ascii="Cambria" w:hAnsi="Cambria" w:cs="Arial"/>
                <w:sz w:val="20"/>
                <w:szCs w:val="20"/>
              </w:rPr>
            </w:pPr>
            <w:r w:rsidRPr="00162181">
              <w:rPr>
                <w:rFonts w:ascii="Cambria" w:hAnsi="Cambria" w:cs="Arial"/>
                <w:sz w:val="20"/>
                <w:szCs w:val="20"/>
              </w:rPr>
              <w:t>Q35 – Q40</w:t>
            </w:r>
          </w:p>
        </w:tc>
      </w:tr>
    </w:tbl>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lang w:val="en-MY"/>
        </w:rPr>
      </w:pPr>
    </w:p>
    <w:p w:rsidR="00162181" w:rsidRPr="00162181" w:rsidRDefault="00162181" w:rsidP="00162181">
      <w:pPr>
        <w:pStyle w:val="Heading1"/>
        <w:tabs>
          <w:tab w:val="left" w:pos="447"/>
        </w:tabs>
        <w:spacing w:before="0" w:line="240" w:lineRule="auto"/>
        <w:jc w:val="both"/>
        <w:rPr>
          <w:rFonts w:ascii="Cambria" w:hAnsi="Cambria"/>
          <w:color w:val="auto"/>
          <w:sz w:val="20"/>
          <w:szCs w:val="20"/>
        </w:rPr>
      </w:pPr>
      <w:r w:rsidRPr="00162181">
        <w:rPr>
          <w:rFonts w:ascii="Cambria" w:hAnsi="Cambria"/>
          <w:bCs w:val="0"/>
          <w:color w:val="auto"/>
          <w:sz w:val="20"/>
          <w:szCs w:val="20"/>
          <w:lang w:val="en-MY"/>
        </w:rPr>
        <w:t xml:space="preserve">4. </w:t>
      </w:r>
      <w:r w:rsidRPr="00162181">
        <w:rPr>
          <w:rFonts w:ascii="Cambria" w:hAnsi="Cambria"/>
          <w:color w:val="auto"/>
          <w:sz w:val="20"/>
          <w:szCs w:val="20"/>
        </w:rPr>
        <w:t>Results</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lang w:val="en-MY"/>
        </w:rPr>
        <w:t xml:space="preserve">Descriptive Statistics: </w:t>
      </w:r>
      <w:r w:rsidRPr="00162181">
        <w:rPr>
          <w:rFonts w:ascii="Cambria" w:hAnsi="Cambria"/>
          <w:sz w:val="20"/>
          <w:szCs w:val="20"/>
        </w:rPr>
        <w:t>Table</w:t>
      </w:r>
      <w:r w:rsidRPr="00162181">
        <w:rPr>
          <w:rFonts w:ascii="Cambria" w:hAnsi="Cambria"/>
          <w:spacing w:val="10"/>
          <w:sz w:val="20"/>
          <w:szCs w:val="20"/>
        </w:rPr>
        <w:t xml:space="preserve"> </w:t>
      </w:r>
      <w:r w:rsidRPr="00162181">
        <w:rPr>
          <w:rFonts w:ascii="Cambria" w:hAnsi="Cambria"/>
          <w:sz w:val="20"/>
          <w:szCs w:val="20"/>
        </w:rPr>
        <w:t>3</w:t>
      </w:r>
      <w:r w:rsidRPr="00162181">
        <w:rPr>
          <w:rFonts w:ascii="Cambria" w:hAnsi="Cambria"/>
          <w:spacing w:val="9"/>
          <w:sz w:val="20"/>
          <w:szCs w:val="20"/>
        </w:rPr>
        <w:t xml:space="preserve"> </w:t>
      </w:r>
      <w:r w:rsidRPr="00162181">
        <w:rPr>
          <w:rFonts w:ascii="Cambria" w:hAnsi="Cambria"/>
          <w:sz w:val="20"/>
          <w:szCs w:val="20"/>
        </w:rPr>
        <w:t>shows</w:t>
      </w:r>
      <w:r w:rsidRPr="00162181">
        <w:rPr>
          <w:rFonts w:ascii="Cambria" w:hAnsi="Cambria"/>
          <w:spacing w:val="11"/>
          <w:sz w:val="20"/>
          <w:szCs w:val="20"/>
        </w:rPr>
        <w:t xml:space="preserve"> </w:t>
      </w:r>
      <w:r w:rsidRPr="00162181">
        <w:rPr>
          <w:rFonts w:ascii="Cambria" w:hAnsi="Cambria"/>
          <w:sz w:val="20"/>
          <w:szCs w:val="20"/>
        </w:rPr>
        <w:t xml:space="preserve">the characteristics of the entire sample </w:t>
      </w:r>
      <w:r w:rsidRPr="00162181">
        <w:rPr>
          <w:rFonts w:ascii="Cambria" w:hAnsi="Cambria"/>
          <w:spacing w:val="8"/>
          <w:sz w:val="20"/>
          <w:szCs w:val="20"/>
        </w:rPr>
        <w:t>in terms of gender, age, and online platform preferred</w:t>
      </w:r>
      <w:r w:rsidRPr="00162181">
        <w:rPr>
          <w:rFonts w:ascii="Cambria" w:hAnsi="Cambria"/>
          <w:spacing w:val="2"/>
          <w:sz w:val="20"/>
          <w:szCs w:val="20"/>
        </w:rPr>
        <w:t xml:space="preserve"> </w:t>
      </w:r>
      <w:r w:rsidRPr="00162181">
        <w:rPr>
          <w:rFonts w:ascii="Cambria" w:hAnsi="Cambria"/>
          <w:sz w:val="20"/>
          <w:szCs w:val="20"/>
        </w:rPr>
        <w:t>by the respondents selected in</w:t>
      </w:r>
      <w:r w:rsidRPr="00162181">
        <w:rPr>
          <w:rFonts w:ascii="Cambria" w:hAnsi="Cambria"/>
          <w:spacing w:val="-1"/>
          <w:sz w:val="20"/>
          <w:szCs w:val="20"/>
        </w:rPr>
        <w:t xml:space="preserve"> </w:t>
      </w:r>
      <w:r w:rsidRPr="00162181">
        <w:rPr>
          <w:rFonts w:ascii="Cambria" w:hAnsi="Cambria"/>
          <w:sz w:val="20"/>
          <w:szCs w:val="20"/>
        </w:rPr>
        <w:t>the study.</w:t>
      </w:r>
    </w:p>
    <w:p w:rsidR="00162181" w:rsidRPr="00162181" w:rsidRDefault="00162181" w:rsidP="00162181">
      <w:pPr>
        <w:pStyle w:val="BodyText"/>
        <w:spacing w:after="0" w:line="240" w:lineRule="auto"/>
        <w:jc w:val="both"/>
        <w:rPr>
          <w:rFonts w:ascii="Cambria" w:hAnsi="Cambria"/>
          <w:b/>
          <w:bCs/>
          <w:sz w:val="20"/>
          <w:szCs w:val="20"/>
          <w:lang w:val="en-MY"/>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t>Table 3: Descriptive Statistics</w:t>
      </w:r>
    </w:p>
    <w:tbl>
      <w:tblPr>
        <w:tblW w:w="5000" w:type="pct"/>
        <w:tblCellMar>
          <w:left w:w="0" w:type="dxa"/>
          <w:right w:w="0" w:type="dxa"/>
        </w:tblCellMar>
        <w:tblLook w:val="01E0"/>
      </w:tblPr>
      <w:tblGrid>
        <w:gridCol w:w="2789"/>
        <w:gridCol w:w="2404"/>
        <w:gridCol w:w="4167"/>
      </w:tblGrid>
      <w:tr w:rsidR="00162181" w:rsidRPr="00162181" w:rsidTr="00AD72AB">
        <w:trPr>
          <w:trHeight w:val="235"/>
        </w:trPr>
        <w:tc>
          <w:tcPr>
            <w:tcW w:w="1490" w:type="pct"/>
            <w:tcBorders>
              <w:top w:val="single" w:sz="4" w:space="0" w:color="000000"/>
              <w:bottom w:val="single" w:sz="4" w:space="0" w:color="000000"/>
            </w:tcBorders>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Variable</w:t>
            </w:r>
          </w:p>
        </w:tc>
        <w:tc>
          <w:tcPr>
            <w:tcW w:w="1284" w:type="pct"/>
            <w:tcBorders>
              <w:top w:val="single" w:sz="4" w:space="0" w:color="000000"/>
              <w:bottom w:val="single" w:sz="4" w:space="0" w:color="000000"/>
            </w:tcBorders>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Frequency</w:t>
            </w:r>
          </w:p>
        </w:tc>
        <w:tc>
          <w:tcPr>
            <w:tcW w:w="2226" w:type="pct"/>
            <w:tcBorders>
              <w:top w:val="single" w:sz="4" w:space="0" w:color="000000"/>
              <w:bottom w:val="single" w:sz="4" w:space="0" w:color="000000"/>
            </w:tcBorders>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Percentage</w:t>
            </w:r>
          </w:p>
        </w:tc>
      </w:tr>
      <w:tr w:rsidR="00162181" w:rsidRPr="00162181" w:rsidTr="00AD72AB">
        <w:trPr>
          <w:trHeight w:val="234"/>
        </w:trPr>
        <w:tc>
          <w:tcPr>
            <w:tcW w:w="1490" w:type="pct"/>
            <w:tcBorders>
              <w:top w:val="single" w:sz="4" w:space="0" w:color="000000"/>
            </w:tcBorders>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GENDER</w:t>
            </w:r>
          </w:p>
        </w:tc>
        <w:tc>
          <w:tcPr>
            <w:tcW w:w="1284" w:type="pct"/>
            <w:tcBorders>
              <w:top w:val="single" w:sz="4" w:space="0" w:color="000000"/>
            </w:tcBorders>
          </w:tcPr>
          <w:p w:rsidR="00162181" w:rsidRPr="00162181" w:rsidRDefault="00162181" w:rsidP="00162181">
            <w:pPr>
              <w:pStyle w:val="TableParagraph"/>
              <w:jc w:val="both"/>
              <w:rPr>
                <w:rFonts w:ascii="Cambria" w:hAnsi="Cambria"/>
                <w:sz w:val="20"/>
                <w:szCs w:val="20"/>
              </w:rPr>
            </w:pPr>
          </w:p>
        </w:tc>
        <w:tc>
          <w:tcPr>
            <w:tcW w:w="2226" w:type="pct"/>
            <w:tcBorders>
              <w:top w:val="single" w:sz="4" w:space="0" w:color="000000"/>
            </w:tcBorders>
          </w:tcPr>
          <w:p w:rsidR="00162181" w:rsidRPr="00162181" w:rsidRDefault="00162181" w:rsidP="00162181">
            <w:pPr>
              <w:pStyle w:val="TableParagraph"/>
              <w:jc w:val="both"/>
              <w:rPr>
                <w:rFonts w:ascii="Cambria" w:hAnsi="Cambria"/>
                <w:sz w:val="20"/>
                <w:szCs w:val="20"/>
              </w:rPr>
            </w:pP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Males</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108</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29.1%</w:t>
            </w: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Females</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263</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70.9%</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Total</w:t>
            </w:r>
          </w:p>
        </w:tc>
        <w:tc>
          <w:tcPr>
            <w:tcW w:w="1284" w:type="pct"/>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371</w:t>
            </w:r>
          </w:p>
        </w:tc>
        <w:tc>
          <w:tcPr>
            <w:tcW w:w="2226" w:type="pct"/>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100%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AGE (years old)</w:t>
            </w:r>
          </w:p>
        </w:tc>
        <w:tc>
          <w:tcPr>
            <w:tcW w:w="1284" w:type="pct"/>
            <w:vAlign w:val="center"/>
          </w:tcPr>
          <w:p w:rsidR="00162181" w:rsidRPr="00162181" w:rsidRDefault="00162181" w:rsidP="00162181">
            <w:pPr>
              <w:pStyle w:val="TableParagraph"/>
              <w:jc w:val="both"/>
              <w:rPr>
                <w:rFonts w:ascii="Cambria" w:hAnsi="Cambria"/>
                <w:sz w:val="20"/>
                <w:szCs w:val="20"/>
              </w:rPr>
            </w:pPr>
          </w:p>
        </w:tc>
        <w:tc>
          <w:tcPr>
            <w:tcW w:w="2226" w:type="pct"/>
            <w:vAlign w:val="center"/>
          </w:tcPr>
          <w:p w:rsidR="00162181" w:rsidRPr="00162181" w:rsidRDefault="00162181" w:rsidP="00162181">
            <w:pPr>
              <w:pStyle w:val="TableParagraph"/>
              <w:jc w:val="both"/>
              <w:rPr>
                <w:rFonts w:ascii="Cambria" w:hAnsi="Cambria"/>
                <w:sz w:val="20"/>
                <w:szCs w:val="20"/>
              </w:rPr>
            </w:pP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18-25</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232</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62.5%</w:t>
            </w:r>
          </w:p>
        </w:tc>
      </w:tr>
      <w:tr w:rsidR="00162181" w:rsidRPr="00162181" w:rsidTr="00AD72AB">
        <w:trPr>
          <w:trHeight w:val="233"/>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26-30</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15</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4.00%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31-35</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27</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7.30%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36-40</w:t>
            </w:r>
          </w:p>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41-45</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38</w:t>
            </w:r>
          </w:p>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24</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10.2%</w:t>
            </w:r>
          </w:p>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6.50%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More than 45</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35</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9.40%</w:t>
            </w: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Total</w:t>
            </w:r>
          </w:p>
        </w:tc>
        <w:tc>
          <w:tcPr>
            <w:tcW w:w="1284" w:type="pct"/>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371</w:t>
            </w:r>
          </w:p>
        </w:tc>
        <w:tc>
          <w:tcPr>
            <w:tcW w:w="2226" w:type="pct"/>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100%</w:t>
            </w:r>
          </w:p>
        </w:tc>
      </w:tr>
      <w:tr w:rsidR="00162181" w:rsidRPr="00162181" w:rsidTr="00AD72AB">
        <w:trPr>
          <w:trHeight w:val="233"/>
        </w:trPr>
        <w:tc>
          <w:tcPr>
            <w:tcW w:w="1490" w:type="pct"/>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PLATFORM PREFERED</w:t>
            </w:r>
          </w:p>
        </w:tc>
        <w:tc>
          <w:tcPr>
            <w:tcW w:w="1284" w:type="pct"/>
            <w:vAlign w:val="center"/>
          </w:tcPr>
          <w:p w:rsidR="00162181" w:rsidRPr="00162181" w:rsidRDefault="00162181" w:rsidP="00162181">
            <w:pPr>
              <w:pStyle w:val="TableParagraph"/>
              <w:jc w:val="both"/>
              <w:rPr>
                <w:rFonts w:ascii="Cambria" w:hAnsi="Cambria"/>
                <w:sz w:val="20"/>
                <w:szCs w:val="20"/>
              </w:rPr>
            </w:pPr>
          </w:p>
        </w:tc>
        <w:tc>
          <w:tcPr>
            <w:tcW w:w="2226" w:type="pct"/>
            <w:vAlign w:val="center"/>
          </w:tcPr>
          <w:p w:rsidR="00162181" w:rsidRPr="00162181" w:rsidRDefault="00162181" w:rsidP="00162181">
            <w:pPr>
              <w:pStyle w:val="TableParagraph"/>
              <w:jc w:val="both"/>
              <w:rPr>
                <w:rFonts w:ascii="Cambria" w:hAnsi="Cambria"/>
                <w:sz w:val="20"/>
                <w:szCs w:val="20"/>
              </w:rPr>
            </w:pPr>
          </w:p>
        </w:tc>
      </w:tr>
      <w:tr w:rsidR="00162181" w:rsidRPr="00162181" w:rsidTr="00AD72AB">
        <w:trPr>
          <w:trHeight w:val="233"/>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Shopee</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321</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86.5%</w:t>
            </w: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TikTok</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16</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4.30%</w:t>
            </w:r>
          </w:p>
        </w:tc>
      </w:tr>
      <w:tr w:rsidR="00162181" w:rsidRPr="00162181" w:rsidTr="00AD72AB">
        <w:trPr>
          <w:trHeight w:val="235"/>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Lazada</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14</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3.80%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Zalora</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9</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2.40%</w:t>
            </w:r>
          </w:p>
        </w:tc>
      </w:tr>
      <w:tr w:rsidR="00162181" w:rsidRPr="00162181" w:rsidTr="00AD72AB">
        <w:trPr>
          <w:trHeight w:val="234"/>
        </w:trPr>
        <w:tc>
          <w:tcPr>
            <w:tcW w:w="1490" w:type="pct"/>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Others</w:t>
            </w:r>
          </w:p>
        </w:tc>
        <w:tc>
          <w:tcPr>
            <w:tcW w:w="1284"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11</w:t>
            </w:r>
          </w:p>
        </w:tc>
        <w:tc>
          <w:tcPr>
            <w:tcW w:w="2226" w:type="pct"/>
            <w:vAlign w:val="center"/>
          </w:tcPr>
          <w:p w:rsidR="00162181" w:rsidRPr="00162181" w:rsidRDefault="00162181" w:rsidP="00162181">
            <w:pPr>
              <w:pStyle w:val="TableParagraph"/>
              <w:jc w:val="both"/>
              <w:rPr>
                <w:rFonts w:ascii="Cambria" w:hAnsi="Cambria"/>
                <w:sz w:val="20"/>
                <w:szCs w:val="20"/>
              </w:rPr>
            </w:pPr>
            <w:r w:rsidRPr="00162181">
              <w:rPr>
                <w:rFonts w:ascii="Cambria" w:hAnsi="Cambria"/>
                <w:sz w:val="20"/>
                <w:szCs w:val="20"/>
              </w:rPr>
              <w:t>3.00%</w:t>
            </w:r>
          </w:p>
        </w:tc>
      </w:tr>
      <w:tr w:rsidR="00162181" w:rsidRPr="00162181" w:rsidTr="00AD72AB">
        <w:trPr>
          <w:trHeight w:val="234"/>
        </w:trPr>
        <w:tc>
          <w:tcPr>
            <w:tcW w:w="1490" w:type="pct"/>
            <w:tcBorders>
              <w:bottom w:val="single" w:sz="4" w:space="0" w:color="auto"/>
            </w:tcBorders>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Total</w:t>
            </w:r>
          </w:p>
        </w:tc>
        <w:tc>
          <w:tcPr>
            <w:tcW w:w="1284" w:type="pct"/>
            <w:tcBorders>
              <w:bottom w:val="single" w:sz="4" w:space="0" w:color="auto"/>
            </w:tcBorders>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371</w:t>
            </w:r>
          </w:p>
        </w:tc>
        <w:tc>
          <w:tcPr>
            <w:tcW w:w="2226" w:type="pct"/>
            <w:tcBorders>
              <w:bottom w:val="single" w:sz="4" w:space="0" w:color="auto"/>
            </w:tcBorders>
            <w:vAlign w:val="center"/>
          </w:tcPr>
          <w:p w:rsidR="00162181" w:rsidRPr="00162181" w:rsidRDefault="00162181" w:rsidP="00162181">
            <w:pPr>
              <w:pStyle w:val="TableParagraph"/>
              <w:jc w:val="both"/>
              <w:rPr>
                <w:rFonts w:ascii="Cambria" w:hAnsi="Cambria"/>
                <w:b/>
                <w:sz w:val="20"/>
                <w:szCs w:val="20"/>
              </w:rPr>
            </w:pPr>
            <w:r w:rsidRPr="00162181">
              <w:rPr>
                <w:rFonts w:ascii="Cambria" w:hAnsi="Cambria"/>
                <w:b/>
                <w:sz w:val="20"/>
                <w:szCs w:val="20"/>
              </w:rPr>
              <w:t>100%</w:t>
            </w:r>
          </w:p>
        </w:tc>
      </w:tr>
    </w:tbl>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Respondents for this study consist of 29.7% males (108 respondents) and 70.9% females (263 respondents). The respondents’ ages ranged between 18 and 25 years (62.5%), which is the highest group, while the lowest group is between 26 and 30 years (4.0%). The best online shopping platform preferred by respondents is Shopee (86.5%), followed by TikTok (4.3%), Lazada (3.8%), Zalora (2.4%), and the remaining platforms between 1.1% and 0.3%.</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lang w:val="en-MY"/>
        </w:rPr>
        <w:t xml:space="preserve">Reliability Analysis: </w:t>
      </w:r>
      <w:r w:rsidRPr="00162181">
        <w:rPr>
          <w:rFonts w:ascii="Cambria" w:hAnsi="Cambria"/>
          <w:sz w:val="20"/>
          <w:szCs w:val="20"/>
          <w:lang w:val="en-MY"/>
        </w:rPr>
        <w:t xml:space="preserve">The study of the characteristics of measurement scales and the components that make up such scales is known as reliability analysis. When using tests with standard items, Cronbach's alpha is used, which is based on the average correlation of the items inside the test. It is based on the average covariance among the components if the items are not standard. The range of Cronbach's alpha, which may be considered a correlation coefficient, has a range of 0 to 1 </w:t>
      </w:r>
      <w:sdt>
        <w:sdtPr>
          <w:rPr>
            <w:rFonts w:ascii="Cambria" w:hAnsi="Cambria"/>
            <w:sz w:val="20"/>
            <w:szCs w:val="20"/>
            <w:lang w:val="en-MY"/>
          </w:rPr>
          <w:id w:val="265123815"/>
          <w:citation/>
        </w:sdtPr>
        <w:sdtContent>
          <w:r w:rsidRPr="00162181">
            <w:rPr>
              <w:rFonts w:ascii="Cambria" w:hAnsi="Cambria"/>
              <w:sz w:val="20"/>
              <w:szCs w:val="20"/>
              <w:lang w:val="en-MY"/>
            </w:rPr>
            <w:fldChar w:fldCharType="begin"/>
          </w:r>
          <w:r w:rsidRPr="00162181">
            <w:rPr>
              <w:rFonts w:ascii="Cambria" w:hAnsi="Cambria"/>
              <w:sz w:val="20"/>
              <w:szCs w:val="20"/>
              <w:lang w:val="en-US"/>
            </w:rPr>
            <w:instrText xml:space="preserve"> CITATION Placeholder34 \l 1033  </w:instrText>
          </w:r>
          <w:r w:rsidRPr="00162181">
            <w:rPr>
              <w:rFonts w:ascii="Cambria" w:hAnsi="Cambria"/>
              <w:sz w:val="20"/>
              <w:szCs w:val="20"/>
              <w:lang w:val="en-MY"/>
            </w:rPr>
            <w:fldChar w:fldCharType="separate"/>
          </w:r>
          <w:r w:rsidRPr="00162181">
            <w:rPr>
              <w:rFonts w:ascii="Cambria" w:hAnsi="Cambria"/>
              <w:noProof/>
              <w:sz w:val="20"/>
              <w:szCs w:val="20"/>
              <w:lang w:val="en-US"/>
            </w:rPr>
            <w:t>(Coakes, 2007)</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Each component's dependability was evaluated using the Cronbach's alpha (coefficient). For each construct, the internal consistency measure </w:t>
      </w:r>
      <w:r w:rsidRPr="00162181">
        <w:rPr>
          <w:rFonts w:ascii="Cambria" w:hAnsi="Cambria"/>
          <w:sz w:val="20"/>
          <w:szCs w:val="20"/>
          <w:lang w:val="en-MY"/>
        </w:rPr>
        <w:lastRenderedPageBreak/>
        <w:t xml:space="preserve">of the assessed items must exceed a minimum value of 0.6. The reliability test is carried out to confirm the instrument's dependability for web characteristics, external stimuli, affection, cognition, and online buying behavior. Cronbach's Alpha is higher than 0.7 for all structures, according to Table 4. According to </w:t>
      </w:r>
      <w:r w:rsidRPr="00162181">
        <w:rPr>
          <w:rFonts w:ascii="Cambria" w:hAnsi="Cambria"/>
          <w:noProof/>
          <w:sz w:val="20"/>
          <w:szCs w:val="20"/>
        </w:rPr>
        <w:t>Sekaran &amp; Bougie (2016)</w:t>
      </w:r>
      <w:r w:rsidRPr="00162181">
        <w:rPr>
          <w:rFonts w:ascii="Cambria" w:hAnsi="Cambria"/>
          <w:sz w:val="20"/>
          <w:szCs w:val="20"/>
          <w:lang w:val="en-MY"/>
        </w:rPr>
        <w:t xml:space="preserve"> and </w:t>
      </w:r>
      <w:r w:rsidRPr="00162181">
        <w:rPr>
          <w:rFonts w:ascii="Cambria" w:hAnsi="Cambria"/>
          <w:noProof/>
          <w:sz w:val="20"/>
          <w:szCs w:val="20"/>
        </w:rPr>
        <w:t>Awang (2012)</w:t>
      </w:r>
      <w:r w:rsidRPr="00162181">
        <w:rPr>
          <w:rFonts w:ascii="Cambria" w:hAnsi="Cambria"/>
          <w:sz w:val="20"/>
          <w:szCs w:val="20"/>
          <w:lang w:val="en-MY"/>
        </w:rPr>
        <w:t>, Cronbach's Alpha values greater than 0.6 indicate that the instruments are sufficiently reliable for research.</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t>Table 4: The Reliability Assessment for All Constructs</w:t>
      </w:r>
    </w:p>
    <w:tbl>
      <w:tblPr>
        <w:tblStyle w:val="TableGrid"/>
        <w:tblW w:w="4916"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2"/>
        <w:gridCol w:w="2977"/>
        <w:gridCol w:w="3356"/>
      </w:tblGrid>
      <w:tr w:rsidR="00162181" w:rsidRPr="00162181" w:rsidTr="00AD72AB">
        <w:trPr>
          <w:jc w:val="center"/>
        </w:trPr>
        <w:tc>
          <w:tcPr>
            <w:tcW w:w="1637"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b/>
                <w:bCs/>
                <w:sz w:val="20"/>
                <w:szCs w:val="20"/>
              </w:rPr>
            </w:pPr>
            <w:r w:rsidRPr="00162181">
              <w:rPr>
                <w:rFonts w:ascii="Cambria" w:hAnsi="Cambria"/>
                <w:b/>
                <w:bCs/>
                <w:sz w:val="20"/>
                <w:szCs w:val="20"/>
              </w:rPr>
              <w:t>Variables</w:t>
            </w:r>
          </w:p>
        </w:tc>
        <w:tc>
          <w:tcPr>
            <w:tcW w:w="1581"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b/>
                <w:bCs/>
                <w:sz w:val="20"/>
                <w:szCs w:val="20"/>
              </w:rPr>
            </w:pPr>
            <w:r w:rsidRPr="00162181">
              <w:rPr>
                <w:rFonts w:ascii="Cambria" w:hAnsi="Cambria"/>
                <w:b/>
                <w:bCs/>
                <w:sz w:val="20"/>
                <w:szCs w:val="20"/>
              </w:rPr>
              <w:t>Number of items</w:t>
            </w:r>
          </w:p>
        </w:tc>
        <w:tc>
          <w:tcPr>
            <w:tcW w:w="1782" w:type="pct"/>
            <w:tcBorders>
              <w:top w:val="single" w:sz="4" w:space="0" w:color="auto"/>
              <w:bottom w:val="single" w:sz="4" w:space="0" w:color="auto"/>
            </w:tcBorders>
          </w:tcPr>
          <w:p w:rsidR="00162181" w:rsidRPr="00162181" w:rsidRDefault="00162181" w:rsidP="00162181">
            <w:pPr>
              <w:autoSpaceDE w:val="0"/>
              <w:autoSpaceDN w:val="0"/>
              <w:adjustRightInd w:val="0"/>
              <w:jc w:val="both"/>
              <w:rPr>
                <w:rFonts w:ascii="Cambria" w:hAnsi="Cambria"/>
                <w:b/>
                <w:bCs/>
                <w:sz w:val="20"/>
                <w:szCs w:val="20"/>
              </w:rPr>
            </w:pPr>
            <w:r w:rsidRPr="00162181">
              <w:rPr>
                <w:rFonts w:ascii="Cambria" w:hAnsi="Cambria"/>
                <w:b/>
                <w:bCs/>
                <w:sz w:val="20"/>
                <w:szCs w:val="20"/>
              </w:rPr>
              <w:t>Cronbach’s Alpha (n = 371)</w:t>
            </w:r>
          </w:p>
        </w:tc>
      </w:tr>
      <w:tr w:rsidR="00162181" w:rsidRPr="00162181" w:rsidTr="00AD72AB">
        <w:trPr>
          <w:jc w:val="center"/>
        </w:trPr>
        <w:tc>
          <w:tcPr>
            <w:tcW w:w="1637" w:type="pct"/>
            <w:tcBorders>
              <w:top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Web characteristics</w:t>
            </w:r>
          </w:p>
        </w:tc>
        <w:tc>
          <w:tcPr>
            <w:tcW w:w="1581" w:type="pct"/>
            <w:tcBorders>
              <w:top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8</w:t>
            </w:r>
          </w:p>
        </w:tc>
        <w:tc>
          <w:tcPr>
            <w:tcW w:w="1782" w:type="pct"/>
            <w:tcBorders>
              <w:top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0.925</w:t>
            </w:r>
          </w:p>
        </w:tc>
      </w:tr>
      <w:tr w:rsidR="00162181" w:rsidRPr="00162181" w:rsidTr="00AD72AB">
        <w:trPr>
          <w:jc w:val="center"/>
        </w:trPr>
        <w:tc>
          <w:tcPr>
            <w:tcW w:w="1637"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External stimulus</w:t>
            </w:r>
          </w:p>
        </w:tc>
        <w:tc>
          <w:tcPr>
            <w:tcW w:w="1581"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11</w:t>
            </w:r>
          </w:p>
        </w:tc>
        <w:tc>
          <w:tcPr>
            <w:tcW w:w="1782"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0.930</w:t>
            </w:r>
          </w:p>
        </w:tc>
      </w:tr>
      <w:tr w:rsidR="00162181" w:rsidRPr="00162181" w:rsidTr="00AD72AB">
        <w:trPr>
          <w:jc w:val="center"/>
        </w:trPr>
        <w:tc>
          <w:tcPr>
            <w:tcW w:w="1637"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Affection</w:t>
            </w:r>
          </w:p>
        </w:tc>
        <w:tc>
          <w:tcPr>
            <w:tcW w:w="1581"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6</w:t>
            </w:r>
          </w:p>
        </w:tc>
        <w:tc>
          <w:tcPr>
            <w:tcW w:w="1782"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0.897</w:t>
            </w:r>
          </w:p>
        </w:tc>
      </w:tr>
      <w:tr w:rsidR="00162181" w:rsidRPr="00162181" w:rsidTr="00AD72AB">
        <w:trPr>
          <w:jc w:val="center"/>
        </w:trPr>
        <w:tc>
          <w:tcPr>
            <w:tcW w:w="1637"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Cognition</w:t>
            </w:r>
          </w:p>
        </w:tc>
        <w:tc>
          <w:tcPr>
            <w:tcW w:w="1581"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5</w:t>
            </w:r>
          </w:p>
        </w:tc>
        <w:tc>
          <w:tcPr>
            <w:tcW w:w="1782" w:type="pct"/>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0.798</w:t>
            </w:r>
          </w:p>
        </w:tc>
      </w:tr>
      <w:tr w:rsidR="00162181" w:rsidRPr="00162181" w:rsidTr="00AD72AB">
        <w:trPr>
          <w:jc w:val="center"/>
        </w:trPr>
        <w:tc>
          <w:tcPr>
            <w:tcW w:w="1637" w:type="pct"/>
            <w:tcBorders>
              <w:bottom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Online Shopping Behaviour</w:t>
            </w:r>
          </w:p>
        </w:tc>
        <w:tc>
          <w:tcPr>
            <w:tcW w:w="1581" w:type="pct"/>
            <w:tcBorders>
              <w:bottom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6</w:t>
            </w:r>
          </w:p>
        </w:tc>
        <w:tc>
          <w:tcPr>
            <w:tcW w:w="1782" w:type="pct"/>
            <w:tcBorders>
              <w:bottom w:val="single" w:sz="4" w:space="0" w:color="auto"/>
            </w:tcBorders>
          </w:tcPr>
          <w:p w:rsidR="00162181" w:rsidRPr="00162181" w:rsidRDefault="00162181" w:rsidP="00162181">
            <w:pPr>
              <w:autoSpaceDE w:val="0"/>
              <w:autoSpaceDN w:val="0"/>
              <w:adjustRightInd w:val="0"/>
              <w:jc w:val="both"/>
              <w:rPr>
                <w:rFonts w:ascii="Cambria" w:hAnsi="Cambria"/>
                <w:sz w:val="20"/>
                <w:szCs w:val="20"/>
              </w:rPr>
            </w:pPr>
            <w:r w:rsidRPr="00162181">
              <w:rPr>
                <w:rFonts w:ascii="Cambria" w:hAnsi="Cambria"/>
                <w:sz w:val="20"/>
                <w:szCs w:val="20"/>
              </w:rPr>
              <w:t>0.903</w:t>
            </w:r>
          </w:p>
        </w:tc>
      </w:tr>
    </w:tbl>
    <w:p w:rsidR="00162181" w:rsidRPr="00162181" w:rsidRDefault="00162181" w:rsidP="00162181">
      <w:pPr>
        <w:adjustRightInd w:val="0"/>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lang w:val="en-MY"/>
        </w:rPr>
        <w:t xml:space="preserve">Normality Test: </w:t>
      </w:r>
      <w:r w:rsidRPr="00162181">
        <w:rPr>
          <w:rFonts w:ascii="Cambria" w:hAnsi="Cambria"/>
          <w:sz w:val="20"/>
          <w:szCs w:val="20"/>
          <w:lang w:val="en-MY"/>
        </w:rPr>
        <w:t xml:space="preserve">Before proceeding with SEM, the normality assumption was examined. According to Table 5, </w:t>
      </w:r>
      <w:proofErr w:type="gramStart"/>
      <w:r w:rsidRPr="00162181">
        <w:rPr>
          <w:rFonts w:ascii="Cambria" w:hAnsi="Cambria"/>
          <w:sz w:val="20"/>
          <w:szCs w:val="20"/>
          <w:lang w:val="en-MY"/>
        </w:rPr>
        <w:t>which measures skewness and kurtosis, skewness values range from -0.957 to -0.214.</w:t>
      </w:r>
      <w:proofErr w:type="gramEnd"/>
      <w:r w:rsidRPr="00162181">
        <w:rPr>
          <w:rFonts w:ascii="Cambria" w:hAnsi="Cambria"/>
          <w:sz w:val="20"/>
          <w:szCs w:val="20"/>
          <w:lang w:val="en-MY"/>
        </w:rPr>
        <w:t xml:space="preserve"> While the kurtosis values show that the value is between -0.212 and 1.973. These findings demonstrate that all constructs' skewness and kurtosis values are normally distributed. The data is considered to be normally distributed if the absolute values of skewness and kurtosis are 2.0 or less, according to </w:t>
      </w:r>
      <w:sdt>
        <w:sdtPr>
          <w:rPr>
            <w:rFonts w:ascii="Cambria" w:hAnsi="Cambria"/>
            <w:sz w:val="20"/>
            <w:szCs w:val="20"/>
            <w:lang w:val="en-MY"/>
          </w:rPr>
          <w:id w:val="602619063"/>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Hai10 \l 1033 </w:instrText>
          </w:r>
          <w:r w:rsidRPr="00162181">
            <w:rPr>
              <w:rFonts w:ascii="Cambria" w:hAnsi="Cambria"/>
              <w:sz w:val="20"/>
              <w:szCs w:val="20"/>
              <w:lang w:val="en-MY"/>
            </w:rPr>
            <w:fldChar w:fldCharType="separate"/>
          </w:r>
          <w:r w:rsidRPr="00162181">
            <w:rPr>
              <w:rFonts w:ascii="Cambria" w:hAnsi="Cambria"/>
              <w:noProof/>
              <w:sz w:val="20"/>
              <w:szCs w:val="20"/>
            </w:rPr>
            <w:t>(Hair, Black, &amp; Babin, 2010)</w:t>
          </w:r>
          <w:r w:rsidRPr="00162181">
            <w:rPr>
              <w:rFonts w:ascii="Cambria" w:hAnsi="Cambria"/>
              <w:sz w:val="20"/>
              <w:szCs w:val="20"/>
              <w:lang w:val="en-MY"/>
            </w:rPr>
            <w:fldChar w:fldCharType="end"/>
          </w:r>
        </w:sdtContent>
      </w:sdt>
      <w:r w:rsidRPr="00162181">
        <w:rPr>
          <w:rFonts w:ascii="Cambria" w:hAnsi="Cambria"/>
          <w:sz w:val="20"/>
          <w:szCs w:val="20"/>
          <w:lang w:val="en-MY"/>
        </w:rPr>
        <w:t>.</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t>Table 5: The Reliability Assessment for All Constructs</w:t>
      </w:r>
    </w:p>
    <w:tbl>
      <w:tblPr>
        <w:tblStyle w:val="TableGrid"/>
        <w:tblW w:w="4916" w:type="pct"/>
        <w:jc w:val="center"/>
        <w:tblInd w:w="10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3199"/>
        <w:gridCol w:w="2109"/>
        <w:gridCol w:w="2260"/>
        <w:gridCol w:w="1847"/>
      </w:tblGrid>
      <w:tr w:rsidR="00162181" w:rsidRPr="00162181" w:rsidTr="00AD72AB">
        <w:trPr>
          <w:jc w:val="center"/>
        </w:trPr>
        <w:tc>
          <w:tcPr>
            <w:tcW w:w="1699" w:type="pct"/>
            <w:tcBorders>
              <w:top w:val="single" w:sz="4" w:space="0" w:color="auto"/>
              <w:bottom w:val="single" w:sz="4" w:space="0" w:color="auto"/>
            </w:tcBorders>
          </w:tcPr>
          <w:p w:rsidR="00162181" w:rsidRPr="00162181" w:rsidRDefault="00162181" w:rsidP="00162181">
            <w:pPr>
              <w:pStyle w:val="BodyText"/>
              <w:spacing w:after="0"/>
              <w:jc w:val="both"/>
              <w:rPr>
                <w:rFonts w:ascii="Cambria" w:hAnsi="Cambria"/>
                <w:b/>
                <w:bCs/>
                <w:sz w:val="20"/>
                <w:szCs w:val="20"/>
              </w:rPr>
            </w:pPr>
            <w:r w:rsidRPr="00162181">
              <w:rPr>
                <w:rFonts w:ascii="Cambria" w:hAnsi="Cambria"/>
                <w:b/>
                <w:bCs/>
                <w:sz w:val="20"/>
                <w:szCs w:val="20"/>
              </w:rPr>
              <w:t>Variables</w:t>
            </w:r>
          </w:p>
        </w:tc>
        <w:tc>
          <w:tcPr>
            <w:tcW w:w="1120" w:type="pct"/>
            <w:tcBorders>
              <w:top w:val="single" w:sz="4" w:space="0" w:color="auto"/>
              <w:bottom w:val="single" w:sz="4" w:space="0" w:color="auto"/>
            </w:tcBorders>
          </w:tcPr>
          <w:p w:rsidR="00162181" w:rsidRPr="00162181" w:rsidRDefault="00162181" w:rsidP="00162181">
            <w:pPr>
              <w:pStyle w:val="BodyText"/>
              <w:spacing w:after="0"/>
              <w:jc w:val="both"/>
              <w:rPr>
                <w:rFonts w:ascii="Cambria" w:hAnsi="Cambria"/>
                <w:b/>
                <w:bCs/>
                <w:sz w:val="20"/>
                <w:szCs w:val="20"/>
              </w:rPr>
            </w:pPr>
            <w:r w:rsidRPr="00162181">
              <w:rPr>
                <w:rFonts w:ascii="Cambria" w:hAnsi="Cambria"/>
                <w:b/>
                <w:bCs/>
                <w:sz w:val="20"/>
                <w:szCs w:val="20"/>
              </w:rPr>
              <w:t>Mean Score</w:t>
            </w:r>
          </w:p>
        </w:tc>
        <w:tc>
          <w:tcPr>
            <w:tcW w:w="1200" w:type="pct"/>
            <w:tcBorders>
              <w:top w:val="single" w:sz="4" w:space="0" w:color="auto"/>
              <w:bottom w:val="single" w:sz="4" w:space="0" w:color="auto"/>
            </w:tcBorders>
          </w:tcPr>
          <w:p w:rsidR="00162181" w:rsidRPr="00162181" w:rsidRDefault="00162181" w:rsidP="00162181">
            <w:pPr>
              <w:pStyle w:val="BodyText"/>
              <w:spacing w:after="0"/>
              <w:jc w:val="both"/>
              <w:rPr>
                <w:rFonts w:ascii="Cambria" w:hAnsi="Cambria"/>
                <w:b/>
                <w:bCs/>
                <w:sz w:val="20"/>
                <w:szCs w:val="20"/>
              </w:rPr>
            </w:pPr>
            <w:r w:rsidRPr="00162181">
              <w:rPr>
                <w:rFonts w:ascii="Cambria" w:hAnsi="Cambria"/>
                <w:b/>
                <w:bCs/>
                <w:sz w:val="20"/>
                <w:szCs w:val="20"/>
              </w:rPr>
              <w:t>Skewness</w:t>
            </w:r>
          </w:p>
        </w:tc>
        <w:tc>
          <w:tcPr>
            <w:tcW w:w="981" w:type="pct"/>
            <w:tcBorders>
              <w:top w:val="single" w:sz="4" w:space="0" w:color="auto"/>
              <w:bottom w:val="single" w:sz="4" w:space="0" w:color="auto"/>
            </w:tcBorders>
          </w:tcPr>
          <w:p w:rsidR="00162181" w:rsidRPr="00162181" w:rsidRDefault="00162181" w:rsidP="00162181">
            <w:pPr>
              <w:pStyle w:val="BodyText"/>
              <w:spacing w:after="0"/>
              <w:jc w:val="both"/>
              <w:rPr>
                <w:rFonts w:ascii="Cambria" w:hAnsi="Cambria"/>
                <w:b/>
                <w:bCs/>
                <w:sz w:val="20"/>
                <w:szCs w:val="20"/>
              </w:rPr>
            </w:pPr>
            <w:r w:rsidRPr="00162181">
              <w:rPr>
                <w:rFonts w:ascii="Cambria" w:hAnsi="Cambria"/>
                <w:b/>
                <w:bCs/>
                <w:sz w:val="20"/>
                <w:szCs w:val="20"/>
              </w:rPr>
              <w:t>Kurtosis</w:t>
            </w:r>
          </w:p>
        </w:tc>
      </w:tr>
      <w:tr w:rsidR="00162181" w:rsidRPr="00162181" w:rsidTr="00AD72AB">
        <w:trPr>
          <w:jc w:val="center"/>
        </w:trPr>
        <w:tc>
          <w:tcPr>
            <w:tcW w:w="1699" w:type="pct"/>
            <w:tcBorders>
              <w:top w:val="single" w:sz="4" w:space="0" w:color="auto"/>
            </w:tcBorders>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Web characteristics</w:t>
            </w:r>
          </w:p>
        </w:tc>
        <w:tc>
          <w:tcPr>
            <w:tcW w:w="1120" w:type="pct"/>
            <w:tcBorders>
              <w:top w:val="single" w:sz="4" w:space="0" w:color="auto"/>
            </w:tcBorders>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5.643</w:t>
            </w:r>
          </w:p>
        </w:tc>
        <w:tc>
          <w:tcPr>
            <w:tcW w:w="1200" w:type="pct"/>
            <w:tcBorders>
              <w:top w:val="single" w:sz="4" w:space="0" w:color="auto"/>
            </w:tcBorders>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- 0.957</w:t>
            </w:r>
          </w:p>
        </w:tc>
        <w:tc>
          <w:tcPr>
            <w:tcW w:w="981" w:type="pct"/>
            <w:tcBorders>
              <w:top w:val="single" w:sz="4" w:space="0" w:color="auto"/>
            </w:tcBorders>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1.973</w:t>
            </w:r>
          </w:p>
        </w:tc>
      </w:tr>
      <w:tr w:rsidR="00162181" w:rsidRPr="00162181" w:rsidTr="00AD72AB">
        <w:trPr>
          <w:jc w:val="center"/>
        </w:trPr>
        <w:tc>
          <w:tcPr>
            <w:tcW w:w="1699"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External stimulus</w:t>
            </w:r>
          </w:p>
        </w:tc>
        <w:tc>
          <w:tcPr>
            <w:tcW w:w="112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5.116</w:t>
            </w:r>
          </w:p>
        </w:tc>
        <w:tc>
          <w:tcPr>
            <w:tcW w:w="120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- 0.265</w:t>
            </w:r>
          </w:p>
        </w:tc>
        <w:tc>
          <w:tcPr>
            <w:tcW w:w="981"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- 0.212</w:t>
            </w:r>
          </w:p>
        </w:tc>
      </w:tr>
      <w:tr w:rsidR="00162181" w:rsidRPr="00162181" w:rsidTr="00AD72AB">
        <w:trPr>
          <w:jc w:val="center"/>
        </w:trPr>
        <w:tc>
          <w:tcPr>
            <w:tcW w:w="1699"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Affection</w:t>
            </w:r>
          </w:p>
        </w:tc>
        <w:tc>
          <w:tcPr>
            <w:tcW w:w="112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5.431</w:t>
            </w:r>
          </w:p>
        </w:tc>
        <w:tc>
          <w:tcPr>
            <w:tcW w:w="120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- 0.755</w:t>
            </w:r>
          </w:p>
        </w:tc>
        <w:tc>
          <w:tcPr>
            <w:tcW w:w="981"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0.529</w:t>
            </w:r>
          </w:p>
        </w:tc>
      </w:tr>
      <w:tr w:rsidR="00162181" w:rsidRPr="00162181" w:rsidTr="00AD72AB">
        <w:trPr>
          <w:jc w:val="center"/>
        </w:trPr>
        <w:tc>
          <w:tcPr>
            <w:tcW w:w="1699"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Cognition</w:t>
            </w:r>
          </w:p>
        </w:tc>
        <w:tc>
          <w:tcPr>
            <w:tcW w:w="112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5.202</w:t>
            </w:r>
          </w:p>
        </w:tc>
        <w:tc>
          <w:tcPr>
            <w:tcW w:w="120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- 0.558</w:t>
            </w:r>
          </w:p>
        </w:tc>
        <w:tc>
          <w:tcPr>
            <w:tcW w:w="981"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0.097</w:t>
            </w:r>
          </w:p>
        </w:tc>
      </w:tr>
      <w:tr w:rsidR="00162181" w:rsidRPr="00162181" w:rsidTr="00AD72AB">
        <w:trPr>
          <w:jc w:val="center"/>
        </w:trPr>
        <w:tc>
          <w:tcPr>
            <w:tcW w:w="1699"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Online Shopping Behaviour</w:t>
            </w:r>
          </w:p>
        </w:tc>
        <w:tc>
          <w:tcPr>
            <w:tcW w:w="112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4.677</w:t>
            </w:r>
          </w:p>
        </w:tc>
        <w:tc>
          <w:tcPr>
            <w:tcW w:w="1200"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- 0.214</w:t>
            </w:r>
          </w:p>
        </w:tc>
        <w:tc>
          <w:tcPr>
            <w:tcW w:w="981" w:type="pct"/>
          </w:tcPr>
          <w:p w:rsidR="00162181" w:rsidRPr="00162181" w:rsidRDefault="00162181" w:rsidP="00162181">
            <w:pPr>
              <w:pStyle w:val="BodyText"/>
              <w:spacing w:after="0"/>
              <w:jc w:val="both"/>
              <w:rPr>
                <w:rFonts w:ascii="Cambria" w:hAnsi="Cambria"/>
                <w:sz w:val="20"/>
                <w:szCs w:val="20"/>
              </w:rPr>
            </w:pPr>
            <w:r w:rsidRPr="00162181">
              <w:rPr>
                <w:rFonts w:ascii="Cambria" w:hAnsi="Cambria"/>
                <w:sz w:val="20"/>
                <w:szCs w:val="20"/>
              </w:rPr>
              <w:t>- 0.585</w:t>
            </w:r>
          </w:p>
        </w:tc>
      </w:tr>
    </w:tbl>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bCs/>
          <w:sz w:val="20"/>
          <w:szCs w:val="20"/>
          <w:lang w:val="en-MY"/>
        </w:rPr>
      </w:pPr>
      <w:r w:rsidRPr="00162181">
        <w:rPr>
          <w:rFonts w:ascii="Cambria" w:hAnsi="Cambria"/>
          <w:b/>
          <w:bCs/>
          <w:sz w:val="20"/>
          <w:szCs w:val="20"/>
          <w:lang w:val="en-MY"/>
        </w:rPr>
        <w:t xml:space="preserve">Structural Equation Modelling (SEM): </w:t>
      </w:r>
      <w:r w:rsidRPr="00162181">
        <w:rPr>
          <w:rFonts w:ascii="Cambria" w:hAnsi="Cambria"/>
          <w:sz w:val="20"/>
          <w:szCs w:val="20"/>
          <w:lang w:val="en-MY"/>
        </w:rPr>
        <w:t>This test is a combination of factor analysis and multiple regression analysis. It is employed to examine the structural relationship between latent constructs and measurable variables. The SEM technique consists of two steps: assessing the measurement model and assessing the structural model. The measurement model shows how the underlying latent construct and the response items are related. Before developing the structural model, the researcher must evaluate the model for one-dimensionality, validity, and dependability. The interrelationships between the constructs in the study are shown by the structural model.</w:t>
      </w:r>
    </w:p>
    <w:p w:rsidR="00162181" w:rsidRPr="00162181" w:rsidRDefault="00162181" w:rsidP="00162181">
      <w:pPr>
        <w:pStyle w:val="BodyText"/>
        <w:spacing w:after="0" w:line="240" w:lineRule="auto"/>
        <w:jc w:val="both"/>
        <w:rPr>
          <w:rFonts w:ascii="Cambria" w:hAnsi="Cambria"/>
          <w:sz w:val="20"/>
          <w:szCs w:val="20"/>
        </w:rPr>
      </w:pPr>
    </w:p>
    <w:p w:rsidR="00162181" w:rsidRPr="00162181" w:rsidRDefault="00162181" w:rsidP="00162181">
      <w:pPr>
        <w:pStyle w:val="BodyText"/>
        <w:spacing w:after="0" w:line="240" w:lineRule="auto"/>
        <w:jc w:val="both"/>
        <w:rPr>
          <w:rFonts w:ascii="Cambria" w:hAnsi="Cambria"/>
          <w:b/>
          <w:sz w:val="20"/>
          <w:szCs w:val="20"/>
          <w:lang w:val="en-MY"/>
        </w:rPr>
      </w:pPr>
      <w:r w:rsidRPr="00162181">
        <w:rPr>
          <w:rFonts w:ascii="Cambria" w:hAnsi="Cambria"/>
          <w:b/>
          <w:sz w:val="20"/>
          <w:szCs w:val="20"/>
        </w:rPr>
        <w:t>Figure 2: The Measurement Model Combining All Constructs</w:t>
      </w: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noProof/>
          <w:sz w:val="20"/>
          <w:szCs w:val="20"/>
          <w:lang w:val="en-GB" w:eastAsia="en-GB"/>
        </w:rPr>
        <w:drawing>
          <wp:inline distT="0" distB="0" distL="0" distR="0">
            <wp:extent cx="5903828" cy="2607107"/>
            <wp:effectExtent l="19050" t="19050" r="20722" b="21793"/>
            <wp:docPr id="652567889" name="Picture 652567889"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67889" name="Picture 1" descr="A diagram of a network&#10;&#10;Description automatically generated"/>
                    <pic:cNvPicPr/>
                  </pic:nvPicPr>
                  <pic:blipFill>
                    <a:blip r:embed="rId16" cstate="print"/>
                    <a:stretch>
                      <a:fillRect/>
                    </a:stretch>
                  </pic:blipFill>
                  <pic:spPr>
                    <a:xfrm>
                      <a:off x="0" y="0"/>
                      <a:ext cx="5982293" cy="2641757"/>
                    </a:xfrm>
                    <a:prstGeom prst="rect">
                      <a:avLst/>
                    </a:prstGeom>
                    <a:ln>
                      <a:solidFill>
                        <a:schemeClr val="tx1"/>
                      </a:solidFill>
                    </a:ln>
                  </pic:spPr>
                </pic:pic>
              </a:graphicData>
            </a:graphic>
          </wp:inline>
        </w:drawing>
      </w: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lastRenderedPageBreak/>
        <w:t xml:space="preserve">According to </w:t>
      </w:r>
      <w:r w:rsidRPr="00162181">
        <w:rPr>
          <w:rFonts w:ascii="Cambria" w:hAnsi="Cambria"/>
          <w:noProof/>
          <w:sz w:val="20"/>
          <w:szCs w:val="20"/>
        </w:rPr>
        <w:t>Zainudin et al (2017)</w:t>
      </w:r>
      <w:r w:rsidRPr="00162181">
        <w:rPr>
          <w:rFonts w:ascii="Cambria" w:hAnsi="Cambria"/>
          <w:sz w:val="20"/>
          <w:szCs w:val="20"/>
          <w:lang w:val="en-MY"/>
        </w:rPr>
        <w:t xml:space="preserve"> the study must validate the measurement model for each of the model's latent constructs to ensure it is valid, dependable, and unidimensional before conducting the SEM. Validation is carried out using Confirmatory Factor Analysis (CFA). The measurement methodology for pooled CFA for each of the five components is shown in Figure 2. The measuring model for five latent components must satisfy the convergence validity, concept validity, and discriminant validity requirements for validity. According to Figure 2, despite the factor loading being above 0.6 for each item, the Fitness Indexes did not meet the required level. Redundant items could be the reason for the low fitness indices. The redundant items can be found using Modification Indexes (MI), where a value of MI &gt; 15.0 indicates the pair of items is redundant. The modification process must be conducted one at a time till the fitness indices reach the appropriate level. Figure 3 below displays the modified final measurement model.</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sz w:val="20"/>
          <w:szCs w:val="20"/>
          <w:lang w:val="en-MY"/>
        </w:rPr>
      </w:pPr>
      <w:r w:rsidRPr="00162181">
        <w:rPr>
          <w:rFonts w:ascii="Cambria" w:hAnsi="Cambria"/>
          <w:b/>
          <w:sz w:val="20"/>
          <w:szCs w:val="20"/>
        </w:rPr>
        <w:t>Figure 3: The Final Measurement Model (Pooled-CFA) Combining Five Constructs</w:t>
      </w: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noProof/>
          <w:sz w:val="20"/>
          <w:szCs w:val="20"/>
          <w:lang w:val="en-GB" w:eastAsia="en-GB"/>
        </w:rPr>
        <w:drawing>
          <wp:inline distT="0" distB="0" distL="0" distR="0">
            <wp:extent cx="5917996" cy="3233109"/>
            <wp:effectExtent l="19050" t="19050" r="6985" b="5715"/>
            <wp:docPr id="1428336066" name="Picture 1428336066" descr="A picture containing diagram, drawing,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36066" name="Picture 1" descr="A picture containing diagram, drawing, text, sketch&#10;&#10;Description automatically generated"/>
                    <pic:cNvPicPr/>
                  </pic:nvPicPr>
                  <pic:blipFill>
                    <a:blip r:embed="rId17" cstate="print"/>
                    <a:stretch>
                      <a:fillRect/>
                    </a:stretch>
                  </pic:blipFill>
                  <pic:spPr>
                    <a:xfrm>
                      <a:off x="0" y="0"/>
                      <a:ext cx="5940018" cy="3245140"/>
                    </a:xfrm>
                    <a:prstGeom prst="rect">
                      <a:avLst/>
                    </a:prstGeom>
                    <a:ln>
                      <a:solidFill>
                        <a:schemeClr val="tx1"/>
                      </a:solidFill>
                    </a:ln>
                  </pic:spPr>
                </pic:pic>
              </a:graphicData>
            </a:graphic>
          </wp:inline>
        </w:drawing>
      </w:r>
    </w:p>
    <w:p w:rsidR="00162181" w:rsidRPr="00162181" w:rsidRDefault="00162181" w:rsidP="00162181">
      <w:pPr>
        <w:pStyle w:val="Heading1"/>
        <w:spacing w:before="0" w:line="240" w:lineRule="auto"/>
        <w:jc w:val="both"/>
        <w:rPr>
          <w:rFonts w:ascii="Cambria" w:hAnsi="Cambria"/>
          <w:color w:val="auto"/>
          <w:sz w:val="20"/>
          <w:szCs w:val="20"/>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t>Table 6: The Fitness Indexes Assessment for the Measurement in Figure 2</w:t>
      </w:r>
    </w:p>
    <w:tbl>
      <w:tblPr>
        <w:tblStyle w:val="TableGrid"/>
        <w:tblW w:w="4869"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73"/>
        <w:gridCol w:w="1897"/>
        <w:gridCol w:w="1649"/>
        <w:gridCol w:w="3506"/>
      </w:tblGrid>
      <w:tr w:rsidR="00162181" w:rsidRPr="00162181" w:rsidTr="00AD72AB">
        <w:trPr>
          <w:jc w:val="center"/>
        </w:trPr>
        <w:tc>
          <w:tcPr>
            <w:tcW w:w="1219"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Name of Category</w:t>
            </w:r>
          </w:p>
        </w:tc>
        <w:tc>
          <w:tcPr>
            <w:tcW w:w="1017"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Name of Index</w:t>
            </w:r>
          </w:p>
        </w:tc>
        <w:tc>
          <w:tcPr>
            <w:tcW w:w="884"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Index Value</w:t>
            </w:r>
          </w:p>
        </w:tc>
        <w:tc>
          <w:tcPr>
            <w:tcW w:w="1880"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Comments</w:t>
            </w:r>
          </w:p>
        </w:tc>
      </w:tr>
      <w:tr w:rsidR="00162181" w:rsidRPr="00162181" w:rsidTr="00AD72AB">
        <w:trPr>
          <w:jc w:val="center"/>
        </w:trPr>
        <w:tc>
          <w:tcPr>
            <w:tcW w:w="1219"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Absolute Fit</w:t>
            </w:r>
          </w:p>
        </w:tc>
        <w:tc>
          <w:tcPr>
            <w:tcW w:w="1017"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RMSEA</w:t>
            </w:r>
          </w:p>
        </w:tc>
        <w:tc>
          <w:tcPr>
            <w:tcW w:w="884"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0.071</w:t>
            </w:r>
          </w:p>
        </w:tc>
        <w:tc>
          <w:tcPr>
            <w:tcW w:w="1880"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The required level is achieved</w:t>
            </w:r>
          </w:p>
        </w:tc>
      </w:tr>
      <w:tr w:rsidR="00162181" w:rsidRPr="00162181" w:rsidTr="00AD72AB">
        <w:trPr>
          <w:jc w:val="center"/>
        </w:trPr>
        <w:tc>
          <w:tcPr>
            <w:tcW w:w="121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Incremental Fit</w:t>
            </w:r>
          </w:p>
        </w:tc>
        <w:tc>
          <w:tcPr>
            <w:tcW w:w="1017"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CFI</w:t>
            </w:r>
          </w:p>
        </w:tc>
        <w:tc>
          <w:tcPr>
            <w:tcW w:w="884"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0.893</w:t>
            </w:r>
          </w:p>
        </w:tc>
        <w:tc>
          <w:tcPr>
            <w:tcW w:w="1880"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The required level is achieved</w:t>
            </w:r>
          </w:p>
        </w:tc>
      </w:tr>
      <w:tr w:rsidR="00162181" w:rsidRPr="00162181" w:rsidTr="00AD72AB">
        <w:trPr>
          <w:jc w:val="center"/>
        </w:trPr>
        <w:tc>
          <w:tcPr>
            <w:tcW w:w="1219" w:type="pct"/>
            <w:tcBorders>
              <w:bottom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Parsimonious Fit</w:t>
            </w:r>
          </w:p>
        </w:tc>
        <w:tc>
          <w:tcPr>
            <w:tcW w:w="1017" w:type="pct"/>
            <w:tcBorders>
              <w:bottom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Chisq/df</w:t>
            </w:r>
          </w:p>
        </w:tc>
        <w:tc>
          <w:tcPr>
            <w:tcW w:w="884" w:type="pct"/>
            <w:tcBorders>
              <w:bottom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2.845</w:t>
            </w:r>
          </w:p>
        </w:tc>
        <w:tc>
          <w:tcPr>
            <w:tcW w:w="1880" w:type="pct"/>
            <w:tcBorders>
              <w:bottom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The required level is achieved</w:t>
            </w:r>
          </w:p>
        </w:tc>
      </w:tr>
    </w:tbl>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In Table 6, the construct validity is evaluated using the measurement model's fitness indices. According to numerous studies </w:t>
      </w:r>
      <w:r w:rsidRPr="00162181">
        <w:rPr>
          <w:rFonts w:ascii="Cambria" w:hAnsi="Cambria"/>
          <w:noProof/>
          <w:sz w:val="20"/>
          <w:szCs w:val="20"/>
        </w:rPr>
        <w:t>(Hoque, Awang, Jusoh, &amp; Muda, 2017</w:t>
      </w:r>
      <w:r w:rsidRPr="00162181">
        <w:rPr>
          <w:rFonts w:ascii="Cambria" w:hAnsi="Cambria"/>
          <w:sz w:val="20"/>
          <w:szCs w:val="20"/>
          <w:lang w:val="en-MY"/>
        </w:rPr>
        <w:t xml:space="preserve">; </w:t>
      </w:r>
      <w:r w:rsidRPr="00162181">
        <w:rPr>
          <w:rFonts w:ascii="Cambria" w:hAnsi="Cambria"/>
          <w:noProof/>
          <w:sz w:val="20"/>
          <w:szCs w:val="20"/>
        </w:rPr>
        <w:t>Zainudin, Habsah, Fauzilah, Abu Shams Mohammad, &amp; Kamaruzaman, 2017 &amp;</w:t>
      </w:r>
      <w:r w:rsidRPr="00162181">
        <w:rPr>
          <w:rFonts w:ascii="Cambria" w:hAnsi="Cambria"/>
          <w:sz w:val="20"/>
          <w:szCs w:val="20"/>
          <w:lang w:val="en-MY"/>
        </w:rPr>
        <w:t xml:space="preserve"> </w:t>
      </w:r>
      <w:r w:rsidRPr="00162181">
        <w:rPr>
          <w:rFonts w:ascii="Cambria" w:hAnsi="Cambria"/>
          <w:noProof/>
          <w:sz w:val="20"/>
          <w:szCs w:val="20"/>
        </w:rPr>
        <w:t>Awang, 2012)</w:t>
      </w:r>
      <w:r w:rsidRPr="00162181">
        <w:rPr>
          <w:rFonts w:ascii="Cambria" w:hAnsi="Cambria"/>
          <w:sz w:val="20"/>
          <w:szCs w:val="20"/>
          <w:lang w:val="en-MY"/>
        </w:rPr>
        <w:t>, the index values have reached the necessary degree of construct validity. Following the acceptance of fitness indices, the Average Variance Extracted (AVE) and Composite Reliability (CR) procedures are used to evaluate convergence validity and reliability. According to Zainudin et al. (2017), the minimum value for AVE is 0.455, and the minimum value for CR is 0.6. The findings demonstrate that every concept and item in the measuring model met the necessary value. This shows that each component of the model in Figure 2 is available for further analysis.  Table 7 summarises the outcomes of AVE for convergent validity and CR for construct validity.</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lastRenderedPageBreak/>
        <w:t>Table 7: The Summary of AVE and CR for Five Constructs</w:t>
      </w:r>
    </w:p>
    <w:tbl>
      <w:tblPr>
        <w:tblStyle w:val="TableGrid"/>
        <w:tblW w:w="4916"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2313"/>
        <w:gridCol w:w="1529"/>
        <w:gridCol w:w="2071"/>
        <w:gridCol w:w="1885"/>
        <w:gridCol w:w="1617"/>
      </w:tblGrid>
      <w:tr w:rsidR="00162181" w:rsidRPr="00162181" w:rsidTr="00AD72AB">
        <w:trPr>
          <w:jc w:val="center"/>
        </w:trPr>
        <w:tc>
          <w:tcPr>
            <w:tcW w:w="1228"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Construct</w:t>
            </w:r>
          </w:p>
        </w:tc>
        <w:tc>
          <w:tcPr>
            <w:tcW w:w="812"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Items</w:t>
            </w:r>
          </w:p>
        </w:tc>
        <w:tc>
          <w:tcPr>
            <w:tcW w:w="1100"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Factor Loading</w:t>
            </w:r>
          </w:p>
        </w:tc>
        <w:tc>
          <w:tcPr>
            <w:tcW w:w="1001"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lang w:val="en-US"/>
              </w:rPr>
            </w:pPr>
            <w:r w:rsidRPr="00162181">
              <w:rPr>
                <w:rFonts w:ascii="Cambria" w:hAnsi="Cambria"/>
                <w:b/>
                <w:bCs/>
                <w:sz w:val="20"/>
                <w:szCs w:val="20"/>
                <w:lang w:val="en-US"/>
              </w:rPr>
              <w:t>AVE</w:t>
            </w:r>
          </w:p>
        </w:tc>
        <w:tc>
          <w:tcPr>
            <w:tcW w:w="859"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lang w:val="en-US"/>
              </w:rPr>
            </w:pPr>
            <w:r w:rsidRPr="00162181">
              <w:rPr>
                <w:rFonts w:ascii="Cambria" w:hAnsi="Cambria"/>
                <w:b/>
                <w:bCs/>
                <w:sz w:val="20"/>
                <w:szCs w:val="20"/>
                <w:lang w:val="en-US"/>
              </w:rPr>
              <w:t>CR</w:t>
            </w:r>
          </w:p>
        </w:tc>
      </w:tr>
      <w:tr w:rsidR="00162181" w:rsidRPr="00162181" w:rsidTr="00AD72AB">
        <w:trPr>
          <w:jc w:val="center"/>
        </w:trPr>
        <w:tc>
          <w:tcPr>
            <w:tcW w:w="1228" w:type="pct"/>
            <w:vMerge w:val="restar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Web Characteristics</w:t>
            </w:r>
          </w:p>
        </w:tc>
        <w:tc>
          <w:tcPr>
            <w:tcW w:w="812"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w:t>
            </w:r>
          </w:p>
        </w:tc>
        <w:tc>
          <w:tcPr>
            <w:tcW w:w="1100" w:type="pct"/>
            <w:tcBorders>
              <w:top w:val="single" w:sz="4" w:space="0" w:color="auto"/>
            </w:tcBorders>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val="restar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0.618</w:t>
            </w:r>
          </w:p>
        </w:tc>
        <w:tc>
          <w:tcPr>
            <w:tcW w:w="859" w:type="pct"/>
            <w:vMerge w:val="restar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0.928</w:t>
            </w: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0.74</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PBQ4</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0.821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PBQ5</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PBQ6</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PBQ7</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0.75</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PBQ8</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0.82</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PBQ9</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0.75</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External Stimulus</w:t>
            </w: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PBQ11</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0.74</w:t>
            </w:r>
          </w:p>
        </w:tc>
        <w:tc>
          <w:tcPr>
            <w:tcW w:w="1001"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0.546</w:t>
            </w:r>
          </w:p>
        </w:tc>
        <w:tc>
          <w:tcPr>
            <w:tcW w:w="859"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0.930</w:t>
            </w: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PBQ12</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PBQ13</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PBQ14</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0.73</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PBQ15</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PBQ16</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PBQ17</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PBQ19</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0.72</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PBQ20</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0.83</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PBQ21</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PBQ22</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Affection</w:t>
            </w: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PBQ23</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0.82</w:t>
            </w:r>
          </w:p>
        </w:tc>
        <w:tc>
          <w:tcPr>
            <w:tcW w:w="1001"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0.636</w:t>
            </w:r>
          </w:p>
        </w:tc>
        <w:tc>
          <w:tcPr>
            <w:tcW w:w="859"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0.911</w:t>
            </w: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PBQ24</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PBQ25</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PBQ26</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PBQ27</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PBQ28</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Cognition</w:t>
            </w: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PBQ29</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0.64</w:t>
            </w:r>
          </w:p>
        </w:tc>
        <w:tc>
          <w:tcPr>
            <w:tcW w:w="1001"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0.510</w:t>
            </w:r>
          </w:p>
        </w:tc>
        <w:tc>
          <w:tcPr>
            <w:tcW w:w="859"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0.838</w:t>
            </w: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PBQ30</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0.64</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PBQ32</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PBQ33</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0.64</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PBQ34</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0.74</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Online Shopping Behaviour</w:t>
            </w: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PBQ35</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0.70</w:t>
            </w:r>
          </w:p>
        </w:tc>
        <w:tc>
          <w:tcPr>
            <w:tcW w:w="1001"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0.635</w:t>
            </w:r>
          </w:p>
        </w:tc>
        <w:tc>
          <w:tcPr>
            <w:tcW w:w="859" w:type="pct"/>
            <w:vMerge w:val="restart"/>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0.912</w:t>
            </w: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PBQ36</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0.90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PBQ37</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PBQ38</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0.85</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PBQ39</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0.81</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r w:rsidR="00162181" w:rsidRPr="00162181" w:rsidTr="00AD72AB">
        <w:trPr>
          <w:jc w:val="center"/>
        </w:trPr>
        <w:tc>
          <w:tcPr>
            <w:tcW w:w="1228" w:type="pct"/>
            <w:vMerge/>
          </w:tcPr>
          <w:p w:rsidR="00162181" w:rsidRPr="00162181" w:rsidRDefault="00162181" w:rsidP="00162181">
            <w:pPr>
              <w:pStyle w:val="BodyText"/>
              <w:widowControl w:val="0"/>
              <w:spacing w:after="0"/>
              <w:jc w:val="both"/>
              <w:rPr>
                <w:rFonts w:ascii="Cambria" w:hAnsi="Cambria"/>
                <w:sz w:val="20"/>
                <w:szCs w:val="20"/>
              </w:rPr>
            </w:pPr>
          </w:p>
        </w:tc>
        <w:tc>
          <w:tcPr>
            <w:tcW w:w="812"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PBQ40</w:t>
            </w:r>
          </w:p>
        </w:tc>
        <w:tc>
          <w:tcPr>
            <w:tcW w:w="1100" w:type="pct"/>
            <w:shd w:val="clear" w:color="auto" w:fill="auto"/>
            <w:vAlign w:val="center"/>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0.70</w:t>
            </w:r>
          </w:p>
        </w:tc>
        <w:tc>
          <w:tcPr>
            <w:tcW w:w="1001" w:type="pct"/>
            <w:vMerge/>
          </w:tcPr>
          <w:p w:rsidR="00162181" w:rsidRPr="00162181" w:rsidRDefault="00162181" w:rsidP="00162181">
            <w:pPr>
              <w:pStyle w:val="BodyText"/>
              <w:widowControl w:val="0"/>
              <w:spacing w:after="0"/>
              <w:jc w:val="both"/>
              <w:rPr>
                <w:rFonts w:ascii="Cambria" w:hAnsi="Cambria"/>
                <w:sz w:val="20"/>
                <w:szCs w:val="20"/>
              </w:rPr>
            </w:pPr>
          </w:p>
        </w:tc>
        <w:tc>
          <w:tcPr>
            <w:tcW w:w="859" w:type="pct"/>
            <w:vMerge/>
          </w:tcPr>
          <w:p w:rsidR="00162181" w:rsidRPr="00162181" w:rsidRDefault="00162181" w:rsidP="00162181">
            <w:pPr>
              <w:pStyle w:val="BodyText"/>
              <w:widowControl w:val="0"/>
              <w:spacing w:after="0"/>
              <w:jc w:val="both"/>
              <w:rPr>
                <w:rFonts w:ascii="Cambria" w:hAnsi="Cambria"/>
                <w:sz w:val="20"/>
                <w:szCs w:val="20"/>
              </w:rPr>
            </w:pPr>
          </w:p>
        </w:tc>
      </w:tr>
    </w:tbl>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b/>
          <w:sz w:val="20"/>
          <w:szCs w:val="20"/>
          <w:lang w:val="en-MY"/>
        </w:rPr>
      </w:pPr>
      <w:r w:rsidRPr="00162181">
        <w:rPr>
          <w:rFonts w:ascii="Cambria" w:hAnsi="Cambria"/>
          <w:b/>
          <w:sz w:val="20"/>
          <w:szCs w:val="20"/>
        </w:rPr>
        <w:lastRenderedPageBreak/>
        <w:t>Figure 4: The Structural Model of Online Shopping Behavior</w:t>
      </w: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noProof/>
          <w:sz w:val="20"/>
          <w:szCs w:val="20"/>
          <w:lang w:val="en-GB" w:eastAsia="en-GB"/>
        </w:rPr>
        <w:drawing>
          <wp:inline distT="0" distB="0" distL="0" distR="0">
            <wp:extent cx="5883681" cy="2797302"/>
            <wp:effectExtent l="19050" t="19050" r="21819" b="22098"/>
            <wp:docPr id="536334398" name="Picture 536334398"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34398" name="Picture 1" descr="A diagram of a network&#10;&#10;Description automatically generated"/>
                    <pic:cNvPicPr/>
                  </pic:nvPicPr>
                  <pic:blipFill>
                    <a:blip r:embed="rId18" cstate="print"/>
                    <a:stretch>
                      <a:fillRect/>
                    </a:stretch>
                  </pic:blipFill>
                  <pic:spPr>
                    <a:xfrm>
                      <a:off x="0" y="0"/>
                      <a:ext cx="5891208" cy="2800881"/>
                    </a:xfrm>
                    <a:prstGeom prst="rect">
                      <a:avLst/>
                    </a:prstGeom>
                    <a:ln>
                      <a:solidFill>
                        <a:schemeClr val="tx1"/>
                      </a:solidFill>
                    </a:ln>
                  </pic:spPr>
                </pic:pic>
              </a:graphicData>
            </a:graphic>
          </wp:inline>
        </w:drawing>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Figure 4 depicts the estimation outcomes and the interrelationship between the constructs. R2 for the model has a value of 0.66. It indicates that 66.0% of the total variation in online shopping behavior is described by web characteristics, external stimulus, affection, and cognition. At the same time, most fitness indices are good because their values are still within acceptable limits, and their factor loadings are above the necessary threshold of 0.6.  Table 8 presents the estimator of the direct effect between constructs. The findings of this study revealed that only two constructs were statistically significant to online shopping behavior, which are web characteristics and cognition. However, the direct effects of external stimulus and affection are not statistically significant.</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sz w:val="20"/>
          <w:szCs w:val="20"/>
          <w:lang w:val="en-MY"/>
        </w:rPr>
      </w:pPr>
      <w:r w:rsidRPr="00162181">
        <w:rPr>
          <w:rFonts w:ascii="Cambria" w:hAnsi="Cambria"/>
          <w:b/>
          <w:sz w:val="20"/>
          <w:szCs w:val="20"/>
        </w:rPr>
        <w:t>Table 8: The Regression Path of the Coefficient and Its Significance</w:t>
      </w:r>
    </w:p>
    <w:tbl>
      <w:tblPr>
        <w:tblStyle w:val="TableGrid"/>
        <w:tblW w:w="4916" w:type="pct"/>
        <w:jc w:val="center"/>
        <w:tblInd w:w="108" w:type="dxa"/>
        <w:tblBorders>
          <w:left w:val="none" w:sz="0" w:space="0" w:color="auto"/>
          <w:right w:val="none" w:sz="0" w:space="0" w:color="auto"/>
          <w:insideH w:val="none" w:sz="0" w:space="0" w:color="auto"/>
          <w:insideV w:val="none" w:sz="0" w:space="0" w:color="auto"/>
        </w:tblBorders>
        <w:tblLook w:val="04A0"/>
      </w:tblPr>
      <w:tblGrid>
        <w:gridCol w:w="1427"/>
        <w:gridCol w:w="1128"/>
        <w:gridCol w:w="1983"/>
        <w:gridCol w:w="1371"/>
        <w:gridCol w:w="1203"/>
        <w:gridCol w:w="2303"/>
      </w:tblGrid>
      <w:tr w:rsidR="00162181" w:rsidRPr="00162181" w:rsidTr="00AD72AB">
        <w:trPr>
          <w:jc w:val="center"/>
        </w:trPr>
        <w:tc>
          <w:tcPr>
            <w:tcW w:w="758"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Construct</w:t>
            </w:r>
          </w:p>
        </w:tc>
        <w:tc>
          <w:tcPr>
            <w:tcW w:w="599"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Path</w:t>
            </w:r>
          </w:p>
        </w:tc>
        <w:tc>
          <w:tcPr>
            <w:tcW w:w="1053"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rPr>
            </w:pPr>
            <w:r w:rsidRPr="00162181">
              <w:rPr>
                <w:rFonts w:ascii="Cambria" w:hAnsi="Cambria"/>
                <w:b/>
                <w:bCs/>
                <w:sz w:val="20"/>
                <w:szCs w:val="20"/>
              </w:rPr>
              <w:t>Construct</w:t>
            </w:r>
          </w:p>
        </w:tc>
        <w:tc>
          <w:tcPr>
            <w:tcW w:w="728"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lang w:val="en-US"/>
              </w:rPr>
            </w:pPr>
            <w:r w:rsidRPr="00162181">
              <w:rPr>
                <w:rFonts w:ascii="Cambria" w:hAnsi="Cambria"/>
                <w:b/>
                <w:bCs/>
                <w:sz w:val="20"/>
                <w:szCs w:val="20"/>
                <w:lang w:val="en-US"/>
              </w:rPr>
              <w:t>Beta</w:t>
            </w:r>
          </w:p>
        </w:tc>
        <w:tc>
          <w:tcPr>
            <w:tcW w:w="639"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lang w:val="en-US"/>
              </w:rPr>
            </w:pPr>
            <w:r w:rsidRPr="00162181">
              <w:rPr>
                <w:rFonts w:ascii="Cambria" w:hAnsi="Cambria"/>
                <w:b/>
                <w:bCs/>
                <w:sz w:val="20"/>
                <w:szCs w:val="20"/>
                <w:lang w:val="en-US"/>
              </w:rPr>
              <w:t xml:space="preserve">p-value </w:t>
            </w:r>
          </w:p>
        </w:tc>
        <w:tc>
          <w:tcPr>
            <w:tcW w:w="1224" w:type="pct"/>
            <w:tcBorders>
              <w:top w:val="single" w:sz="4" w:space="0" w:color="auto"/>
              <w:bottom w:val="single" w:sz="4" w:space="0" w:color="auto"/>
            </w:tcBorders>
          </w:tcPr>
          <w:p w:rsidR="00162181" w:rsidRPr="00162181" w:rsidRDefault="00162181" w:rsidP="00162181">
            <w:pPr>
              <w:pStyle w:val="BodyText"/>
              <w:widowControl w:val="0"/>
              <w:spacing w:after="0"/>
              <w:jc w:val="both"/>
              <w:rPr>
                <w:rFonts w:ascii="Cambria" w:hAnsi="Cambria"/>
                <w:b/>
                <w:bCs/>
                <w:sz w:val="20"/>
                <w:szCs w:val="20"/>
                <w:lang w:val="en-US"/>
              </w:rPr>
            </w:pPr>
            <w:r w:rsidRPr="00162181">
              <w:rPr>
                <w:rFonts w:ascii="Cambria" w:hAnsi="Cambria"/>
                <w:b/>
                <w:bCs/>
                <w:sz w:val="20"/>
                <w:szCs w:val="20"/>
                <w:lang w:val="en-US"/>
              </w:rPr>
              <w:t>Result</w:t>
            </w:r>
          </w:p>
        </w:tc>
      </w:tr>
      <w:tr w:rsidR="00162181" w:rsidRPr="00162181" w:rsidTr="00AD72AB">
        <w:trPr>
          <w:jc w:val="center"/>
        </w:trPr>
        <w:tc>
          <w:tcPr>
            <w:tcW w:w="758" w:type="pct"/>
            <w:vMerge w:val="restar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p>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Online Shopping Behaviour</w:t>
            </w:r>
          </w:p>
        </w:tc>
        <w:tc>
          <w:tcPr>
            <w:tcW w:w="599"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sym w:font="Wingdings" w:char="F0E7"/>
            </w:r>
          </w:p>
        </w:tc>
        <w:tc>
          <w:tcPr>
            <w:tcW w:w="1053"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Web Characteristics</w:t>
            </w:r>
          </w:p>
        </w:tc>
        <w:tc>
          <w:tcPr>
            <w:tcW w:w="728"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-0.383</w:t>
            </w:r>
          </w:p>
        </w:tc>
        <w:tc>
          <w:tcPr>
            <w:tcW w:w="639"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0.011</w:t>
            </w:r>
          </w:p>
        </w:tc>
        <w:tc>
          <w:tcPr>
            <w:tcW w:w="1224" w:type="pct"/>
            <w:tcBorders>
              <w:top w:val="single" w:sz="4" w:space="0" w:color="auto"/>
            </w:tcBorders>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Significant</w:t>
            </w:r>
          </w:p>
        </w:tc>
      </w:tr>
      <w:tr w:rsidR="00162181" w:rsidRPr="00162181" w:rsidTr="00AD72AB">
        <w:trPr>
          <w:jc w:val="center"/>
        </w:trPr>
        <w:tc>
          <w:tcPr>
            <w:tcW w:w="758" w:type="pct"/>
            <w:vMerge/>
          </w:tcPr>
          <w:p w:rsidR="00162181" w:rsidRPr="00162181" w:rsidRDefault="00162181" w:rsidP="00162181">
            <w:pPr>
              <w:pStyle w:val="BodyText"/>
              <w:widowControl w:val="0"/>
              <w:spacing w:after="0"/>
              <w:jc w:val="both"/>
              <w:rPr>
                <w:rFonts w:ascii="Cambria" w:hAnsi="Cambria"/>
                <w:sz w:val="20"/>
                <w:szCs w:val="20"/>
              </w:rPr>
            </w:pPr>
          </w:p>
        </w:tc>
        <w:tc>
          <w:tcPr>
            <w:tcW w:w="59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sym w:font="Wingdings" w:char="F0E7"/>
            </w:r>
          </w:p>
        </w:tc>
        <w:tc>
          <w:tcPr>
            <w:tcW w:w="1053"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External Stimulus</w:t>
            </w:r>
          </w:p>
        </w:tc>
        <w:tc>
          <w:tcPr>
            <w:tcW w:w="728"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-0.720</w:t>
            </w:r>
          </w:p>
        </w:tc>
        <w:tc>
          <w:tcPr>
            <w:tcW w:w="63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0.092</w:t>
            </w:r>
          </w:p>
        </w:tc>
        <w:tc>
          <w:tcPr>
            <w:tcW w:w="1224"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Not Significant</w:t>
            </w:r>
          </w:p>
        </w:tc>
      </w:tr>
      <w:tr w:rsidR="00162181" w:rsidRPr="00162181" w:rsidTr="00AD72AB">
        <w:trPr>
          <w:jc w:val="center"/>
        </w:trPr>
        <w:tc>
          <w:tcPr>
            <w:tcW w:w="758" w:type="pct"/>
            <w:vMerge/>
          </w:tcPr>
          <w:p w:rsidR="00162181" w:rsidRPr="00162181" w:rsidRDefault="00162181" w:rsidP="00162181">
            <w:pPr>
              <w:pStyle w:val="BodyText"/>
              <w:widowControl w:val="0"/>
              <w:spacing w:after="0"/>
              <w:jc w:val="both"/>
              <w:rPr>
                <w:rFonts w:ascii="Cambria" w:hAnsi="Cambria"/>
                <w:sz w:val="20"/>
                <w:szCs w:val="20"/>
              </w:rPr>
            </w:pPr>
          </w:p>
        </w:tc>
        <w:tc>
          <w:tcPr>
            <w:tcW w:w="59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sym w:font="Wingdings" w:char="F0E7"/>
            </w:r>
          </w:p>
        </w:tc>
        <w:tc>
          <w:tcPr>
            <w:tcW w:w="1053"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Affective</w:t>
            </w:r>
          </w:p>
        </w:tc>
        <w:tc>
          <w:tcPr>
            <w:tcW w:w="728"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-0.437</w:t>
            </w:r>
          </w:p>
        </w:tc>
        <w:tc>
          <w:tcPr>
            <w:tcW w:w="63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0.358</w:t>
            </w:r>
          </w:p>
        </w:tc>
        <w:tc>
          <w:tcPr>
            <w:tcW w:w="1224"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Not Significant</w:t>
            </w:r>
          </w:p>
        </w:tc>
      </w:tr>
      <w:tr w:rsidR="00162181" w:rsidRPr="00162181" w:rsidTr="00AD72AB">
        <w:trPr>
          <w:jc w:val="center"/>
        </w:trPr>
        <w:tc>
          <w:tcPr>
            <w:tcW w:w="758" w:type="pct"/>
            <w:vMerge/>
          </w:tcPr>
          <w:p w:rsidR="00162181" w:rsidRPr="00162181" w:rsidRDefault="00162181" w:rsidP="00162181">
            <w:pPr>
              <w:pStyle w:val="BodyText"/>
              <w:widowControl w:val="0"/>
              <w:spacing w:after="0"/>
              <w:jc w:val="both"/>
              <w:rPr>
                <w:rFonts w:ascii="Cambria" w:hAnsi="Cambria"/>
                <w:sz w:val="20"/>
                <w:szCs w:val="20"/>
              </w:rPr>
            </w:pPr>
          </w:p>
        </w:tc>
        <w:tc>
          <w:tcPr>
            <w:tcW w:w="59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sym w:font="Wingdings" w:char="F0E7"/>
            </w:r>
          </w:p>
        </w:tc>
        <w:tc>
          <w:tcPr>
            <w:tcW w:w="1053"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Cognitive</w:t>
            </w:r>
          </w:p>
        </w:tc>
        <w:tc>
          <w:tcPr>
            <w:tcW w:w="728"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2.367</w:t>
            </w:r>
          </w:p>
        </w:tc>
        <w:tc>
          <w:tcPr>
            <w:tcW w:w="639"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0.014</w:t>
            </w:r>
          </w:p>
        </w:tc>
        <w:tc>
          <w:tcPr>
            <w:tcW w:w="1224" w:type="pct"/>
          </w:tcPr>
          <w:p w:rsidR="00162181" w:rsidRPr="00162181" w:rsidRDefault="00162181" w:rsidP="00162181">
            <w:pPr>
              <w:pStyle w:val="BodyText"/>
              <w:widowControl w:val="0"/>
              <w:spacing w:after="0"/>
              <w:jc w:val="both"/>
              <w:rPr>
                <w:rFonts w:ascii="Cambria" w:hAnsi="Cambria"/>
                <w:sz w:val="20"/>
                <w:szCs w:val="20"/>
              </w:rPr>
            </w:pPr>
            <w:r w:rsidRPr="00162181">
              <w:rPr>
                <w:rFonts w:ascii="Cambria" w:hAnsi="Cambria"/>
                <w:sz w:val="20"/>
                <w:szCs w:val="20"/>
              </w:rPr>
              <w:t>Significant</w:t>
            </w:r>
          </w:p>
        </w:tc>
      </w:tr>
    </w:tbl>
    <w:p w:rsidR="00162181" w:rsidRPr="00162181" w:rsidRDefault="00162181" w:rsidP="00162181">
      <w:pPr>
        <w:pStyle w:val="BodyText"/>
        <w:spacing w:after="0" w:line="240" w:lineRule="auto"/>
        <w:jc w:val="both"/>
        <w:rPr>
          <w:rFonts w:ascii="Cambria" w:hAnsi="Cambria"/>
          <w:sz w:val="20"/>
          <w:szCs w:val="20"/>
        </w:rPr>
      </w:pPr>
    </w:p>
    <w:p w:rsidR="00162181" w:rsidRPr="00162181" w:rsidRDefault="00162181" w:rsidP="00162181">
      <w:pPr>
        <w:pStyle w:val="Heading1"/>
        <w:spacing w:before="0" w:line="240" w:lineRule="auto"/>
        <w:jc w:val="both"/>
        <w:rPr>
          <w:rFonts w:ascii="Cambria" w:hAnsi="Cambria"/>
          <w:color w:val="auto"/>
          <w:sz w:val="20"/>
          <w:szCs w:val="20"/>
        </w:rPr>
      </w:pPr>
      <w:r w:rsidRPr="00162181">
        <w:rPr>
          <w:rFonts w:ascii="Cambria" w:hAnsi="Cambria"/>
          <w:color w:val="auto"/>
          <w:sz w:val="20"/>
          <w:szCs w:val="20"/>
        </w:rPr>
        <w:t>Discussion</w:t>
      </w: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The results of the findings showed that only two variables are significant towards online shopping behavior, which are web characteristics and cognitive. An analysis of the findings reveals the correlation between web characteristics and online shopping behavior to be statistically significant (p-value &lt; 0.05). This result was in line with earlier research. The website design strongly predicts online shopping behavior </w:t>
      </w:r>
      <w:sdt>
        <w:sdtPr>
          <w:rPr>
            <w:rFonts w:ascii="Cambria" w:hAnsi="Cambria"/>
            <w:sz w:val="20"/>
            <w:szCs w:val="20"/>
            <w:lang w:val="en-MY"/>
          </w:rPr>
          <w:id w:val="-733537082"/>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Anu19 \l 1033 </w:instrText>
          </w:r>
          <w:r w:rsidRPr="00162181">
            <w:rPr>
              <w:rFonts w:ascii="Cambria" w:hAnsi="Cambria"/>
              <w:sz w:val="20"/>
              <w:szCs w:val="20"/>
              <w:lang w:val="en-MY"/>
            </w:rPr>
            <w:fldChar w:fldCharType="separate"/>
          </w:r>
          <w:r w:rsidRPr="00162181">
            <w:rPr>
              <w:rFonts w:ascii="Cambria" w:hAnsi="Cambria"/>
              <w:noProof/>
              <w:sz w:val="20"/>
              <w:szCs w:val="20"/>
            </w:rPr>
            <w:t>(Pandey &amp; Parmar, 2019)</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w:t>
      </w:r>
      <w:sdt>
        <w:sdtPr>
          <w:rPr>
            <w:rFonts w:ascii="Cambria" w:hAnsi="Cambria"/>
            <w:sz w:val="20"/>
            <w:szCs w:val="20"/>
            <w:lang w:val="en-MY"/>
          </w:rPr>
          <w:id w:val="-1067179617"/>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Rah18 \l 1033 </w:instrText>
          </w:r>
          <w:r w:rsidRPr="00162181">
            <w:rPr>
              <w:rFonts w:ascii="Cambria" w:hAnsi="Cambria"/>
              <w:sz w:val="20"/>
              <w:szCs w:val="20"/>
              <w:lang w:val="en-MY"/>
            </w:rPr>
            <w:fldChar w:fldCharType="separate"/>
          </w:r>
          <w:r w:rsidRPr="00162181">
            <w:rPr>
              <w:rFonts w:ascii="Cambria" w:hAnsi="Cambria"/>
              <w:noProof/>
              <w:sz w:val="20"/>
              <w:szCs w:val="20"/>
            </w:rPr>
            <w:t>(Rahman, et al., 2018)</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The key elements of a successful website are entertainment, irritation, utility, attitude towards the site, and intention to return. These elements influence consumers' online shopping behavior. Another finding also shows that the intention to shop online is moderately correlated with website attributes. Website characteristics are one of the main issues consumers have concerning their purpose to shop online </w:t>
      </w:r>
      <w:r w:rsidRPr="00162181">
        <w:rPr>
          <w:rFonts w:ascii="Cambria" w:hAnsi="Cambria"/>
          <w:noProof/>
          <w:sz w:val="20"/>
          <w:szCs w:val="20"/>
        </w:rPr>
        <w:t>(Chincholkar &amp; Sonwaney, 2017</w:t>
      </w:r>
      <w:r w:rsidRPr="00162181">
        <w:rPr>
          <w:rFonts w:ascii="Cambria" w:hAnsi="Cambria"/>
          <w:sz w:val="20"/>
          <w:szCs w:val="20"/>
          <w:lang w:val="en-MY"/>
        </w:rPr>
        <w:t xml:space="preserve">; </w:t>
      </w:r>
      <w:r w:rsidRPr="00162181">
        <w:rPr>
          <w:rFonts w:ascii="Cambria" w:hAnsi="Cambria"/>
          <w:noProof/>
          <w:sz w:val="20"/>
          <w:szCs w:val="20"/>
        </w:rPr>
        <w:t>Shaheen, Cheng, &amp; Lee, 2012)</w:t>
      </w:r>
      <w:r w:rsidRPr="00162181">
        <w:rPr>
          <w:rFonts w:ascii="Cambria" w:hAnsi="Cambria"/>
          <w:sz w:val="20"/>
          <w:szCs w:val="20"/>
          <w:lang w:val="en-MY"/>
        </w:rPr>
        <w:t xml:space="preserve">. Either favorably or negatively, web-based factors affect consumers' online shopping behavior. According to </w:t>
      </w:r>
      <w:r w:rsidRPr="00162181">
        <w:rPr>
          <w:rFonts w:ascii="Cambria" w:hAnsi="Cambria"/>
          <w:noProof/>
          <w:sz w:val="20"/>
          <w:szCs w:val="20"/>
        </w:rPr>
        <w:t>Gupta, Ruchi, &amp; Ashish (2010)</w:t>
      </w:r>
      <w:r w:rsidRPr="00162181">
        <w:rPr>
          <w:rFonts w:ascii="Cambria" w:hAnsi="Cambria"/>
          <w:sz w:val="20"/>
          <w:szCs w:val="20"/>
          <w:lang w:val="en-MY"/>
        </w:rPr>
        <w:t>, the two aspects customers are most interested in when using a website are navigation and content.</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A website's identity, categorization of material, use of color, layout and space, graphics, and information presentation are all significant considerations. The user interface design of a website user interface is what makes it appealing to visitors, encouraging them to return more frequently and remain on the site longer. According to </w:t>
      </w:r>
      <w:r w:rsidRPr="00162181">
        <w:rPr>
          <w:rFonts w:ascii="Cambria" w:hAnsi="Cambria"/>
          <w:noProof/>
          <w:sz w:val="20"/>
          <w:szCs w:val="20"/>
        </w:rPr>
        <w:t>Rahman, et al., (2018)</w:t>
      </w:r>
      <w:r w:rsidRPr="00162181">
        <w:rPr>
          <w:rFonts w:ascii="Cambria" w:hAnsi="Cambria"/>
          <w:sz w:val="20"/>
          <w:szCs w:val="20"/>
          <w:lang w:val="en-MY"/>
        </w:rPr>
        <w:t xml:space="preserve">, customers may appreciate purchasing more from a website store that </w:t>
      </w:r>
      <w:r w:rsidRPr="00162181">
        <w:rPr>
          <w:rFonts w:ascii="Cambria" w:hAnsi="Cambria"/>
          <w:sz w:val="20"/>
          <w:szCs w:val="20"/>
          <w:lang w:val="en-MY"/>
        </w:rPr>
        <w:lastRenderedPageBreak/>
        <w:t xml:space="preserve">uses value-added search engine features and provides a challenging experience. Besides that, the findings reveal the correlation between cognitive and online shopping behavior is significant (p-value &lt; 0.05). The findings supported the theory that cognition has a relationship with online shopping behavior among consumers. Based on </w:t>
      </w:r>
      <w:r w:rsidRPr="00162181">
        <w:rPr>
          <w:rFonts w:ascii="Cambria" w:hAnsi="Cambria"/>
          <w:noProof/>
          <w:sz w:val="20"/>
          <w:szCs w:val="20"/>
        </w:rPr>
        <w:t>Wu &amp; Tsai (2017)</w:t>
      </w:r>
      <w:r w:rsidRPr="00162181">
        <w:rPr>
          <w:rFonts w:ascii="Cambria" w:hAnsi="Cambria"/>
          <w:sz w:val="20"/>
          <w:szCs w:val="20"/>
          <w:lang w:val="en-MY"/>
        </w:rPr>
        <w:t xml:space="preserve"> consumer behavior and cognition are revealed to have a highly strong influence relationship. It indicates that if a customer begins making purchases online, it will be used to positively affect their perception of online buying. </w:t>
      </w:r>
      <w:r w:rsidRPr="00162181">
        <w:rPr>
          <w:rFonts w:ascii="Cambria" w:hAnsi="Cambria"/>
          <w:noProof/>
          <w:sz w:val="20"/>
          <w:szCs w:val="20"/>
        </w:rPr>
        <w:t>Park, Lee, &amp; Han (2007)</w:t>
      </w:r>
      <w:r w:rsidRPr="00162181">
        <w:rPr>
          <w:rFonts w:ascii="Cambria" w:hAnsi="Cambria"/>
          <w:sz w:val="20"/>
          <w:szCs w:val="20"/>
          <w:lang w:val="en-MY"/>
        </w:rPr>
        <w:t xml:space="preserve"> stated that the consumers' cognition will influence their purchase intention during the buying process, and the values they perceive will affect their satisfaction level in turn.</w:t>
      </w:r>
      <w:r w:rsidRPr="00162181">
        <w:rPr>
          <w:rFonts w:ascii="Cambria" w:hAnsi="Cambria"/>
          <w:sz w:val="20"/>
          <w:szCs w:val="20"/>
          <w:lang w:val="en-MY"/>
        </w:rPr>
        <w:fldChar w:fldCharType="begin"/>
      </w:r>
      <w:r w:rsidRPr="00162181">
        <w:rPr>
          <w:rFonts w:ascii="Cambria" w:hAnsi="Cambria"/>
          <w:sz w:val="20"/>
          <w:szCs w:val="20"/>
          <w:lang w:val="en-MY"/>
        </w:rPr>
        <w:instrText xml:space="preserve"> ADDIN ZOTERO_ITEM CSL_CITATION {"citationID":"aeL3OkSP","properties":{"formattedCitation":"(Yadav et al., 2020)","plainCitation":"(Yadav et al., 2020)","dontUpdate":true,"noteIndex":0},"citationItems":[{"id":805,"uris":["http://zotero.org/users/8757317/items/L7GAP9UB"],"itemData":{"id":805,"type":"article-journal","container-title":"International Journal of Management","issue":"07","page":"1578–1584","title":"Consumer perception towards online shopping during lockdown","volume":"11","author":[{"family":"Yadav","given":"Manisha"},{"family":"Goel","given":"Manisha"},{"family":"Sharma","given":"Bindu"}],"issued":{"date-parts":[["2020"]]}}}],"schema":"https://github.com/citation-style-language/schema/raw/master/csl-citation.json"} </w:instrText>
      </w:r>
      <w:r w:rsidRPr="00162181">
        <w:rPr>
          <w:rFonts w:ascii="Cambria" w:hAnsi="Cambria"/>
          <w:sz w:val="20"/>
          <w:szCs w:val="20"/>
          <w:lang w:val="en-MY"/>
        </w:rPr>
        <w:fldChar w:fldCharType="end"/>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noProof/>
          <w:sz w:val="20"/>
          <w:szCs w:val="20"/>
        </w:rPr>
        <w:t>Yadav, Goel, &amp; Sharma (2020)</w:t>
      </w:r>
      <w:r w:rsidRPr="00162181">
        <w:rPr>
          <w:rFonts w:ascii="Cambria" w:hAnsi="Cambria"/>
          <w:sz w:val="20"/>
          <w:szCs w:val="20"/>
          <w:lang w:val="en-MY"/>
        </w:rPr>
        <w:t xml:space="preserve"> used several cognitive factors such as complexity, relative advantage, trust, trialability, and observability. Their finding found that these factors illustrate how respondents perceive the usefulness of online buying. Online shoppers feel they have more options when making purchases. The potential of a transaction increases as a consumer's satisfaction with the values perceived increases </w:t>
      </w:r>
      <w:sdt>
        <w:sdtPr>
          <w:rPr>
            <w:rFonts w:ascii="Cambria" w:hAnsi="Cambria"/>
            <w:sz w:val="20"/>
            <w:szCs w:val="20"/>
            <w:lang w:val="en-MY"/>
          </w:rPr>
          <w:id w:val="-121074606"/>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Bei01 \l 1033 </w:instrText>
          </w:r>
          <w:r w:rsidRPr="00162181">
            <w:rPr>
              <w:rFonts w:ascii="Cambria" w:hAnsi="Cambria"/>
              <w:sz w:val="20"/>
              <w:szCs w:val="20"/>
              <w:lang w:val="en-MY"/>
            </w:rPr>
            <w:fldChar w:fldCharType="separate"/>
          </w:r>
          <w:r w:rsidRPr="00162181">
            <w:rPr>
              <w:rFonts w:ascii="Cambria" w:hAnsi="Cambria"/>
              <w:noProof/>
              <w:sz w:val="20"/>
              <w:szCs w:val="20"/>
            </w:rPr>
            <w:t>(Bei &amp; Chiao, 2001)</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However, this study reveals that the correlation between external stimuli and online shopping behavior is not significant (p-value &gt; 0.05). </w:t>
      </w:r>
      <w:proofErr w:type="gramStart"/>
      <w:r w:rsidRPr="00162181">
        <w:rPr>
          <w:rFonts w:ascii="Cambria" w:hAnsi="Cambria"/>
          <w:sz w:val="20"/>
          <w:szCs w:val="20"/>
          <w:lang w:val="en-MY"/>
        </w:rPr>
        <w:t>While consistent with other research findings, no correlation between the variables was not found in the other research studies.</w:t>
      </w:r>
      <w:proofErr w:type="gramEnd"/>
      <w:r w:rsidRPr="00162181">
        <w:rPr>
          <w:rFonts w:ascii="Cambria" w:hAnsi="Cambria"/>
          <w:sz w:val="20"/>
          <w:szCs w:val="20"/>
          <w:lang w:val="en-MY"/>
        </w:rPr>
        <w:t xml:space="preserve"> This study shows that different respondents or demographic variables will have different elements of external stimulus that influence online shopping behavior among consumers. External stimulus can be divided into several sub-</w:t>
      </w:r>
      <w:proofErr w:type="gramStart"/>
      <w:r w:rsidRPr="00162181">
        <w:rPr>
          <w:rFonts w:ascii="Cambria" w:hAnsi="Cambria"/>
          <w:sz w:val="20"/>
          <w:szCs w:val="20"/>
          <w:lang w:val="en-MY"/>
        </w:rPr>
        <w:t>factors,</w:t>
      </w:r>
      <w:proofErr w:type="gramEnd"/>
      <w:r w:rsidRPr="00162181">
        <w:rPr>
          <w:rFonts w:ascii="Cambria" w:hAnsi="Cambria"/>
          <w:sz w:val="20"/>
          <w:szCs w:val="20"/>
          <w:lang w:val="en-MY"/>
        </w:rPr>
        <w:t xml:space="preserve"> none influencing the consumer’s online shopping behavior. Based on a previous study </w:t>
      </w:r>
      <w:sdt>
        <w:sdtPr>
          <w:rPr>
            <w:rFonts w:ascii="Cambria" w:hAnsi="Cambria"/>
            <w:sz w:val="20"/>
            <w:szCs w:val="20"/>
            <w:lang w:val="en-MY"/>
          </w:rPr>
          <w:id w:val="248399223"/>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Kha18 \l 1033 </w:instrText>
          </w:r>
          <w:r w:rsidRPr="00162181">
            <w:rPr>
              <w:rFonts w:ascii="Cambria" w:hAnsi="Cambria"/>
              <w:sz w:val="20"/>
              <w:szCs w:val="20"/>
              <w:lang w:val="en-MY"/>
            </w:rPr>
            <w:fldChar w:fldCharType="separate"/>
          </w:r>
          <w:r w:rsidRPr="00162181">
            <w:rPr>
              <w:rFonts w:ascii="Cambria" w:hAnsi="Cambria"/>
              <w:noProof/>
              <w:sz w:val="20"/>
              <w:szCs w:val="20"/>
            </w:rPr>
            <w:t>(Khalil &amp; Raza, 2018)</w:t>
          </w:r>
          <w:r w:rsidRPr="00162181">
            <w:rPr>
              <w:rFonts w:ascii="Cambria" w:hAnsi="Cambria"/>
              <w:sz w:val="20"/>
              <w:szCs w:val="20"/>
              <w:lang w:val="en-MY"/>
            </w:rPr>
            <w:fldChar w:fldCharType="end"/>
          </w:r>
        </w:sdtContent>
      </w:sdt>
      <w:proofErr w:type="gramStart"/>
      <w:r w:rsidRPr="00162181">
        <w:rPr>
          <w:rFonts w:ascii="Cambria" w:hAnsi="Cambria"/>
          <w:sz w:val="20"/>
          <w:szCs w:val="20"/>
          <w:lang w:val="en-MY"/>
        </w:rPr>
        <w:t>,</w:t>
      </w:r>
      <w:proofErr w:type="gramEnd"/>
      <w:r w:rsidRPr="00162181">
        <w:rPr>
          <w:rFonts w:ascii="Cambria" w:hAnsi="Cambria"/>
          <w:sz w:val="20"/>
          <w:szCs w:val="20"/>
          <w:lang w:val="en-MY"/>
        </w:rPr>
        <w:t xml:space="preserve"> the results indicate that store environment.</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Income level has a significant impact on consumers' purchasing decisions, whereas credit card use has the least effect. A study by </w:t>
      </w:r>
      <w:r w:rsidRPr="00162181">
        <w:rPr>
          <w:rFonts w:ascii="Cambria" w:hAnsi="Cambria"/>
          <w:noProof/>
          <w:sz w:val="20"/>
          <w:szCs w:val="20"/>
        </w:rPr>
        <w:t>Li (2022)</w:t>
      </w:r>
      <w:r w:rsidRPr="00162181">
        <w:rPr>
          <w:rFonts w:ascii="Cambria" w:hAnsi="Cambria"/>
          <w:sz w:val="20"/>
          <w:szCs w:val="20"/>
          <w:lang w:val="en-MY"/>
        </w:rPr>
        <w:t xml:space="preserve"> was also conducted to determine the influence of purchasing behavior and external stimulus, including peer and professional evaluation. Positive reviews from peers and professional advice offered online both show low positive effects on customers' purchasing decisions, with coefficients less than 0.2. It means consumer purchases are not based on internet reviews and peer judgments. This finding may be helpful to marketing managers and marketers to understand consumer purchase behavior and the importance of major influencing elements of external stimulus. Because of these assumptions and support from a few works of literature, the existing theory does not need to be adjusted. This study also reveals that the correlation between affection and online shopping behavior is not significant (p-value &gt; 0.05). There are four categories of affection: emotions, specific feelings, moods, and judgments </w:t>
      </w:r>
      <w:sdt>
        <w:sdtPr>
          <w:rPr>
            <w:rFonts w:ascii="Cambria" w:hAnsi="Cambria"/>
            <w:sz w:val="20"/>
            <w:szCs w:val="20"/>
            <w:lang w:val="en-MY"/>
          </w:rPr>
          <w:id w:val="1571626911"/>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Pet99 \l 1033 </w:instrText>
          </w:r>
          <w:r w:rsidRPr="00162181">
            <w:rPr>
              <w:rFonts w:ascii="Cambria" w:hAnsi="Cambria"/>
              <w:sz w:val="20"/>
              <w:szCs w:val="20"/>
              <w:lang w:val="en-MY"/>
            </w:rPr>
            <w:fldChar w:fldCharType="separate"/>
          </w:r>
          <w:r w:rsidRPr="00162181">
            <w:rPr>
              <w:rFonts w:ascii="Cambria" w:hAnsi="Cambria"/>
              <w:noProof/>
              <w:sz w:val="20"/>
              <w:szCs w:val="20"/>
            </w:rPr>
            <w:t>(Peter, Olson, &amp; Grunert, 1999)</w:t>
          </w:r>
          <w:r w:rsidRPr="00162181">
            <w:rPr>
              <w:rFonts w:ascii="Cambria" w:hAnsi="Cambria"/>
              <w:sz w:val="20"/>
              <w:szCs w:val="20"/>
              <w:lang w:val="en-MY"/>
            </w:rPr>
            <w:fldChar w:fldCharType="end"/>
          </w:r>
        </w:sdtContent>
      </w:sdt>
      <w:r w:rsidRPr="00162181">
        <w:rPr>
          <w:rFonts w:ascii="Cambria" w:hAnsi="Cambria"/>
          <w:sz w:val="20"/>
          <w:szCs w:val="20"/>
          <w:lang w:val="en-MY"/>
        </w:rPr>
        <w:t xml:space="preserve">. Specific emotions influence online shopping behavior differently. </w:t>
      </w:r>
      <w:r w:rsidRPr="00162181">
        <w:rPr>
          <w:rFonts w:ascii="Cambria" w:hAnsi="Cambria"/>
          <w:noProof/>
          <w:sz w:val="20"/>
          <w:szCs w:val="20"/>
        </w:rPr>
        <w:t>Lerner &amp; Tiedens (2006)</w:t>
      </w:r>
      <w:r w:rsidRPr="00162181">
        <w:rPr>
          <w:rFonts w:ascii="Cambria" w:hAnsi="Cambria"/>
          <w:sz w:val="20"/>
          <w:szCs w:val="20"/>
          <w:lang w:val="en-MY"/>
        </w:rPr>
        <w:t xml:space="preserve"> claim that various feelings of control and uncertainty caused by same-valence emotions have varied consequences for shopping behaviors.</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MY"/>
        </w:rPr>
        <w:t xml:space="preserve">However, researchers discovered that fear was the emotion most significantly connected with arousal. On the other hand, </w:t>
      </w:r>
      <w:r w:rsidRPr="00162181">
        <w:rPr>
          <w:rFonts w:ascii="Cambria" w:hAnsi="Cambria"/>
          <w:noProof/>
          <w:sz w:val="20"/>
          <w:szCs w:val="20"/>
        </w:rPr>
        <w:t>Wierzba, et al., (2015)</w:t>
      </w:r>
      <w:r w:rsidRPr="00162181">
        <w:rPr>
          <w:rFonts w:ascii="Cambria" w:hAnsi="Cambria"/>
          <w:sz w:val="20"/>
          <w:szCs w:val="20"/>
          <w:lang w:val="en-MY"/>
        </w:rPr>
        <w:t xml:space="preserve"> observed a weak correlation between discrete categories of emotions and excitement in shopping behavior. On the contrary, </w:t>
      </w:r>
      <w:r w:rsidRPr="00162181">
        <w:rPr>
          <w:rFonts w:ascii="Cambria" w:hAnsi="Cambria"/>
          <w:noProof/>
          <w:sz w:val="20"/>
          <w:szCs w:val="20"/>
        </w:rPr>
        <w:t>Kuleh &amp; Setyadi (2016)</w:t>
      </w:r>
      <w:r w:rsidRPr="00162181">
        <w:rPr>
          <w:rFonts w:ascii="Cambria" w:hAnsi="Cambria"/>
          <w:sz w:val="20"/>
          <w:szCs w:val="20"/>
          <w:lang w:val="en-MY"/>
        </w:rPr>
        <w:t xml:space="preserve"> claimed that when purchasing in person, emotions matter a lot. The relationship between affection and shopping behavior is based on positive emotional connections and close interpersonal relationships. Similarly, </w:t>
      </w:r>
      <w:r w:rsidRPr="00162181">
        <w:rPr>
          <w:rFonts w:ascii="Cambria" w:hAnsi="Cambria"/>
          <w:noProof/>
          <w:sz w:val="20"/>
          <w:szCs w:val="20"/>
        </w:rPr>
        <w:t>Mis (2022)</w:t>
      </w:r>
      <w:r w:rsidRPr="00162181">
        <w:rPr>
          <w:rFonts w:ascii="Cambria" w:hAnsi="Cambria"/>
          <w:sz w:val="20"/>
          <w:szCs w:val="20"/>
          <w:lang w:val="en-MY"/>
        </w:rPr>
        <w:t xml:space="preserve"> indicates that positive emotions toward internet shopping influence individuals' purchasing decisions. By assessing customers' attitudes toward online purchasing, it may be concluded that consumers have positive views that point to excellent, enjoyable, and favorable attitudes toward online shopping. </w:t>
      </w:r>
      <w:r w:rsidRPr="00162181">
        <w:rPr>
          <w:rFonts w:ascii="Cambria" w:hAnsi="Cambria"/>
          <w:noProof/>
          <w:sz w:val="20"/>
          <w:szCs w:val="20"/>
        </w:rPr>
        <w:t>Das, Sarkar, &amp; Debroy (2022)</w:t>
      </w:r>
      <w:r w:rsidRPr="00162181">
        <w:rPr>
          <w:rFonts w:ascii="Cambria" w:hAnsi="Cambria"/>
          <w:sz w:val="20"/>
          <w:szCs w:val="20"/>
          <w:lang w:val="en-MY"/>
        </w:rPr>
        <w:t xml:space="preserve"> suggested that both positive and negative emotions affect people's online shopping decisions. Since there is a small disparity between current and previous studies, we can claim that the differences between demographic variables in this study will affect identifying the elements influencing online shoppers' emotions. It showed a statistically significant correlation between internet shopping activity and demographic factors </w:t>
      </w:r>
      <w:sdt>
        <w:sdtPr>
          <w:rPr>
            <w:rFonts w:ascii="Cambria" w:hAnsi="Cambria"/>
            <w:sz w:val="20"/>
            <w:szCs w:val="20"/>
            <w:lang w:val="en-MY"/>
          </w:rPr>
          <w:id w:val="1892303049"/>
          <w:citation/>
        </w:sdtPr>
        <w:sdtContent>
          <w:r w:rsidRPr="00162181">
            <w:rPr>
              <w:rFonts w:ascii="Cambria" w:hAnsi="Cambria"/>
              <w:sz w:val="20"/>
              <w:szCs w:val="20"/>
              <w:lang w:val="en-MY"/>
            </w:rPr>
            <w:fldChar w:fldCharType="begin"/>
          </w:r>
          <w:r w:rsidRPr="00162181">
            <w:rPr>
              <w:rFonts w:ascii="Cambria" w:hAnsi="Cambria"/>
              <w:sz w:val="20"/>
              <w:szCs w:val="20"/>
            </w:rPr>
            <w:instrText xml:space="preserve"> CITATION Cin20 \l 1033 </w:instrText>
          </w:r>
          <w:r w:rsidRPr="00162181">
            <w:rPr>
              <w:rFonts w:ascii="Cambria" w:hAnsi="Cambria"/>
              <w:sz w:val="20"/>
              <w:szCs w:val="20"/>
              <w:lang w:val="en-MY"/>
            </w:rPr>
            <w:fldChar w:fldCharType="separate"/>
          </w:r>
          <w:r w:rsidRPr="00162181">
            <w:rPr>
              <w:rFonts w:ascii="Cambria" w:hAnsi="Cambria"/>
              <w:noProof/>
              <w:sz w:val="20"/>
              <w:szCs w:val="20"/>
            </w:rPr>
            <w:t>(Cinar, 2020)</w:t>
          </w:r>
          <w:r w:rsidRPr="00162181">
            <w:rPr>
              <w:rFonts w:ascii="Cambria" w:hAnsi="Cambria"/>
              <w:sz w:val="20"/>
              <w:szCs w:val="20"/>
              <w:lang w:val="en-MY"/>
            </w:rPr>
            <w:fldChar w:fldCharType="end"/>
          </w:r>
        </w:sdtContent>
      </w:sdt>
      <w:r w:rsidRPr="00162181">
        <w:rPr>
          <w:rFonts w:ascii="Cambria" w:hAnsi="Cambria"/>
          <w:sz w:val="20"/>
          <w:szCs w:val="20"/>
          <w:lang w:val="en-MY"/>
        </w:rPr>
        <w:t>.</w:t>
      </w: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b/>
          <w:sz w:val="20"/>
          <w:szCs w:val="20"/>
          <w:lang w:val="en-MY"/>
        </w:rPr>
      </w:pPr>
      <w:r w:rsidRPr="00162181">
        <w:rPr>
          <w:rFonts w:ascii="Cambria" w:hAnsi="Cambria"/>
          <w:b/>
          <w:sz w:val="20"/>
          <w:szCs w:val="20"/>
          <w:lang w:val="en-MY"/>
        </w:rPr>
        <w:lastRenderedPageBreak/>
        <w:t xml:space="preserve">5. </w:t>
      </w:r>
      <w:r w:rsidRPr="00162181">
        <w:rPr>
          <w:rFonts w:ascii="Cambria" w:hAnsi="Cambria"/>
          <w:b/>
          <w:sz w:val="20"/>
          <w:szCs w:val="20"/>
        </w:rPr>
        <w:t>Managerial Implications and Recommendations</w:t>
      </w:r>
    </w:p>
    <w:p w:rsidR="00162181" w:rsidRPr="00162181" w:rsidRDefault="00162181" w:rsidP="00162181">
      <w:pPr>
        <w:pStyle w:val="Heading1"/>
        <w:tabs>
          <w:tab w:val="left" w:pos="447"/>
        </w:tabs>
        <w:spacing w:before="0" w:line="240" w:lineRule="auto"/>
        <w:jc w:val="both"/>
        <w:rPr>
          <w:rFonts w:ascii="Cambria" w:hAnsi="Cambria"/>
          <w:color w:val="auto"/>
          <w:sz w:val="20"/>
          <w:szCs w:val="20"/>
        </w:rPr>
      </w:pP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r w:rsidRPr="00162181">
        <w:rPr>
          <w:rFonts w:ascii="Cambria" w:hAnsi="Cambria"/>
          <w:b w:val="0"/>
          <w:bCs w:val="0"/>
          <w:color w:val="auto"/>
          <w:sz w:val="20"/>
          <w:szCs w:val="20"/>
        </w:rPr>
        <w:t>As a consequence of the COVID-19 lockdowns, the e-commerce industry expanded rapidly. Due to this, marketing distribution channels that had previously placed a strong emphasis on traditional methods have started using online platforms. With a vibrant economy, generous government subsidies for digital technology, and a sizable young population, Malaysia has become a desirable e-commerce market in Southeast Asia. In Malaysia, the online business is a collaborative government and commercial sector project to boost online shopping and aid in the nation's economic recovery. Additionally, it aims to assist local businesses impacted by the pandemic. More than 8.2 million consumers have benefited from this mission, which has successfully produced more than RM 945 million in sales. This mission has also had a positive effect on businesses' adoption of the digital strategy, leading to an increase in new job prospects for Malaysians. Therefore, the government should continue to support online retailers to ensure this industry's success. First and foremost, the government must direct online retailers to provide information on how to resolve problems.</w:t>
      </w: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r w:rsidRPr="00162181">
        <w:rPr>
          <w:rFonts w:ascii="Cambria" w:hAnsi="Cambria"/>
          <w:b w:val="0"/>
          <w:bCs w:val="0"/>
          <w:color w:val="auto"/>
          <w:sz w:val="20"/>
          <w:szCs w:val="20"/>
        </w:rPr>
        <w:t>In addition, as many banks and financial institutions as possible should work with businesses to make the e-payment process simple and convenient. Aside from that, online businesses also need to be aware of the different regulatory frameworks that control the sector. To avoid any fines or penalties issued by the appropriate authorities, business owners must guarantee that rules relating to registration, advertisements, and handling customer data, among others, are followed. It is essential for business owners engaged in e-commerce to abide by the relevant laws to gain the trust of their online customers. Besides that, to attract more consumers to online shopping, online retailers and business owners may develop more focused and effective online retail operations that meet the demands and expectations of their new online shoppers. When consumers believe an online store would benefit them, e-commerce will be useful. Retailers must persuade consumers to encourage more individuals to make online purchases to increase online sales. Online businesses should implement a good website. Websites are made to provide consumers with options for selecting from a variety of products online.</w:t>
      </w: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r w:rsidRPr="00162181">
        <w:rPr>
          <w:rFonts w:ascii="Cambria" w:hAnsi="Cambria"/>
          <w:b w:val="0"/>
          <w:bCs w:val="0"/>
          <w:color w:val="auto"/>
          <w:sz w:val="20"/>
          <w:szCs w:val="20"/>
        </w:rPr>
        <w:t>As compared to shopping outside, which takes more time, consumers will have a wide range of options for their desired purchases. Online retailers' appealing web designs and user-friendly websites will influence customers' decisions to buy the products they genuinely want. Business owners should also offer websites that are full of helpful information and make sure that the websites they explore strictly follow security principles. Additionally, to keep current consumers and draw in new ones, online marketers should deploy cutting-edge, creative, and attractive sales advertising activities through their websites. On the other hand, the consumer's attitude or perception will have an impact on online shopping. Thus, trust is very important because the consumer perceives transaction risk in the online environment as higher when the buyer does not directly interact with the seller and the things they intend to buy. Retailers must start by lowering consumers' perceived risks. To protect consumers online, the government also must implement the legal framework. More individuals are motivated to shop online due to the law's ability to better safeguard their interests.</w:t>
      </w:r>
    </w:p>
    <w:p w:rsidR="00162181" w:rsidRPr="00162181" w:rsidRDefault="00162181" w:rsidP="00162181">
      <w:pPr>
        <w:pStyle w:val="Heading1"/>
        <w:tabs>
          <w:tab w:val="left" w:pos="447"/>
        </w:tabs>
        <w:spacing w:before="0" w:line="240" w:lineRule="auto"/>
        <w:jc w:val="both"/>
        <w:rPr>
          <w:rFonts w:ascii="Cambria" w:hAnsi="Cambria"/>
          <w:b w:val="0"/>
          <w:bCs w:val="0"/>
          <w:color w:val="auto"/>
          <w:sz w:val="20"/>
          <w:szCs w:val="20"/>
        </w:rPr>
      </w:pPr>
    </w:p>
    <w:p w:rsidR="00162181" w:rsidRPr="00162181" w:rsidRDefault="00162181" w:rsidP="00162181">
      <w:pPr>
        <w:pStyle w:val="Heading1"/>
        <w:tabs>
          <w:tab w:val="left" w:pos="447"/>
        </w:tabs>
        <w:spacing w:before="0" w:line="240" w:lineRule="auto"/>
        <w:jc w:val="both"/>
        <w:rPr>
          <w:rFonts w:ascii="Cambria" w:hAnsi="Cambria"/>
          <w:bCs w:val="0"/>
          <w:color w:val="auto"/>
          <w:sz w:val="20"/>
          <w:szCs w:val="20"/>
        </w:rPr>
      </w:pPr>
      <w:r w:rsidRPr="00162181">
        <w:rPr>
          <w:rFonts w:ascii="Cambria" w:hAnsi="Cambria"/>
          <w:color w:val="auto"/>
          <w:sz w:val="20"/>
          <w:szCs w:val="20"/>
        </w:rPr>
        <w:t>Conclusion</w:t>
      </w:r>
    </w:p>
    <w:p w:rsidR="00162181" w:rsidRPr="00162181" w:rsidRDefault="00162181" w:rsidP="00162181">
      <w:pPr>
        <w:pStyle w:val="BodyText"/>
        <w:spacing w:after="0" w:line="240" w:lineRule="auto"/>
        <w:jc w:val="both"/>
        <w:rPr>
          <w:rFonts w:ascii="Cambria" w:hAnsi="Cambria"/>
          <w:b/>
          <w:sz w:val="20"/>
          <w:szCs w:val="20"/>
        </w:rPr>
      </w:pPr>
    </w:p>
    <w:p w:rsidR="00162181" w:rsidRPr="00162181" w:rsidRDefault="00162181" w:rsidP="00162181">
      <w:pPr>
        <w:pStyle w:val="BodyText"/>
        <w:spacing w:after="0" w:line="240" w:lineRule="auto"/>
        <w:jc w:val="both"/>
        <w:rPr>
          <w:rFonts w:ascii="Cambria" w:hAnsi="Cambria"/>
          <w:sz w:val="20"/>
          <w:szCs w:val="20"/>
          <w:lang w:val="en-MY"/>
        </w:rPr>
      </w:pPr>
      <w:r w:rsidRPr="00162181">
        <w:rPr>
          <w:rFonts w:ascii="Cambria" w:hAnsi="Cambria"/>
          <w:sz w:val="20"/>
          <w:szCs w:val="20"/>
          <w:lang w:val="en-GB"/>
        </w:rPr>
        <w:t xml:space="preserve">This study has identified the factors that influence online shopping behavior patterns among consumers. The findings showed </w:t>
      </w:r>
      <w:r w:rsidRPr="00162181">
        <w:rPr>
          <w:rFonts w:ascii="Cambria" w:hAnsi="Cambria"/>
          <w:sz w:val="20"/>
          <w:szCs w:val="20"/>
          <w:lang w:val="en-MY"/>
        </w:rPr>
        <w:t xml:space="preserve">that only two constructs were statistically significant to online shop behavior, which are web characteristics and cognitive. </w:t>
      </w:r>
      <w:proofErr w:type="gramStart"/>
      <w:r w:rsidRPr="00162181">
        <w:rPr>
          <w:rFonts w:ascii="Cambria" w:hAnsi="Cambria"/>
          <w:sz w:val="20"/>
          <w:szCs w:val="20"/>
          <w:lang w:val="en-MY"/>
        </w:rPr>
        <w:t>However, the variables of external stimulus and affective are not statistically significant.</w:t>
      </w:r>
      <w:proofErr w:type="gramEnd"/>
      <w:r w:rsidRPr="00162181">
        <w:rPr>
          <w:rFonts w:ascii="Cambria" w:hAnsi="Cambria"/>
          <w:sz w:val="20"/>
          <w:szCs w:val="20"/>
          <w:lang w:val="en-MY"/>
        </w:rPr>
        <w:t xml:space="preserve"> Since there are considerable differences in the behavior of customers from this population who have different types of online buying, it follows that distinct techniques should be developed.</w:t>
      </w:r>
      <w:r w:rsidRPr="00162181">
        <w:rPr>
          <w:rFonts w:ascii="Cambria" w:hAnsi="Cambria"/>
          <w:sz w:val="20"/>
          <w:szCs w:val="20"/>
          <w:lang w:val="en-GB"/>
        </w:rPr>
        <w:t xml:space="preserve"> </w:t>
      </w:r>
      <w:r w:rsidRPr="00162181">
        <w:rPr>
          <w:rFonts w:ascii="Cambria" w:hAnsi="Cambria"/>
          <w:sz w:val="20"/>
          <w:szCs w:val="20"/>
          <w:lang w:val="en-MY"/>
        </w:rPr>
        <w:t>From the findings, e-businesses should enhance the functionality, usability, and appearance of their websites. Additionally, it is vital to regularly update and maintain the website content to guarantee its accuracy and superior quality. Online retailers must ensure consumers can make purchases on their websites in the simplest, most convenient way feasible. Easy-to-use websites will encourage new customers to make a purchasing decision and increase their likelihood of making additional purchases.</w:t>
      </w:r>
    </w:p>
    <w:p w:rsidR="00162181" w:rsidRPr="00162181" w:rsidRDefault="00162181" w:rsidP="00162181">
      <w:pPr>
        <w:pStyle w:val="BodyText"/>
        <w:spacing w:after="0" w:line="240" w:lineRule="auto"/>
        <w:jc w:val="both"/>
        <w:rPr>
          <w:rFonts w:ascii="Cambria" w:hAnsi="Cambria"/>
          <w:sz w:val="20"/>
          <w:szCs w:val="20"/>
          <w:lang w:val="en-MY"/>
        </w:rPr>
      </w:pPr>
    </w:p>
    <w:p w:rsidR="00162181" w:rsidRPr="00162181" w:rsidRDefault="00162181" w:rsidP="00162181">
      <w:pPr>
        <w:pStyle w:val="BodyText"/>
        <w:spacing w:after="0" w:line="240" w:lineRule="auto"/>
        <w:jc w:val="both"/>
        <w:rPr>
          <w:rFonts w:ascii="Cambria" w:hAnsi="Cambria"/>
          <w:sz w:val="20"/>
          <w:szCs w:val="20"/>
          <w:lang w:val="en-GB"/>
        </w:rPr>
      </w:pPr>
      <w:r w:rsidRPr="00162181">
        <w:rPr>
          <w:rFonts w:ascii="Cambria" w:hAnsi="Cambria"/>
          <w:sz w:val="20"/>
          <w:szCs w:val="20"/>
          <w:lang w:val="en-MY"/>
        </w:rPr>
        <w:lastRenderedPageBreak/>
        <w:t>By successfully enhancing consumers' perception of online buying, it may be possible to positively influence both their purchase intent and behavior. It has been discovered that favorable effects on consumers' cognition influence their propensity to repurchase from an online store. The more customers purchase online, the more favorable their perceptions of online shopping will be. When purchasing online, customer-focused marketing and communication could be offered, giving customers access to specialized goods and services. Additionally, it might offer interactive and diversified information to provide customers freedom of choice and control over the process, which would increase their behavior intention.</w:t>
      </w:r>
      <w:r w:rsidRPr="00162181">
        <w:rPr>
          <w:rFonts w:ascii="Cambria" w:hAnsi="Cambria"/>
          <w:sz w:val="20"/>
          <w:szCs w:val="20"/>
          <w:lang w:val="en-GB"/>
        </w:rPr>
        <w:t xml:space="preserve"> </w:t>
      </w:r>
      <w:r w:rsidRPr="00162181">
        <w:rPr>
          <w:rFonts w:ascii="Cambria" w:hAnsi="Cambria"/>
          <w:sz w:val="20"/>
          <w:szCs w:val="20"/>
          <w:lang w:val="en-MY"/>
        </w:rPr>
        <w:t>As for the recommendation, future studies should select a sample of working adults outside of the university and additional variables are connected to internet buying since the sample of the current study only concentrated on university students and staff. The researchers should also employ qualitative and quantitative methods to effectively gather data from Malaysia's general population throughout the age spectrum to thoroughly assess respondents' perceptions of and intentions for online shopping.</w:t>
      </w:r>
    </w:p>
    <w:p w:rsidR="00162181" w:rsidRPr="00162181" w:rsidRDefault="00162181" w:rsidP="00162181">
      <w:pPr>
        <w:pStyle w:val="BodyText"/>
        <w:spacing w:after="0" w:line="240" w:lineRule="auto"/>
        <w:jc w:val="both"/>
        <w:rPr>
          <w:rFonts w:ascii="Cambria" w:hAnsi="Cambria"/>
          <w:sz w:val="20"/>
          <w:szCs w:val="20"/>
          <w:lang w:val="en-MY"/>
        </w:rPr>
      </w:pPr>
    </w:p>
    <w:sdt>
      <w:sdtPr>
        <w:rPr>
          <w:rFonts w:ascii="Cambria" w:hAnsi="Cambria"/>
          <w:b w:val="0"/>
          <w:bCs w:val="0"/>
          <w:color w:val="auto"/>
          <w:sz w:val="20"/>
          <w:szCs w:val="20"/>
        </w:rPr>
        <w:id w:val="1133066147"/>
        <w:docPartObj>
          <w:docPartGallery w:val="Bibliographies"/>
          <w:docPartUnique/>
        </w:docPartObj>
      </w:sdtPr>
      <w:sdtEndPr>
        <w:rPr>
          <w:rFonts w:eastAsiaTheme="minorHAnsi" w:cstheme="minorBidi"/>
          <w:lang w:val="id-ID"/>
        </w:rPr>
      </w:sdtEndPr>
      <w:sdtContent>
        <w:p w:rsidR="00162181" w:rsidRPr="00162181" w:rsidRDefault="00162181" w:rsidP="00162181">
          <w:pPr>
            <w:pStyle w:val="Heading1"/>
            <w:spacing w:before="0" w:line="240" w:lineRule="auto"/>
            <w:ind w:left="720" w:hanging="720"/>
            <w:jc w:val="both"/>
            <w:rPr>
              <w:rFonts w:ascii="Cambria" w:hAnsi="Cambria"/>
              <w:color w:val="auto"/>
              <w:sz w:val="20"/>
              <w:szCs w:val="20"/>
            </w:rPr>
          </w:pPr>
          <w:r w:rsidRPr="00162181">
            <w:rPr>
              <w:rFonts w:ascii="Cambria" w:hAnsi="Cambria"/>
              <w:color w:val="auto"/>
              <w:sz w:val="20"/>
              <w:szCs w:val="20"/>
            </w:rPr>
            <w:t>References</w:t>
          </w:r>
        </w:p>
        <w:p w:rsidR="00162181" w:rsidRPr="00162181" w:rsidRDefault="00162181" w:rsidP="00162181">
          <w:pPr>
            <w:pStyle w:val="Heading1"/>
            <w:spacing w:before="0" w:line="240" w:lineRule="auto"/>
            <w:ind w:left="720" w:hanging="720"/>
            <w:jc w:val="both"/>
            <w:rPr>
              <w:rFonts w:ascii="Cambria" w:hAnsi="Cambria"/>
              <w:color w:val="auto"/>
              <w:sz w:val="20"/>
              <w:szCs w:val="20"/>
            </w:rPr>
          </w:pPr>
        </w:p>
        <w:sdt>
          <w:sdtPr>
            <w:rPr>
              <w:rFonts w:ascii="Cambria" w:hAnsi="Cambria"/>
              <w:sz w:val="20"/>
              <w:szCs w:val="20"/>
            </w:rPr>
            <w:id w:val="75068344"/>
            <w:bibliography/>
          </w:sdtPr>
          <w:sdtEndPr>
            <w:rPr>
              <w:rFonts w:eastAsiaTheme="minorHAnsi" w:cstheme="minorBidi"/>
              <w:lang w:val="id-ID" w:eastAsia="en-US"/>
            </w:rPr>
          </w:sdtEndPr>
          <w:sdtContent>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sz w:val="20"/>
                  <w:szCs w:val="20"/>
                </w:rPr>
                <w:fldChar w:fldCharType="begin"/>
              </w:r>
              <w:r w:rsidRPr="00162181">
                <w:rPr>
                  <w:rFonts w:ascii="Cambria" w:hAnsi="Cambria"/>
                  <w:sz w:val="20"/>
                  <w:szCs w:val="20"/>
                </w:rPr>
                <w:instrText xml:space="preserve"> BIBLIOGRAPHY </w:instrText>
              </w:r>
              <w:r w:rsidRPr="00162181">
                <w:rPr>
                  <w:rFonts w:ascii="Cambria" w:hAnsi="Cambria"/>
                  <w:sz w:val="20"/>
                  <w:szCs w:val="20"/>
                </w:rPr>
                <w:fldChar w:fldCharType="separate"/>
              </w:r>
              <w:r w:rsidRPr="00162181">
                <w:rPr>
                  <w:rFonts w:ascii="Cambria" w:hAnsi="Cambria"/>
                  <w:noProof/>
                  <w:sz w:val="20"/>
                  <w:szCs w:val="20"/>
                </w:rPr>
                <w:t xml:space="preserve">Afzainizam, N., Fahmy, S., Hanif, S. A., Muqri, M. I. &amp; Firdhaus, A. (2021). Identification of Online Shopping Challenges in Malaysia: A Pilot Study. </w:t>
              </w:r>
              <w:r w:rsidRPr="00162181">
                <w:rPr>
                  <w:rFonts w:ascii="Cambria" w:hAnsi="Cambria"/>
                  <w:i/>
                  <w:iCs/>
                  <w:noProof/>
                  <w:sz w:val="20"/>
                  <w:szCs w:val="20"/>
                </w:rPr>
                <w:t xml:space="preserve">International Journal of Synergy in Engineering and Technology, </w:t>
              </w:r>
              <w:r w:rsidRPr="00162181">
                <w:rPr>
                  <w:rFonts w:ascii="Cambria" w:hAnsi="Cambria"/>
                  <w:iCs/>
                  <w:noProof/>
                  <w:sz w:val="20"/>
                  <w:szCs w:val="20"/>
                </w:rPr>
                <w:t>2</w:t>
              </w:r>
              <w:r w:rsidRPr="00162181">
                <w:rPr>
                  <w:rFonts w:ascii="Cambria" w:hAnsi="Cambria"/>
                  <w:noProof/>
                  <w:sz w:val="20"/>
                  <w:szCs w:val="20"/>
                </w:rPr>
                <w:t>(2), 48-55.</w:t>
              </w:r>
            </w:p>
            <w:p w:rsidR="00162181" w:rsidRPr="00162181" w:rsidRDefault="00162181" w:rsidP="00162181">
              <w:pPr>
                <w:pStyle w:val="Bibliography"/>
                <w:spacing w:after="0" w:line="240" w:lineRule="auto"/>
                <w:ind w:left="720" w:hanging="720"/>
                <w:jc w:val="both"/>
                <w:rPr>
                  <w:rFonts w:ascii="Cambria" w:hAnsi="Cambria"/>
                  <w:noProof/>
                  <w:sz w:val="20"/>
                  <w:szCs w:val="20"/>
                  <w:lang w:val="nl-NL"/>
                </w:rPr>
              </w:pPr>
              <w:r w:rsidRPr="00162181">
                <w:rPr>
                  <w:rFonts w:ascii="Cambria" w:hAnsi="Cambria"/>
                  <w:noProof/>
                  <w:sz w:val="20"/>
                  <w:szCs w:val="20"/>
                </w:rPr>
                <w:t xml:space="preserve">Ajzen, I. (1985). </w:t>
              </w:r>
              <w:r w:rsidRPr="00162181">
                <w:rPr>
                  <w:rFonts w:ascii="Cambria" w:hAnsi="Cambria"/>
                  <w:iCs/>
                  <w:noProof/>
                  <w:sz w:val="20"/>
                  <w:szCs w:val="20"/>
                </w:rPr>
                <w:t>From Intentions to Actions: A Theory of Planned Behavior.</w:t>
              </w:r>
              <w:r w:rsidRPr="00162181">
                <w:rPr>
                  <w:rFonts w:ascii="Cambria" w:hAnsi="Cambria"/>
                  <w:noProof/>
                  <w:sz w:val="20"/>
                  <w:szCs w:val="20"/>
                </w:rPr>
                <w:t xml:space="preserve"> </w:t>
              </w:r>
              <w:r w:rsidRPr="00162181">
                <w:rPr>
                  <w:rFonts w:ascii="Cambria" w:hAnsi="Cambria"/>
                  <w:noProof/>
                  <w:sz w:val="20"/>
                  <w:szCs w:val="20"/>
                  <w:lang w:val="nl-NL"/>
                </w:rPr>
                <w:t>(J. Kuhl, &amp; J. Beckmann, Eds.) Springer-Verlag Berlin Heidelberg .</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lang w:val="nl-NL"/>
                </w:rPr>
                <w:t xml:space="preserve">Awang, Z. (2012). </w:t>
              </w:r>
              <w:r w:rsidRPr="00162181">
                <w:rPr>
                  <w:rFonts w:ascii="Cambria" w:hAnsi="Cambria"/>
                  <w:iCs/>
                  <w:noProof/>
                  <w:sz w:val="20"/>
                  <w:szCs w:val="20"/>
                </w:rPr>
                <w:t>Research Methodology and Data Analysis</w:t>
              </w:r>
              <w:r w:rsidRPr="00162181">
                <w:rPr>
                  <w:rFonts w:ascii="Cambria" w:hAnsi="Cambria"/>
                  <w:noProof/>
                  <w:sz w:val="20"/>
                  <w:szCs w:val="20"/>
                </w:rPr>
                <w:t xml:space="preserve"> (2nd ed.). UiTM Press.</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Bei, L. T. &amp; Chiao, Y. C. (2001). An Integrated Model for the Effects of Perceived Product, Perceived Service Quality, and Perceived Price Fairness on Consumer Satisfaction and Loyalty. </w:t>
              </w:r>
              <w:r w:rsidRPr="00162181">
                <w:rPr>
                  <w:rFonts w:ascii="Cambria" w:hAnsi="Cambria"/>
                  <w:i/>
                  <w:iCs/>
                  <w:noProof/>
                  <w:sz w:val="20"/>
                  <w:szCs w:val="20"/>
                </w:rPr>
                <w:t xml:space="preserve">The Journal of Consumer Satisfaction, Dissatisfaction and Complaining Behavior, </w:t>
              </w:r>
              <w:r w:rsidRPr="00162181">
                <w:rPr>
                  <w:rFonts w:ascii="Cambria" w:hAnsi="Cambria"/>
                  <w:iCs/>
                  <w:noProof/>
                  <w:sz w:val="20"/>
                  <w:szCs w:val="20"/>
                </w:rPr>
                <w:t>14</w:t>
              </w:r>
              <w:r w:rsidRPr="00162181">
                <w:rPr>
                  <w:rFonts w:ascii="Cambria" w:hAnsi="Cambria"/>
                  <w:noProof/>
                  <w:sz w:val="20"/>
                  <w:szCs w:val="20"/>
                </w:rPr>
                <w:t>, 125-140.</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Chincholkar, S. &amp; Sonwaney, V. (2017). Website attributes and its impact on online consumer buying behavior: An empirical study of online consumers in Mumbai region. </w:t>
              </w:r>
              <w:r w:rsidRPr="00162181">
                <w:rPr>
                  <w:rFonts w:ascii="Cambria" w:hAnsi="Cambria"/>
                  <w:i/>
                  <w:iCs/>
                  <w:noProof/>
                  <w:sz w:val="20"/>
                  <w:szCs w:val="20"/>
                </w:rPr>
                <w:t xml:space="preserve">Indian Journal of Science and Technology, </w:t>
              </w:r>
              <w:r w:rsidRPr="00162181">
                <w:rPr>
                  <w:rFonts w:ascii="Cambria" w:hAnsi="Cambria"/>
                  <w:iCs/>
                  <w:noProof/>
                  <w:sz w:val="20"/>
                  <w:szCs w:val="20"/>
                </w:rPr>
                <w:t>10</w:t>
              </w:r>
              <w:r w:rsidRPr="00162181">
                <w:rPr>
                  <w:rFonts w:ascii="Cambria" w:hAnsi="Cambria"/>
                  <w:noProof/>
                  <w:sz w:val="20"/>
                  <w:szCs w:val="20"/>
                </w:rPr>
                <w:t>(1), 1-9.</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Cinar, D. (2020). </w:t>
              </w:r>
              <w:r w:rsidRPr="00162181">
                <w:rPr>
                  <w:rFonts w:ascii="Cambria" w:hAnsi="Cambria"/>
                  <w:iCs/>
                  <w:noProof/>
                  <w:sz w:val="20"/>
                  <w:szCs w:val="20"/>
                </w:rPr>
                <w:t>The Effect of Consumer Emotions on Online Purchasing Behavior.</w:t>
              </w:r>
              <w:r w:rsidRPr="00162181">
                <w:rPr>
                  <w:rFonts w:ascii="Cambria" w:hAnsi="Cambria"/>
                  <w:noProof/>
                  <w:sz w:val="20"/>
                  <w:szCs w:val="20"/>
                </w:rPr>
                <w:t xml:space="preserve"> IGI Global.</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Coakes, S. (2007). </w:t>
              </w:r>
              <w:r w:rsidRPr="00162181">
                <w:rPr>
                  <w:rFonts w:ascii="Cambria" w:hAnsi="Cambria"/>
                  <w:iCs/>
                  <w:noProof/>
                  <w:sz w:val="20"/>
                  <w:szCs w:val="20"/>
                </w:rPr>
                <w:t>Analysis Without Anguish: Version 12.0 For Windows.</w:t>
              </w:r>
              <w:r w:rsidRPr="00162181">
                <w:rPr>
                  <w:rFonts w:ascii="Cambria" w:hAnsi="Cambria"/>
                  <w:noProof/>
                  <w:sz w:val="20"/>
                  <w:szCs w:val="20"/>
                </w:rPr>
                <w:t xml:space="preserve"> John Wiley &amp; Sons, Inc.</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Daroch, B., Nagrath, G. &amp; Gupta, A. (2021). A study on factors limiting online shopping behavior of consumers. </w:t>
              </w:r>
              <w:r w:rsidRPr="00162181">
                <w:rPr>
                  <w:rFonts w:ascii="Cambria" w:hAnsi="Cambria"/>
                  <w:i/>
                  <w:iCs/>
                  <w:noProof/>
                  <w:sz w:val="20"/>
                  <w:szCs w:val="20"/>
                </w:rPr>
                <w:t xml:space="preserve">Rajagiri Management Journal, </w:t>
              </w:r>
              <w:r w:rsidRPr="00162181">
                <w:rPr>
                  <w:rFonts w:ascii="Cambria" w:hAnsi="Cambria"/>
                  <w:iCs/>
                  <w:noProof/>
                  <w:sz w:val="20"/>
                  <w:szCs w:val="20"/>
                </w:rPr>
                <w:t>15</w:t>
              </w:r>
              <w:r w:rsidRPr="00162181">
                <w:rPr>
                  <w:rFonts w:ascii="Cambria" w:hAnsi="Cambria"/>
                  <w:noProof/>
                  <w:sz w:val="20"/>
                  <w:szCs w:val="20"/>
                </w:rPr>
                <w:t>(1), 39-52.</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Das, D., Sarkar, A. &amp; Debroy, A. (2022). Impact of COVID-19 on Changing Consumer Behaviour: Lessons from an Emerging Economy. </w:t>
              </w:r>
              <w:r w:rsidRPr="00162181">
                <w:rPr>
                  <w:rFonts w:ascii="Cambria" w:hAnsi="Cambria"/>
                  <w:i/>
                  <w:iCs/>
                  <w:noProof/>
                  <w:sz w:val="20"/>
                  <w:szCs w:val="20"/>
                </w:rPr>
                <w:t>International Journal of Consumer Studies,</w:t>
              </w:r>
              <w:r w:rsidRPr="00162181">
                <w:rPr>
                  <w:rFonts w:ascii="Cambria" w:hAnsi="Cambria"/>
                  <w:iCs/>
                  <w:noProof/>
                  <w:sz w:val="20"/>
                  <w:szCs w:val="20"/>
                </w:rPr>
                <w:t xml:space="preserve"> 46</w:t>
              </w:r>
              <w:r w:rsidRPr="00162181">
                <w:rPr>
                  <w:rFonts w:ascii="Cambria" w:hAnsi="Cambria"/>
                  <w:noProof/>
                  <w:sz w:val="20"/>
                  <w:szCs w:val="20"/>
                </w:rPr>
                <w:t>(3), 692-715.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Das, G. &amp; Varshneya, G. (2017). Consumer Emotions: Determinants and Outcomes in a Shopping Mall. </w:t>
              </w:r>
              <w:r w:rsidRPr="00162181">
                <w:rPr>
                  <w:rFonts w:ascii="Cambria" w:hAnsi="Cambria"/>
                  <w:i/>
                  <w:iCs/>
                  <w:noProof/>
                  <w:sz w:val="20"/>
                  <w:szCs w:val="20"/>
                </w:rPr>
                <w:t>Journal of Retailing and Consumer Services,</w:t>
              </w:r>
              <w:r w:rsidRPr="00162181">
                <w:rPr>
                  <w:rFonts w:ascii="Cambria" w:hAnsi="Cambria"/>
                  <w:iCs/>
                  <w:noProof/>
                  <w:sz w:val="20"/>
                  <w:szCs w:val="20"/>
                </w:rPr>
                <w:t xml:space="preserve"> 38</w:t>
              </w:r>
              <w:r w:rsidRPr="00162181">
                <w:rPr>
                  <w:rFonts w:ascii="Cambria" w:hAnsi="Cambria"/>
                  <w:noProof/>
                  <w:sz w:val="20"/>
                  <w:szCs w:val="20"/>
                </w:rPr>
                <w:t>, 177-185.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Fihartini, Y., Ramelan, M. R., Karim, M. &amp; Andriani, L. (2023). The Role of Female Online Shoppers’ Emotional Intelligence on Their Shopping Behavior: A Cognition-Affection-Conation Framework. </w:t>
              </w:r>
              <w:r w:rsidRPr="00162181">
                <w:rPr>
                  <w:rFonts w:ascii="Cambria" w:hAnsi="Cambria"/>
                  <w:iCs/>
                  <w:noProof/>
                  <w:sz w:val="20"/>
                  <w:szCs w:val="20"/>
                </w:rPr>
                <w:t>Proceedings of the International Conference of Economics, Business, and Entrepreneur (ICEBE 2022)</w:t>
              </w:r>
              <w:r w:rsidRPr="00162181">
                <w:rPr>
                  <w:rFonts w:ascii="Cambria" w:hAnsi="Cambria"/>
                  <w:noProof/>
                  <w:sz w:val="20"/>
                  <w:szCs w:val="20"/>
                </w:rPr>
                <w:t>, 105-116.</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Gupta S, L., Ruchi, N. &amp; Ashish, N. (2010). To study the impact of website factors on consumer online buying behavior in India. </w:t>
              </w:r>
              <w:r w:rsidRPr="00162181">
                <w:rPr>
                  <w:rFonts w:ascii="Cambria" w:hAnsi="Cambria"/>
                  <w:i/>
                  <w:iCs/>
                  <w:noProof/>
                  <w:sz w:val="20"/>
                  <w:szCs w:val="20"/>
                </w:rPr>
                <w:t>IITM Journal of Management and IT,</w:t>
              </w:r>
              <w:r w:rsidRPr="00162181">
                <w:rPr>
                  <w:rFonts w:ascii="Cambria" w:hAnsi="Cambria"/>
                  <w:iCs/>
                  <w:noProof/>
                  <w:sz w:val="20"/>
                  <w:szCs w:val="20"/>
                </w:rPr>
                <w:t xml:space="preserve"> 2</w:t>
              </w:r>
              <w:r w:rsidRPr="00162181">
                <w:rPr>
                  <w:rFonts w:ascii="Cambria" w:hAnsi="Cambria"/>
                  <w:noProof/>
                  <w:sz w:val="20"/>
                  <w:szCs w:val="20"/>
                </w:rPr>
                <w:t>(1), 3-15.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Hair, J. F., Black, W. C. &amp; Babin, B. J. (2010). </w:t>
              </w:r>
              <w:r w:rsidRPr="00162181">
                <w:rPr>
                  <w:rFonts w:ascii="Cambria" w:hAnsi="Cambria"/>
                  <w:iCs/>
                  <w:noProof/>
                  <w:sz w:val="20"/>
                  <w:szCs w:val="20"/>
                </w:rPr>
                <w:t>Multivariate Data Analysis: A Global Perspective</w:t>
              </w:r>
              <w:r w:rsidRPr="00162181">
                <w:rPr>
                  <w:rFonts w:ascii="Cambria" w:hAnsi="Cambria"/>
                  <w:noProof/>
                  <w:sz w:val="20"/>
                  <w:szCs w:val="20"/>
                </w:rPr>
                <w:t xml:space="preserve"> (Vol. 7). Pearson Education.</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Hanna, N. &amp; Wozniak, R. (2001). </w:t>
              </w:r>
              <w:r w:rsidRPr="00162181">
                <w:rPr>
                  <w:rFonts w:ascii="Cambria" w:hAnsi="Cambria"/>
                  <w:iCs/>
                  <w:noProof/>
                  <w:sz w:val="20"/>
                  <w:szCs w:val="20"/>
                </w:rPr>
                <w:t>Consumer Behavior: An Applied Approach</w:t>
              </w:r>
              <w:r w:rsidRPr="00162181">
                <w:rPr>
                  <w:rFonts w:ascii="Cambria" w:hAnsi="Cambria"/>
                  <w:noProof/>
                  <w:sz w:val="20"/>
                  <w:szCs w:val="20"/>
                </w:rPr>
                <w:t xml:space="preserve"> (1st ed.). Prentice Hall, Upper Saddle River, NJ, 2001.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Hoque, A. S. &amp; Awang, Z. (2016). Exploratory factor analysis of entrepreneurial marketing: Scale development and validation in the SME context of Bangladesh. </w:t>
              </w:r>
              <w:r w:rsidRPr="00162181">
                <w:rPr>
                  <w:rFonts w:ascii="Cambria" w:hAnsi="Cambria"/>
                  <w:iCs/>
                  <w:noProof/>
                  <w:sz w:val="20"/>
                  <w:szCs w:val="20"/>
                </w:rPr>
                <w:t>Proceedings of the International Social Sciences and Tourism Research Conference</w:t>
              </w:r>
              <w:r w:rsidRPr="00162181">
                <w:rPr>
                  <w:rFonts w:ascii="Cambria" w:hAnsi="Cambria"/>
                  <w:noProof/>
                  <w:sz w:val="20"/>
                  <w:szCs w:val="20"/>
                </w:rPr>
                <w:t>, 22-38.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Hoque, A., Awang, Z., Jusoh, K. &amp; Muda, H. (2017). Social Business Efficiency: Instrument Development and Validation Procedure using Structural Equation Modelling. </w:t>
              </w:r>
              <w:r w:rsidRPr="00162181">
                <w:rPr>
                  <w:rFonts w:ascii="Cambria" w:hAnsi="Cambria"/>
                  <w:iCs/>
                  <w:noProof/>
                  <w:sz w:val="20"/>
                  <w:szCs w:val="20"/>
                </w:rPr>
                <w:t>International Business Management</w:t>
              </w:r>
              <w:r w:rsidRPr="00162181">
                <w:rPr>
                  <w:rFonts w:ascii="Cambria" w:hAnsi="Cambria"/>
                  <w:noProof/>
                  <w:sz w:val="20"/>
                  <w:szCs w:val="20"/>
                </w:rPr>
                <w:t>, 222-231.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Huseynov, F. &amp; Ozkan, S. (2016). Internet users’ attitudes toward business-to-consumer online shopping: A survey. </w:t>
              </w:r>
              <w:r w:rsidRPr="00162181">
                <w:rPr>
                  <w:rFonts w:ascii="Cambria" w:hAnsi="Cambria"/>
                  <w:i/>
                  <w:iCs/>
                  <w:noProof/>
                  <w:sz w:val="20"/>
                  <w:szCs w:val="20"/>
                </w:rPr>
                <w:t>Information Development,</w:t>
              </w:r>
              <w:r w:rsidRPr="00162181">
                <w:rPr>
                  <w:rFonts w:ascii="Cambria" w:hAnsi="Cambria"/>
                  <w:iCs/>
                  <w:noProof/>
                  <w:sz w:val="20"/>
                  <w:szCs w:val="20"/>
                </w:rPr>
                <w:t xml:space="preserve"> 32</w:t>
              </w:r>
              <w:r w:rsidRPr="00162181">
                <w:rPr>
                  <w:rFonts w:ascii="Cambria" w:hAnsi="Cambria"/>
                  <w:noProof/>
                  <w:sz w:val="20"/>
                  <w:szCs w:val="20"/>
                </w:rPr>
                <w:t>(3), 452-465.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Isa, K., Shah, J. M., Palpanadan, S. T. &amp; Isa, F. (2020). Malaysians’ Popular Online Shopping Websites during Movement Control Order (MCO). </w:t>
              </w:r>
              <w:r w:rsidRPr="00162181">
                <w:rPr>
                  <w:rFonts w:ascii="Cambria" w:hAnsi="Cambria"/>
                  <w:i/>
                  <w:iCs/>
                  <w:noProof/>
                  <w:sz w:val="20"/>
                  <w:szCs w:val="20"/>
                </w:rPr>
                <w:t>International Journal of Advanced Trends in Computer Science and Engineering,</w:t>
              </w:r>
              <w:r w:rsidRPr="00162181">
                <w:rPr>
                  <w:rFonts w:ascii="Cambria" w:hAnsi="Cambria"/>
                  <w:iCs/>
                  <w:noProof/>
                  <w:sz w:val="20"/>
                  <w:szCs w:val="20"/>
                </w:rPr>
                <w:t xml:space="preserve"> 9</w:t>
              </w:r>
              <w:r w:rsidRPr="00162181">
                <w:rPr>
                  <w:rFonts w:ascii="Cambria" w:hAnsi="Cambria"/>
                  <w:noProof/>
                  <w:sz w:val="20"/>
                  <w:szCs w:val="20"/>
                </w:rPr>
                <w:t>(2), 2154-2158.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lastRenderedPageBreak/>
                <w:t xml:space="preserve">Javadi, M. H., Dolatabadi, H. R., Nourbakhsh, M., Poursaeedi, A. &amp; Asadollahi, A. R. (2012). An Analysis of Factors Affecting on Online Shopping Behavior of Consumers. </w:t>
              </w:r>
              <w:r w:rsidRPr="00162181">
                <w:rPr>
                  <w:rFonts w:ascii="Cambria" w:hAnsi="Cambria"/>
                  <w:i/>
                  <w:iCs/>
                  <w:noProof/>
                  <w:sz w:val="20"/>
                  <w:szCs w:val="20"/>
                </w:rPr>
                <w:t>International Journal of Marketing Studies,</w:t>
              </w:r>
              <w:r w:rsidRPr="00162181">
                <w:rPr>
                  <w:rFonts w:ascii="Cambria" w:hAnsi="Cambria"/>
                  <w:iCs/>
                  <w:noProof/>
                  <w:sz w:val="20"/>
                  <w:szCs w:val="20"/>
                </w:rPr>
                <w:t xml:space="preserve"> 4</w:t>
              </w:r>
              <w:r w:rsidRPr="00162181">
                <w:rPr>
                  <w:rFonts w:ascii="Cambria" w:hAnsi="Cambria"/>
                  <w:noProof/>
                  <w:sz w:val="20"/>
                  <w:szCs w:val="20"/>
                </w:rPr>
                <w:t>(5), 81.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Khalil, D. S. &amp; Raza, A. (2018). The Influence of External Stimuli on Impulsive Buying Behaviour. </w:t>
              </w:r>
              <w:r w:rsidRPr="00162181">
                <w:rPr>
                  <w:rFonts w:ascii="Cambria" w:hAnsi="Cambria"/>
                  <w:i/>
                  <w:iCs/>
                  <w:noProof/>
                  <w:sz w:val="20"/>
                  <w:szCs w:val="20"/>
                </w:rPr>
                <w:t xml:space="preserve">Journal of Business &amp; Tourism, </w:t>
              </w:r>
              <w:r w:rsidRPr="00162181">
                <w:rPr>
                  <w:rFonts w:ascii="Cambria" w:hAnsi="Cambria"/>
                  <w:iCs/>
                  <w:noProof/>
                  <w:sz w:val="20"/>
                  <w:szCs w:val="20"/>
                </w:rPr>
                <w:t>4</w:t>
              </w:r>
              <w:r w:rsidRPr="00162181">
                <w:rPr>
                  <w:rFonts w:ascii="Cambria" w:hAnsi="Cambria"/>
                  <w:noProof/>
                  <w:sz w:val="20"/>
                  <w:szCs w:val="20"/>
                </w:rPr>
                <w:t>(1), 97-116.</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Kimiagari, S. &amp; Malafe, N. S. (2021). The role of cognitive and affective responses in the relationship between internal and external stimuli on online impulse buying behavior. </w:t>
              </w:r>
              <w:r w:rsidRPr="00162181">
                <w:rPr>
                  <w:rFonts w:ascii="Cambria" w:hAnsi="Cambria"/>
                  <w:iCs/>
                  <w:noProof/>
                  <w:sz w:val="20"/>
                  <w:szCs w:val="20"/>
                </w:rPr>
                <w:t>Journal of Retailing and Consumer Services, 61</w:t>
              </w:r>
              <w:r w:rsidRPr="00162181">
                <w:rPr>
                  <w:rFonts w:ascii="Cambria" w:hAnsi="Cambria"/>
                  <w:noProof/>
                  <w:sz w:val="20"/>
                  <w:szCs w:val="20"/>
                </w:rPr>
                <w:t>.</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Kuleh, Y. &amp; Setyadi, D. (2016). The Effect of Brand Trust and Affection on the Attitudinal and Purchase Loyalty of Cellular Telecommunication Customers in East Kalimantan – Indonesia. </w:t>
              </w:r>
              <w:r w:rsidRPr="00162181">
                <w:rPr>
                  <w:rFonts w:ascii="Cambria" w:hAnsi="Cambria"/>
                  <w:i/>
                  <w:iCs/>
                  <w:noProof/>
                  <w:sz w:val="20"/>
                  <w:szCs w:val="20"/>
                </w:rPr>
                <w:t>European Journal of Business and Management,</w:t>
              </w:r>
              <w:r w:rsidRPr="00162181">
                <w:rPr>
                  <w:rFonts w:ascii="Cambria" w:hAnsi="Cambria"/>
                  <w:iCs/>
                  <w:noProof/>
                  <w:sz w:val="20"/>
                  <w:szCs w:val="20"/>
                </w:rPr>
                <w:t xml:space="preserve"> 8</w:t>
              </w:r>
              <w:r w:rsidRPr="00162181">
                <w:rPr>
                  <w:rFonts w:ascii="Cambria" w:hAnsi="Cambria"/>
                  <w:noProof/>
                  <w:sz w:val="20"/>
                  <w:szCs w:val="20"/>
                </w:rPr>
                <w:t>(24), 86-95.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Lee, C. H. &amp; Chen, C. W. (2021). Impulse Buying Behaviors in Live Streaming Commerce Based on the Stimulus-Organism-Response Framework. </w:t>
              </w:r>
              <w:r w:rsidRPr="00162181">
                <w:rPr>
                  <w:rFonts w:ascii="Cambria" w:hAnsi="Cambria"/>
                  <w:i/>
                  <w:iCs/>
                  <w:noProof/>
                  <w:sz w:val="20"/>
                  <w:szCs w:val="20"/>
                </w:rPr>
                <w:t xml:space="preserve">Information Technology and Consumer Behavior: Challenges and Opportunities, </w:t>
              </w:r>
              <w:r w:rsidRPr="00162181">
                <w:rPr>
                  <w:rFonts w:ascii="Cambria" w:hAnsi="Cambria"/>
                  <w:iCs/>
                  <w:noProof/>
                  <w:sz w:val="20"/>
                  <w:szCs w:val="20"/>
                </w:rPr>
                <w:t>12</w:t>
              </w:r>
              <w:r w:rsidRPr="00162181">
                <w:rPr>
                  <w:rFonts w:ascii="Cambria" w:hAnsi="Cambria"/>
                  <w:noProof/>
                  <w:sz w:val="20"/>
                  <w:szCs w:val="20"/>
                </w:rPr>
                <w:t>(6), 241.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Lee, Y. &amp; Kozar, K. A. (2006). Investigating the effect of website quality on e-business success: An analytic hierarchy process (AHP) approach. </w:t>
              </w:r>
              <w:r w:rsidRPr="00162181">
                <w:rPr>
                  <w:rFonts w:ascii="Cambria" w:hAnsi="Cambria"/>
                  <w:i/>
                  <w:iCs/>
                  <w:noProof/>
                  <w:sz w:val="20"/>
                  <w:szCs w:val="20"/>
                </w:rPr>
                <w:t xml:space="preserve">Decision Support Systems, </w:t>
              </w:r>
              <w:r w:rsidRPr="00162181">
                <w:rPr>
                  <w:rFonts w:ascii="Cambria" w:hAnsi="Cambria"/>
                  <w:iCs/>
                  <w:noProof/>
                  <w:sz w:val="20"/>
                  <w:szCs w:val="20"/>
                </w:rPr>
                <w:t>42</w:t>
              </w:r>
              <w:r w:rsidRPr="00162181">
                <w:rPr>
                  <w:rFonts w:ascii="Cambria" w:hAnsi="Cambria"/>
                  <w:noProof/>
                  <w:sz w:val="20"/>
                  <w:szCs w:val="20"/>
                </w:rPr>
                <w:t>(3), 1383-1401.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Lennon, S. J., Ha, Y. &amp; Lyons, N. (2009). Rural Consumers' Online Shopping for Food and Fiber Products as a Form of Outshopping. </w:t>
              </w:r>
              <w:r w:rsidRPr="00162181">
                <w:rPr>
                  <w:rFonts w:ascii="Cambria" w:hAnsi="Cambria"/>
                  <w:i/>
                  <w:iCs/>
                  <w:noProof/>
                  <w:sz w:val="20"/>
                  <w:szCs w:val="20"/>
                </w:rPr>
                <w:t>Clothing and Textiles Research Journal,</w:t>
              </w:r>
              <w:r w:rsidRPr="00162181">
                <w:rPr>
                  <w:rFonts w:ascii="Cambria" w:hAnsi="Cambria"/>
                  <w:iCs/>
                  <w:noProof/>
                  <w:sz w:val="20"/>
                  <w:szCs w:val="20"/>
                </w:rPr>
                <w:t xml:space="preserve"> 27</w:t>
              </w:r>
              <w:r w:rsidRPr="00162181">
                <w:rPr>
                  <w:rFonts w:ascii="Cambria" w:hAnsi="Cambria"/>
                  <w:noProof/>
                  <w:sz w:val="20"/>
                  <w:szCs w:val="20"/>
                </w:rPr>
                <w:t>(1), 3-30.</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Lerner, J. S. &amp; Tiedens, L. Z. (2006). Portrait of the angry decision maker: How appraisal tendencies shape anger's influence on cognition. </w:t>
              </w:r>
              <w:r w:rsidRPr="00162181">
                <w:rPr>
                  <w:rFonts w:ascii="Cambria" w:hAnsi="Cambria"/>
                  <w:i/>
                  <w:iCs/>
                  <w:noProof/>
                  <w:sz w:val="20"/>
                  <w:szCs w:val="20"/>
                </w:rPr>
                <w:t xml:space="preserve">Journal of Behavioral Decision Making, </w:t>
              </w:r>
              <w:r w:rsidRPr="00162181">
                <w:rPr>
                  <w:rFonts w:ascii="Cambria" w:hAnsi="Cambria"/>
                  <w:iCs/>
                  <w:noProof/>
                  <w:sz w:val="20"/>
                  <w:szCs w:val="20"/>
                </w:rPr>
                <w:t>19</w:t>
              </w:r>
              <w:r w:rsidRPr="00162181">
                <w:rPr>
                  <w:rFonts w:ascii="Cambria" w:hAnsi="Cambria"/>
                  <w:noProof/>
                  <w:sz w:val="20"/>
                  <w:szCs w:val="20"/>
                </w:rPr>
                <w:t>(2), 115-137.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Li, Y. (2022). A Study on the Influence of External Stimuli and Psychological Processes on Stationery Purchase Behavior Based on SOR. </w:t>
              </w:r>
              <w:r w:rsidRPr="00162181">
                <w:rPr>
                  <w:rFonts w:ascii="Cambria" w:hAnsi="Cambria"/>
                  <w:i/>
                  <w:iCs/>
                  <w:noProof/>
                  <w:sz w:val="20"/>
                  <w:szCs w:val="20"/>
                </w:rPr>
                <w:t>Proceedings of Business and Economic Studies,</w:t>
              </w:r>
              <w:r w:rsidRPr="00162181">
                <w:rPr>
                  <w:rFonts w:ascii="Cambria" w:hAnsi="Cambria"/>
                  <w:iCs/>
                  <w:noProof/>
                  <w:sz w:val="20"/>
                  <w:szCs w:val="20"/>
                </w:rPr>
                <w:t xml:space="preserve"> 5</w:t>
              </w:r>
              <w:r w:rsidRPr="00162181">
                <w:rPr>
                  <w:rFonts w:ascii="Cambria" w:hAnsi="Cambria"/>
                  <w:noProof/>
                  <w:sz w:val="20"/>
                  <w:szCs w:val="20"/>
                </w:rPr>
                <w:t>(4), 79-87.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Mallapragada, G., Chandukala, S. R. &amp; Liu, Q. (2016). Exploring the Effects of “What” (Product) and “Where” (Website) Characteristics on Online Shopping Behavior. </w:t>
              </w:r>
              <w:r w:rsidRPr="00162181">
                <w:rPr>
                  <w:rFonts w:ascii="Cambria" w:hAnsi="Cambria"/>
                  <w:i/>
                  <w:iCs/>
                  <w:noProof/>
                  <w:sz w:val="20"/>
                  <w:szCs w:val="20"/>
                </w:rPr>
                <w:t xml:space="preserve">Journal of Marketing, </w:t>
              </w:r>
              <w:r w:rsidRPr="00162181">
                <w:rPr>
                  <w:rFonts w:ascii="Cambria" w:hAnsi="Cambria"/>
                  <w:iCs/>
                  <w:noProof/>
                  <w:sz w:val="20"/>
                  <w:szCs w:val="20"/>
                </w:rPr>
                <w:t>80</w:t>
              </w:r>
              <w:r w:rsidRPr="00162181">
                <w:rPr>
                  <w:rFonts w:ascii="Cambria" w:hAnsi="Cambria"/>
                  <w:noProof/>
                  <w:sz w:val="20"/>
                  <w:szCs w:val="20"/>
                </w:rPr>
                <w:t>(2), 21-38.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Mis, C. (2022). Emotional Impacts of Online Purchasing Behaviour During the COVID-19 Pandemic. </w:t>
              </w:r>
              <w:r w:rsidRPr="00162181">
                <w:rPr>
                  <w:rFonts w:ascii="Cambria" w:hAnsi="Cambria"/>
                  <w:iCs/>
                  <w:noProof/>
                  <w:sz w:val="20"/>
                  <w:szCs w:val="20"/>
                </w:rPr>
                <w:t>The European Conference on Media, Communication &amp; Film 2022</w:t>
              </w:r>
              <w:r w:rsidRPr="00162181">
                <w:rPr>
                  <w:rFonts w:ascii="Cambria" w:hAnsi="Cambria"/>
                  <w:noProof/>
                  <w:sz w:val="20"/>
                  <w:szCs w:val="20"/>
                </w:rPr>
                <w:t>, 41-50.</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Mittal, A. (2013). E-commerce: Its Impact on Consumer Behavior. </w:t>
              </w:r>
              <w:r w:rsidRPr="00162181">
                <w:rPr>
                  <w:rFonts w:ascii="Cambria" w:hAnsi="Cambria"/>
                  <w:i/>
                  <w:iCs/>
                  <w:noProof/>
                  <w:sz w:val="20"/>
                  <w:szCs w:val="20"/>
                </w:rPr>
                <w:t>Global Journal of Management and Business Studies,</w:t>
              </w:r>
              <w:r w:rsidRPr="00162181">
                <w:rPr>
                  <w:rFonts w:ascii="Cambria" w:hAnsi="Cambria"/>
                  <w:iCs/>
                  <w:noProof/>
                  <w:sz w:val="20"/>
                  <w:szCs w:val="20"/>
                </w:rPr>
                <w:t xml:space="preserve"> 3</w:t>
              </w:r>
              <w:r w:rsidRPr="00162181">
                <w:rPr>
                  <w:rFonts w:ascii="Cambria" w:hAnsi="Cambria"/>
                  <w:noProof/>
                  <w:sz w:val="20"/>
                  <w:szCs w:val="20"/>
                </w:rPr>
                <w:t>(2), 131-138.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Musa, R., Nasaratnam, S., Rethinam, K., Varatharajoo, P. M. &amp; Shanmugam, A. (2022). A Study of Factors Influenced Online Shopping Behavior in Malaysia:. </w:t>
              </w:r>
              <w:r w:rsidRPr="00162181">
                <w:rPr>
                  <w:rFonts w:ascii="Cambria" w:hAnsi="Cambria"/>
                  <w:i/>
                  <w:iCs/>
                  <w:noProof/>
                  <w:sz w:val="20"/>
                  <w:szCs w:val="20"/>
                </w:rPr>
                <w:t xml:space="preserve">WSEAS Transactions on Business and Economics, </w:t>
              </w:r>
              <w:r w:rsidRPr="00162181">
                <w:rPr>
                  <w:rFonts w:ascii="Cambria" w:hAnsi="Cambria"/>
                  <w:iCs/>
                  <w:noProof/>
                  <w:sz w:val="20"/>
                  <w:szCs w:val="20"/>
                </w:rPr>
                <w:t>19</w:t>
              </w:r>
              <w:r w:rsidRPr="00162181">
                <w:rPr>
                  <w:rFonts w:ascii="Cambria" w:hAnsi="Cambria"/>
                  <w:noProof/>
                  <w:sz w:val="20"/>
                  <w:szCs w:val="20"/>
                </w:rPr>
                <w:t>, 531-541.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Mustakim, N. A., Hassan, Z., Sauid, M. K., Ebrahim, Z. B. &amp; Mokhtar, N. (2022). Factors Affecting Customer Satisfaction on Shopee. </w:t>
              </w:r>
              <w:r w:rsidRPr="00162181">
                <w:rPr>
                  <w:rFonts w:ascii="Cambria" w:hAnsi="Cambria"/>
                  <w:i/>
                  <w:iCs/>
                  <w:noProof/>
                  <w:sz w:val="20"/>
                  <w:szCs w:val="20"/>
                </w:rPr>
                <w:t xml:space="preserve">International Journal of Academic Research in Business and Social Sciences, </w:t>
              </w:r>
              <w:r w:rsidRPr="00162181">
                <w:rPr>
                  <w:rFonts w:ascii="Cambria" w:hAnsi="Cambria"/>
                  <w:iCs/>
                  <w:noProof/>
                  <w:sz w:val="20"/>
                  <w:szCs w:val="20"/>
                </w:rPr>
                <w:t>12</w:t>
              </w:r>
              <w:r w:rsidRPr="00162181">
                <w:rPr>
                  <w:rFonts w:ascii="Cambria" w:hAnsi="Cambria"/>
                  <w:noProof/>
                  <w:sz w:val="20"/>
                  <w:szCs w:val="20"/>
                </w:rPr>
                <w:t>(10), 544 – 556.</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Ozen, H. &amp; Engizek, N. (2014). Shopping online without thinking: being emotional or rational? </w:t>
              </w:r>
              <w:r w:rsidRPr="00162181">
                <w:rPr>
                  <w:rFonts w:ascii="Cambria" w:hAnsi="Cambria"/>
                  <w:i/>
                  <w:iCs/>
                  <w:noProof/>
                  <w:sz w:val="20"/>
                  <w:szCs w:val="20"/>
                </w:rPr>
                <w:t>Asia Pacific Journal of Marketing and Logistics,</w:t>
              </w:r>
              <w:r w:rsidRPr="00162181">
                <w:rPr>
                  <w:rFonts w:ascii="Cambria" w:hAnsi="Cambria"/>
                  <w:iCs/>
                  <w:noProof/>
                  <w:sz w:val="20"/>
                  <w:szCs w:val="20"/>
                </w:rPr>
                <w:t xml:space="preserve"> 26</w:t>
              </w:r>
              <w:r w:rsidRPr="00162181">
                <w:rPr>
                  <w:rFonts w:ascii="Cambria" w:hAnsi="Cambria"/>
                  <w:noProof/>
                  <w:sz w:val="20"/>
                  <w:szCs w:val="20"/>
                </w:rPr>
                <w:t>(1), 78-93.</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Pandey, A. &amp; Parmar, J. (2019). Factors Affecting Consumer's Online Shopping Buying Behavior. </w:t>
              </w:r>
              <w:r w:rsidRPr="00162181">
                <w:rPr>
                  <w:rFonts w:ascii="Cambria" w:hAnsi="Cambria"/>
                  <w:iCs/>
                  <w:noProof/>
                  <w:sz w:val="20"/>
                  <w:szCs w:val="20"/>
                </w:rPr>
                <w:t>Proceedings of 10th International Conference on Digital Strategies for Organizational Success</w:t>
              </w:r>
              <w:r w:rsidRPr="00162181">
                <w:rPr>
                  <w:rFonts w:ascii="Cambria" w:hAnsi="Cambria"/>
                  <w:noProof/>
                  <w:sz w:val="20"/>
                  <w:szCs w:val="20"/>
                </w:rPr>
                <w:t>, 541-548.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Park, D. H., Lee, J. &amp; Han, I. (2007). The Effect of On-Line Consumer Reviews on Consumer Purchasing Intention: The Moderating Role of Involvement. </w:t>
              </w:r>
              <w:r w:rsidRPr="00162181">
                <w:rPr>
                  <w:rFonts w:ascii="Cambria" w:hAnsi="Cambria"/>
                  <w:i/>
                  <w:iCs/>
                  <w:noProof/>
                  <w:sz w:val="20"/>
                  <w:szCs w:val="20"/>
                </w:rPr>
                <w:t>International Journal of Electronic Commerce,</w:t>
              </w:r>
              <w:r w:rsidRPr="00162181">
                <w:rPr>
                  <w:rFonts w:ascii="Cambria" w:hAnsi="Cambria"/>
                  <w:iCs/>
                  <w:noProof/>
                  <w:sz w:val="20"/>
                  <w:szCs w:val="20"/>
                </w:rPr>
                <w:t xml:space="preserve"> 11</w:t>
              </w:r>
              <w:r w:rsidRPr="00162181">
                <w:rPr>
                  <w:rFonts w:ascii="Cambria" w:hAnsi="Cambria"/>
                  <w:noProof/>
                  <w:sz w:val="20"/>
                  <w:szCs w:val="20"/>
                </w:rPr>
                <w:t>(4), 125-148.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Peter, J., Olson, J. &amp; Grunert, K. (1999). </w:t>
              </w:r>
              <w:r w:rsidRPr="00162181">
                <w:rPr>
                  <w:rFonts w:ascii="Cambria" w:hAnsi="Cambria"/>
                  <w:iCs/>
                  <w:noProof/>
                  <w:sz w:val="20"/>
                  <w:szCs w:val="20"/>
                </w:rPr>
                <w:t>Consumer behavior and marketing strategy.</w:t>
              </w:r>
              <w:r w:rsidRPr="00162181">
                <w:rPr>
                  <w:rFonts w:ascii="Cambria" w:hAnsi="Cambria"/>
                  <w:noProof/>
                  <w:sz w:val="20"/>
                  <w:szCs w:val="20"/>
                </w:rPr>
                <w:t xml:space="preserve"> McGraw Hill Higher Education.</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Pritchett, B., Pritchett, T. K. &amp; Kotler, P. (2003). </w:t>
              </w:r>
              <w:r w:rsidRPr="00162181">
                <w:rPr>
                  <w:rFonts w:ascii="Cambria" w:hAnsi="Cambria"/>
                  <w:iCs/>
                  <w:noProof/>
                  <w:sz w:val="20"/>
                  <w:szCs w:val="20"/>
                </w:rPr>
                <w:t>Test Item File [to Accompany Philip Kotler], Marketing Management.</w:t>
              </w:r>
              <w:r w:rsidRPr="00162181">
                <w:rPr>
                  <w:rFonts w:ascii="Cambria" w:hAnsi="Cambria"/>
                  <w:noProof/>
                  <w:sz w:val="20"/>
                  <w:szCs w:val="20"/>
                </w:rPr>
                <w:t xml:space="preserve"> Prentice Hall.</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Rahman, M. A., Islam, M. A., Esha, B. H., Sultana, N., Chakravorty, S. &amp; Molnar, A. (2018). Consumer buying behavior towards online shopping: An empirical study on Dhaka city, Bangladesh. </w:t>
              </w:r>
              <w:r w:rsidRPr="00162181">
                <w:rPr>
                  <w:rFonts w:ascii="Cambria" w:hAnsi="Cambria"/>
                  <w:i/>
                  <w:iCs/>
                  <w:noProof/>
                  <w:sz w:val="20"/>
                  <w:szCs w:val="20"/>
                </w:rPr>
                <w:t xml:space="preserve">Cogent Business &amp; Management, </w:t>
              </w:r>
              <w:r w:rsidRPr="00162181">
                <w:rPr>
                  <w:rFonts w:ascii="Cambria" w:hAnsi="Cambria"/>
                  <w:iCs/>
                  <w:noProof/>
                  <w:sz w:val="20"/>
                  <w:szCs w:val="20"/>
                </w:rPr>
                <w:t>5</w:t>
              </w:r>
              <w:r w:rsidRPr="00162181">
                <w:rPr>
                  <w:rFonts w:ascii="Cambria" w:hAnsi="Cambria"/>
                  <w:noProof/>
                  <w:sz w:val="20"/>
                  <w:szCs w:val="20"/>
                </w:rPr>
                <w:t>(1).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Rasli, S., Khairi, N., Ayathuray, H. &amp; Sudirman, M. S. (2018). The Effect of E-Business Website Quality on Customer Satisfaction. </w:t>
              </w:r>
              <w:r w:rsidRPr="00162181">
                <w:rPr>
                  <w:rFonts w:ascii="Cambria" w:hAnsi="Cambria"/>
                  <w:i/>
                  <w:iCs/>
                  <w:noProof/>
                  <w:sz w:val="20"/>
                  <w:szCs w:val="20"/>
                </w:rPr>
                <w:t>Selangor Business Review,</w:t>
              </w:r>
              <w:r w:rsidRPr="00162181">
                <w:rPr>
                  <w:rFonts w:ascii="Cambria" w:hAnsi="Cambria"/>
                  <w:iCs/>
                  <w:noProof/>
                  <w:sz w:val="20"/>
                  <w:szCs w:val="20"/>
                </w:rPr>
                <w:t xml:space="preserve"> 3</w:t>
              </w:r>
              <w:r w:rsidRPr="00162181">
                <w:rPr>
                  <w:rFonts w:ascii="Cambria" w:hAnsi="Cambria"/>
                  <w:noProof/>
                  <w:sz w:val="20"/>
                  <w:szCs w:val="20"/>
                </w:rPr>
                <w:t>(1), 37-45.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Saeeda, S., Naqvib, M. &amp; Memon, M. (2020). E-Commerce Web Crawling to Facilitate Consumers for Economical Choices. </w:t>
              </w:r>
              <w:r w:rsidRPr="00162181">
                <w:rPr>
                  <w:rFonts w:ascii="Cambria" w:hAnsi="Cambria"/>
                  <w:i/>
                  <w:iCs/>
                  <w:noProof/>
                  <w:sz w:val="20"/>
                  <w:szCs w:val="20"/>
                </w:rPr>
                <w:t xml:space="preserve">International Journal of Advanced Computer Systems and Software Engineering, </w:t>
              </w:r>
              <w:r w:rsidRPr="00162181">
                <w:rPr>
                  <w:rFonts w:ascii="Cambria" w:hAnsi="Cambria"/>
                  <w:iCs/>
                  <w:noProof/>
                  <w:sz w:val="20"/>
                  <w:szCs w:val="20"/>
                </w:rPr>
                <w:t>1</w:t>
              </w:r>
              <w:r w:rsidRPr="00162181">
                <w:rPr>
                  <w:rFonts w:ascii="Cambria" w:hAnsi="Cambria"/>
                  <w:noProof/>
                  <w:sz w:val="20"/>
                  <w:szCs w:val="20"/>
                </w:rPr>
                <w:t>(1), 1-13.</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Sawyer, A. G. (1984). Psychological perspective on consumer response to sale promotion, research on sale promotion: collected paper. </w:t>
              </w:r>
              <w:r w:rsidRPr="00162181">
                <w:rPr>
                  <w:rFonts w:ascii="Cambria" w:hAnsi="Cambria"/>
                  <w:i/>
                  <w:iCs/>
                  <w:noProof/>
                  <w:sz w:val="20"/>
                  <w:szCs w:val="20"/>
                </w:rPr>
                <w:t>Market Science Institute,</w:t>
              </w:r>
              <w:r w:rsidRPr="00162181">
                <w:rPr>
                  <w:rFonts w:ascii="Cambria" w:hAnsi="Cambria"/>
                  <w:iCs/>
                  <w:noProof/>
                  <w:sz w:val="20"/>
                  <w:szCs w:val="20"/>
                </w:rPr>
                <w:t xml:space="preserve"> 1</w:t>
              </w:r>
              <w:r w:rsidRPr="00162181">
                <w:rPr>
                  <w:rFonts w:ascii="Cambria" w:hAnsi="Cambria"/>
                  <w:noProof/>
                  <w:sz w:val="20"/>
                  <w:szCs w:val="20"/>
                </w:rPr>
                <w:t>, 21.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lastRenderedPageBreak/>
                <w:t xml:space="preserve">Sekaran, U. &amp; Bougie, R. (2016). </w:t>
              </w:r>
              <w:r w:rsidRPr="00162181">
                <w:rPr>
                  <w:rFonts w:ascii="Cambria" w:hAnsi="Cambria"/>
                  <w:iCs/>
                  <w:noProof/>
                  <w:sz w:val="20"/>
                  <w:szCs w:val="20"/>
                </w:rPr>
                <w:t>Research methods for business: A skill building approach.</w:t>
              </w:r>
              <w:r w:rsidRPr="00162181">
                <w:rPr>
                  <w:rFonts w:ascii="Cambria" w:hAnsi="Cambria"/>
                  <w:noProof/>
                  <w:sz w:val="20"/>
                  <w:szCs w:val="20"/>
                </w:rPr>
                <w:t xml:space="preserve"> John Wiley &amp; Sons.</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Shaheen, M., Cheng, B. L. &amp; Lee, H. S. (2012). A Study Of E-Shopping Intention In Malaysia: The Influence Of Generation X &amp; Y. </w:t>
              </w:r>
              <w:r w:rsidRPr="00162181">
                <w:rPr>
                  <w:rFonts w:ascii="Cambria" w:hAnsi="Cambria"/>
                  <w:i/>
                  <w:iCs/>
                  <w:noProof/>
                  <w:sz w:val="20"/>
                  <w:szCs w:val="20"/>
                </w:rPr>
                <w:t>Australian Journal of Basic and Applied Sciences,</w:t>
              </w:r>
              <w:r w:rsidRPr="00162181">
                <w:rPr>
                  <w:rFonts w:ascii="Cambria" w:hAnsi="Cambria"/>
                  <w:iCs/>
                  <w:noProof/>
                  <w:sz w:val="20"/>
                  <w:szCs w:val="20"/>
                </w:rPr>
                <w:t xml:space="preserve"> 6</w:t>
              </w:r>
              <w:r w:rsidRPr="00162181">
                <w:rPr>
                  <w:rFonts w:ascii="Cambria" w:hAnsi="Cambria"/>
                  <w:noProof/>
                  <w:sz w:val="20"/>
                  <w:szCs w:val="20"/>
                </w:rPr>
                <w:t>(8), 28-35.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lang w:val="nl-NL"/>
                </w:rPr>
                <w:t xml:space="preserve">Shalini, G. R. &amp; HemaMalini, K. S. (2015). </w:t>
              </w:r>
              <w:r w:rsidRPr="00162181">
                <w:rPr>
                  <w:rFonts w:ascii="Cambria" w:hAnsi="Cambria"/>
                  <w:noProof/>
                  <w:sz w:val="20"/>
                  <w:szCs w:val="20"/>
                </w:rPr>
                <w:t xml:space="preserve">A study of online shopping website characteristics and its impact on consumer intention to purchase online in Chennai. </w:t>
              </w:r>
              <w:r w:rsidRPr="00162181">
                <w:rPr>
                  <w:rFonts w:ascii="Cambria" w:hAnsi="Cambria"/>
                  <w:i/>
                  <w:iCs/>
                  <w:noProof/>
                  <w:sz w:val="20"/>
                  <w:szCs w:val="20"/>
                </w:rPr>
                <w:t>International Research Journal of Engineering and Technology,</w:t>
              </w:r>
              <w:r w:rsidRPr="00162181">
                <w:rPr>
                  <w:rFonts w:ascii="Cambria" w:hAnsi="Cambria"/>
                  <w:iCs/>
                  <w:noProof/>
                  <w:sz w:val="20"/>
                  <w:szCs w:val="20"/>
                </w:rPr>
                <w:t xml:space="preserve"> 2</w:t>
              </w:r>
              <w:r w:rsidRPr="00162181">
                <w:rPr>
                  <w:rFonts w:ascii="Cambria" w:hAnsi="Cambria"/>
                  <w:noProof/>
                  <w:sz w:val="20"/>
                  <w:szCs w:val="20"/>
                </w:rPr>
                <w:t>(9), 412-418.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Singh, A. K. &amp; Sailo, M. (2013). Consumer Behavior in Online Shopping: A Study of Aizawl. </w:t>
              </w:r>
              <w:r w:rsidRPr="00162181">
                <w:rPr>
                  <w:rFonts w:ascii="Cambria" w:hAnsi="Cambria"/>
                  <w:i/>
                  <w:iCs/>
                  <w:noProof/>
                  <w:sz w:val="20"/>
                  <w:szCs w:val="20"/>
                </w:rPr>
                <w:t>International Journal of Business &amp; Management Research (IJBMR),</w:t>
              </w:r>
              <w:r w:rsidRPr="00162181">
                <w:rPr>
                  <w:rFonts w:ascii="Cambria" w:hAnsi="Cambria"/>
                  <w:iCs/>
                  <w:noProof/>
                  <w:sz w:val="20"/>
                  <w:szCs w:val="20"/>
                </w:rPr>
                <w:t xml:space="preserve"> 1</w:t>
              </w:r>
              <w:r w:rsidRPr="00162181">
                <w:rPr>
                  <w:rFonts w:ascii="Cambria" w:hAnsi="Cambria"/>
                  <w:noProof/>
                  <w:sz w:val="20"/>
                  <w:szCs w:val="20"/>
                </w:rPr>
                <w:t>(3), 45-49.</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Tao, H., Sun, X., Liu, X., Tian, J. &amp; Zhang, D. (2022). The Impact of Consumer Purchase Behavior Changes on the Business Model Design of Consumer Services Companies Over the Course of COVID-19. </w:t>
              </w:r>
              <w:r w:rsidRPr="00162181">
                <w:rPr>
                  <w:rFonts w:ascii="Cambria" w:hAnsi="Cambria"/>
                  <w:i/>
                  <w:iCs/>
                  <w:noProof/>
                  <w:sz w:val="20"/>
                  <w:szCs w:val="20"/>
                </w:rPr>
                <w:t>Frontiers in Psychology,</w:t>
              </w:r>
              <w:r w:rsidRPr="00162181">
                <w:rPr>
                  <w:rFonts w:ascii="Cambria" w:hAnsi="Cambria"/>
                  <w:iCs/>
                  <w:noProof/>
                  <w:sz w:val="20"/>
                  <w:szCs w:val="20"/>
                </w:rPr>
                <w:t xml:space="preserve"> 13</w:t>
              </w:r>
              <w:r w:rsidRPr="00162181">
                <w:rPr>
                  <w:rFonts w:ascii="Cambria" w:hAnsi="Cambria"/>
                  <w:noProof/>
                  <w:sz w:val="20"/>
                  <w:szCs w:val="20"/>
                </w:rPr>
                <w:t>, 1-14.</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Vasudevan, P. &amp; Arokiasamy, L. (2021). Online shopping among the young generation in Malaysia. </w:t>
              </w:r>
              <w:r w:rsidRPr="00162181">
                <w:rPr>
                  <w:rFonts w:ascii="Cambria" w:hAnsi="Cambria"/>
                  <w:i/>
                  <w:iCs/>
                  <w:noProof/>
                  <w:sz w:val="20"/>
                  <w:szCs w:val="20"/>
                </w:rPr>
                <w:t>Electronic Journal of Business and Management,</w:t>
              </w:r>
              <w:r w:rsidRPr="00162181">
                <w:rPr>
                  <w:rFonts w:ascii="Cambria" w:hAnsi="Cambria"/>
                  <w:iCs/>
                  <w:noProof/>
                  <w:sz w:val="20"/>
                  <w:szCs w:val="20"/>
                </w:rPr>
                <w:t xml:space="preserve"> 6</w:t>
              </w:r>
              <w:r w:rsidRPr="00162181">
                <w:rPr>
                  <w:rFonts w:ascii="Cambria" w:hAnsi="Cambria"/>
                  <w:noProof/>
                  <w:sz w:val="20"/>
                  <w:szCs w:val="20"/>
                </w:rPr>
                <w:t>(1), 31-38.</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Vishnu, P. &amp; Raheem, A. R. (2013). Factors influencing impulse buying behavior. </w:t>
              </w:r>
              <w:r w:rsidRPr="00162181">
                <w:rPr>
                  <w:rFonts w:ascii="Cambria" w:hAnsi="Cambria"/>
                  <w:i/>
                  <w:iCs/>
                  <w:noProof/>
                  <w:sz w:val="20"/>
                  <w:szCs w:val="20"/>
                </w:rPr>
                <w:t>European Journal of Scientific Research,</w:t>
              </w:r>
              <w:r w:rsidRPr="00162181">
                <w:rPr>
                  <w:rFonts w:ascii="Cambria" w:hAnsi="Cambria"/>
                  <w:iCs/>
                  <w:noProof/>
                  <w:sz w:val="20"/>
                  <w:szCs w:val="20"/>
                </w:rPr>
                <w:t xml:space="preserve"> 100</w:t>
              </w:r>
              <w:r w:rsidRPr="00162181">
                <w:rPr>
                  <w:rFonts w:ascii="Cambria" w:hAnsi="Cambria"/>
                  <w:noProof/>
                  <w:sz w:val="20"/>
                  <w:szCs w:val="20"/>
                </w:rPr>
                <w:t>(3), 68-79.</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Visinescu, L. L., Sidorova, A., Jones, M. C. &amp; Prybutok, V. R. (2015). The influence of website dimensionality on customer experiences, perceptions and behavioral intentions: An exploration of 2D vs. 3D web design. </w:t>
              </w:r>
              <w:r w:rsidRPr="00162181">
                <w:rPr>
                  <w:rFonts w:ascii="Cambria" w:hAnsi="Cambria"/>
                  <w:i/>
                  <w:iCs/>
                  <w:noProof/>
                  <w:sz w:val="20"/>
                  <w:szCs w:val="20"/>
                </w:rPr>
                <w:t>Information &amp; Management,</w:t>
              </w:r>
              <w:r w:rsidRPr="00162181">
                <w:rPr>
                  <w:rFonts w:ascii="Cambria" w:hAnsi="Cambria"/>
                  <w:iCs/>
                  <w:noProof/>
                  <w:sz w:val="20"/>
                  <w:szCs w:val="20"/>
                </w:rPr>
                <w:t xml:space="preserve"> 52</w:t>
              </w:r>
              <w:r w:rsidRPr="00162181">
                <w:rPr>
                  <w:rFonts w:ascii="Cambria" w:hAnsi="Cambria"/>
                  <w:noProof/>
                  <w:sz w:val="20"/>
                  <w:szCs w:val="20"/>
                </w:rPr>
                <w:t>(1), 1-17.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Wang, Y. (2021). Research on E-commerce Platform of Online Shopping Consumers. </w:t>
              </w:r>
              <w:r w:rsidRPr="00162181">
                <w:rPr>
                  <w:rFonts w:ascii="Cambria" w:hAnsi="Cambria"/>
                  <w:iCs/>
                  <w:noProof/>
                  <w:sz w:val="20"/>
                  <w:szCs w:val="20"/>
                </w:rPr>
                <w:t>Proceedings of the 2021 3rd International Conference on Economic Management and Cultural Industry (ICEMCI 2021)</w:t>
              </w:r>
              <w:r w:rsidRPr="00162181">
                <w:rPr>
                  <w:rFonts w:ascii="Cambria" w:hAnsi="Cambria"/>
                  <w:noProof/>
                  <w:sz w:val="20"/>
                  <w:szCs w:val="20"/>
                </w:rPr>
                <w:t>, 3031-3035.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Wen, T. S., Satar, N. M., Ishak, N. A. &amp; Ating, R. (2020). Consumer intention towards online shopping in Malaysia. </w:t>
              </w:r>
              <w:r w:rsidRPr="00162181">
                <w:rPr>
                  <w:rFonts w:ascii="Cambria" w:hAnsi="Cambria"/>
                  <w:i/>
                  <w:iCs/>
                  <w:noProof/>
                  <w:sz w:val="20"/>
                  <w:szCs w:val="20"/>
                </w:rPr>
                <w:t>International Journal of Accounting, Finance and Business (IJAFB),</w:t>
              </w:r>
              <w:r w:rsidRPr="00162181">
                <w:rPr>
                  <w:rFonts w:ascii="Cambria" w:hAnsi="Cambria"/>
                  <w:iCs/>
                  <w:noProof/>
                  <w:sz w:val="20"/>
                  <w:szCs w:val="20"/>
                </w:rPr>
                <w:t xml:space="preserve"> 5</w:t>
              </w:r>
              <w:r w:rsidRPr="00162181">
                <w:rPr>
                  <w:rFonts w:ascii="Cambria" w:hAnsi="Cambria"/>
                  <w:noProof/>
                  <w:sz w:val="20"/>
                  <w:szCs w:val="20"/>
                </w:rPr>
                <w:t>(27), 93-117.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Wierzba, M., Riegel, M., Wypych, M., Jednoróg, K., Turnau, P., Grabowska, A. &amp; Marchewka, A. (2015). Basic Emotions in the Nencki Affective Word List (NAWL BE): New Method of Classifying Emotional Stimuli. </w:t>
              </w:r>
              <w:r w:rsidRPr="00162181">
                <w:rPr>
                  <w:rFonts w:ascii="Cambria" w:hAnsi="Cambria"/>
                  <w:i/>
                  <w:iCs/>
                  <w:noProof/>
                  <w:sz w:val="20"/>
                  <w:szCs w:val="20"/>
                </w:rPr>
                <w:t>PLoS One,</w:t>
              </w:r>
              <w:r w:rsidRPr="00162181">
                <w:rPr>
                  <w:rFonts w:ascii="Cambria" w:hAnsi="Cambria"/>
                  <w:iCs/>
                  <w:noProof/>
                  <w:sz w:val="20"/>
                  <w:szCs w:val="20"/>
                </w:rPr>
                <w:t xml:space="preserve"> 10</w:t>
              </w:r>
              <w:r w:rsidRPr="00162181">
                <w:rPr>
                  <w:rFonts w:ascii="Cambria" w:hAnsi="Cambria"/>
                  <w:noProof/>
                  <w:sz w:val="20"/>
                  <w:szCs w:val="20"/>
                </w:rPr>
                <w:t>(7).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Wu, S. I. &amp; Tsai, H. T. (2017). A Comparison of the Online Shopping Behavior Patterns of Consumers. </w:t>
              </w:r>
              <w:r w:rsidRPr="00162181">
                <w:rPr>
                  <w:rFonts w:ascii="Cambria" w:hAnsi="Cambria"/>
                  <w:i/>
                  <w:iCs/>
                  <w:noProof/>
                  <w:sz w:val="20"/>
                  <w:szCs w:val="20"/>
                </w:rPr>
                <w:t>International Journal of Marketing Studies,</w:t>
              </w:r>
              <w:r w:rsidRPr="00162181">
                <w:rPr>
                  <w:rFonts w:ascii="Cambria" w:hAnsi="Cambria"/>
                  <w:iCs/>
                  <w:noProof/>
                  <w:sz w:val="20"/>
                  <w:szCs w:val="20"/>
                </w:rPr>
                <w:t xml:space="preserve"> 9</w:t>
              </w:r>
              <w:r w:rsidRPr="00162181">
                <w:rPr>
                  <w:rFonts w:ascii="Cambria" w:hAnsi="Cambria"/>
                  <w:noProof/>
                  <w:sz w:val="20"/>
                  <w:szCs w:val="20"/>
                </w:rPr>
                <w:t>(3).</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Wu, W., Wang, S., Ding, G. &amp; Mo, J. (2023). Elucidating trust-building sources in social shopping: A consumer cognitive and emotional trust perspective. </w:t>
              </w:r>
              <w:r w:rsidRPr="00162181">
                <w:rPr>
                  <w:rFonts w:ascii="Cambria" w:hAnsi="Cambria"/>
                  <w:i/>
                  <w:iCs/>
                  <w:noProof/>
                  <w:sz w:val="20"/>
                  <w:szCs w:val="20"/>
                </w:rPr>
                <w:t>Journal of Retailing and Consumer Services,</w:t>
              </w:r>
              <w:r w:rsidRPr="00162181">
                <w:rPr>
                  <w:rFonts w:ascii="Cambria" w:hAnsi="Cambria"/>
                  <w:iCs/>
                  <w:noProof/>
                  <w:sz w:val="20"/>
                  <w:szCs w:val="20"/>
                </w:rPr>
                <w:t xml:space="preserve"> 71</w:t>
              </w:r>
              <w:r w:rsidRPr="00162181">
                <w:rPr>
                  <w:rFonts w:ascii="Cambria" w:hAnsi="Cambria"/>
                  <w:noProof/>
                  <w:sz w:val="20"/>
                  <w:szCs w:val="20"/>
                </w:rPr>
                <w:t>, 103217.</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Wu, Y. &amp; Huang, H. (2023). Influence of Perceived Value on Consumers’ Continuous Purchase Intention in Live-Streaming E-Commerce—Mediated by Consumer Trust. </w:t>
              </w:r>
              <w:r w:rsidRPr="00162181">
                <w:rPr>
                  <w:rFonts w:ascii="Cambria" w:hAnsi="Cambria"/>
                  <w:i/>
                  <w:iCs/>
                  <w:noProof/>
                  <w:sz w:val="20"/>
                  <w:szCs w:val="20"/>
                </w:rPr>
                <w:t>Economic and Business Aspects of Sustainability,</w:t>
              </w:r>
              <w:r w:rsidRPr="00162181">
                <w:rPr>
                  <w:rFonts w:ascii="Cambria" w:hAnsi="Cambria"/>
                  <w:iCs/>
                  <w:noProof/>
                  <w:sz w:val="20"/>
                  <w:szCs w:val="20"/>
                </w:rPr>
                <w:t xml:space="preserve"> 15</w:t>
              </w:r>
              <w:r w:rsidRPr="00162181">
                <w:rPr>
                  <w:rFonts w:ascii="Cambria" w:hAnsi="Cambria"/>
                  <w:noProof/>
                  <w:sz w:val="20"/>
                  <w:szCs w:val="20"/>
                </w:rPr>
                <w:t>(5), 4432.</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Yadav, M., Goel, M. &amp; Sharma, B. (2020). Consumer perception towards online shopping during lockdown. </w:t>
              </w:r>
              <w:r w:rsidRPr="00162181">
                <w:rPr>
                  <w:rFonts w:ascii="Cambria" w:hAnsi="Cambria"/>
                  <w:i/>
                  <w:iCs/>
                  <w:noProof/>
                  <w:sz w:val="20"/>
                  <w:szCs w:val="20"/>
                </w:rPr>
                <w:t xml:space="preserve">International Journal of Management, </w:t>
              </w:r>
              <w:r w:rsidRPr="00162181">
                <w:rPr>
                  <w:rFonts w:ascii="Cambria" w:hAnsi="Cambria"/>
                  <w:iCs/>
                  <w:noProof/>
                  <w:sz w:val="20"/>
                  <w:szCs w:val="20"/>
                </w:rPr>
                <w:t>11</w:t>
              </w:r>
              <w:r w:rsidRPr="00162181">
                <w:rPr>
                  <w:rFonts w:ascii="Cambria" w:hAnsi="Cambria"/>
                  <w:noProof/>
                  <w:sz w:val="20"/>
                  <w:szCs w:val="20"/>
                </w:rPr>
                <w:t>(7), 1578-1584.</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Yazid, Z., Wel, C. A. &amp; Omar, N. A. (2016). Persepsi Mahasiswa Terhadap Urusan Pembelian Atas Talian. </w:t>
              </w:r>
              <w:r w:rsidRPr="00162181">
                <w:rPr>
                  <w:rFonts w:ascii="Cambria" w:hAnsi="Cambria"/>
                  <w:i/>
                  <w:iCs/>
                  <w:noProof/>
                  <w:sz w:val="20"/>
                  <w:szCs w:val="20"/>
                </w:rPr>
                <w:t xml:space="preserve">Jurnal Personalia Pelajar, </w:t>
              </w:r>
              <w:r w:rsidRPr="00162181">
                <w:rPr>
                  <w:rFonts w:ascii="Cambria" w:hAnsi="Cambria"/>
                  <w:iCs/>
                  <w:noProof/>
                  <w:sz w:val="20"/>
                  <w:szCs w:val="20"/>
                </w:rPr>
                <w:t>19</w:t>
              </w:r>
              <w:r w:rsidRPr="00162181">
                <w:rPr>
                  <w:rFonts w:ascii="Cambria" w:hAnsi="Cambria"/>
                  <w:noProof/>
                  <w:sz w:val="20"/>
                  <w:szCs w:val="20"/>
                </w:rPr>
                <w:t>(2).</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Youn, S. &amp; Faber, R. J. (2000). Impulse buying: Its relation to personality traits and cues. </w:t>
              </w:r>
              <w:r w:rsidRPr="00162181">
                <w:rPr>
                  <w:rFonts w:ascii="Cambria" w:hAnsi="Cambria"/>
                  <w:i/>
                  <w:iCs/>
                  <w:noProof/>
                  <w:sz w:val="20"/>
                  <w:szCs w:val="20"/>
                </w:rPr>
                <w:t>ACR North American Advances,</w:t>
              </w:r>
              <w:r w:rsidRPr="00162181">
                <w:rPr>
                  <w:rFonts w:ascii="Cambria" w:hAnsi="Cambria"/>
                  <w:iCs/>
                  <w:noProof/>
                  <w:sz w:val="20"/>
                  <w:szCs w:val="20"/>
                </w:rPr>
                <w:t xml:space="preserve"> 27</w:t>
              </w:r>
              <w:r w:rsidRPr="00162181">
                <w:rPr>
                  <w:rFonts w:ascii="Cambria" w:hAnsi="Cambria"/>
                  <w:noProof/>
                  <w:sz w:val="20"/>
                  <w:szCs w:val="20"/>
                </w:rPr>
                <w:t>(1), 179-185.</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Yulihasri, Islam, M. A. &amp; Daud, K. A. (2011). Factors that Influence Customers’ Buying Intention on Shopping Online. </w:t>
              </w:r>
              <w:r w:rsidRPr="00162181">
                <w:rPr>
                  <w:rFonts w:ascii="Cambria" w:hAnsi="Cambria"/>
                  <w:i/>
                  <w:iCs/>
                  <w:noProof/>
                  <w:sz w:val="20"/>
                  <w:szCs w:val="20"/>
                </w:rPr>
                <w:t>International Journal of Marketing Studies,</w:t>
              </w:r>
              <w:r w:rsidRPr="00162181">
                <w:rPr>
                  <w:rFonts w:ascii="Cambria" w:hAnsi="Cambria"/>
                  <w:iCs/>
                  <w:noProof/>
                  <w:sz w:val="20"/>
                  <w:szCs w:val="20"/>
                </w:rPr>
                <w:t xml:space="preserve"> 3</w:t>
              </w:r>
              <w:r w:rsidRPr="00162181">
                <w:rPr>
                  <w:rFonts w:ascii="Cambria" w:hAnsi="Cambria"/>
                  <w:noProof/>
                  <w:sz w:val="20"/>
                  <w:szCs w:val="20"/>
                </w:rPr>
                <w:t>(1), 128-139.</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Zainudin, A., Habsah, M., Fauzilah, S., Abu Shams Mohammad, M. H. &amp; Kamaruzaman, J. (2017). Social business efficiency: Instruments development and validation procedure using structural equation modeling. </w:t>
              </w:r>
              <w:r w:rsidRPr="00162181">
                <w:rPr>
                  <w:rFonts w:ascii="Cambria" w:hAnsi="Cambria"/>
                  <w:i/>
                  <w:iCs/>
                  <w:noProof/>
                  <w:sz w:val="20"/>
                  <w:szCs w:val="20"/>
                </w:rPr>
                <w:t xml:space="preserve">International Business Management, </w:t>
              </w:r>
              <w:r w:rsidRPr="00162181">
                <w:rPr>
                  <w:rFonts w:ascii="Cambria" w:hAnsi="Cambria"/>
                  <w:iCs/>
                  <w:noProof/>
                  <w:sz w:val="20"/>
                  <w:szCs w:val="20"/>
                </w:rPr>
                <w:t>11</w:t>
              </w:r>
              <w:r w:rsidRPr="00162181">
                <w:rPr>
                  <w:rFonts w:ascii="Cambria" w:hAnsi="Cambria"/>
                  <w:noProof/>
                  <w:sz w:val="20"/>
                  <w:szCs w:val="20"/>
                </w:rPr>
                <w:t>(1), 222-231.</w:t>
              </w:r>
            </w:p>
            <w:p w:rsidR="00162181" w:rsidRPr="00162181" w:rsidRDefault="00162181" w:rsidP="00162181">
              <w:pPr>
                <w:pStyle w:val="Bibliography"/>
                <w:spacing w:after="0" w:line="240" w:lineRule="auto"/>
                <w:ind w:left="720" w:hanging="720"/>
                <w:jc w:val="both"/>
                <w:rPr>
                  <w:rFonts w:ascii="Cambria" w:hAnsi="Cambria"/>
                  <w:noProof/>
                  <w:sz w:val="20"/>
                  <w:szCs w:val="20"/>
                </w:rPr>
              </w:pPr>
              <w:r w:rsidRPr="00162181">
                <w:rPr>
                  <w:rFonts w:ascii="Cambria" w:hAnsi="Cambria"/>
                  <w:noProof/>
                  <w:sz w:val="20"/>
                  <w:szCs w:val="20"/>
                </w:rPr>
                <w:t xml:space="preserve">Zeng, S., Lin, X. &amp; Zhou, L. (2023). Factors affecting consumer attitudes towards using digital media platforms on health knowledge communication: Findings of cognition–affect–conation pattern. </w:t>
              </w:r>
              <w:r w:rsidRPr="00162181">
                <w:rPr>
                  <w:rFonts w:ascii="Cambria" w:hAnsi="Cambria"/>
                  <w:i/>
                  <w:iCs/>
                  <w:noProof/>
                  <w:sz w:val="20"/>
                  <w:szCs w:val="20"/>
                </w:rPr>
                <w:t>Frontiers in Psychology,</w:t>
              </w:r>
              <w:r w:rsidRPr="00162181">
                <w:rPr>
                  <w:rFonts w:ascii="Cambria" w:hAnsi="Cambria"/>
                  <w:iCs/>
                  <w:noProof/>
                  <w:sz w:val="20"/>
                  <w:szCs w:val="20"/>
                </w:rPr>
                <w:t xml:space="preserve"> 14</w:t>
              </w:r>
              <w:r w:rsidRPr="00162181">
                <w:rPr>
                  <w:rFonts w:ascii="Cambria" w:hAnsi="Cambria"/>
                  <w:noProof/>
                  <w:sz w:val="20"/>
                  <w:szCs w:val="20"/>
                </w:rPr>
                <w:t>, 1008427.</w:t>
              </w:r>
            </w:p>
            <w:p w:rsidR="00162181" w:rsidRPr="00162181" w:rsidRDefault="00162181" w:rsidP="00162181">
              <w:pPr>
                <w:spacing w:after="0" w:line="240" w:lineRule="auto"/>
                <w:ind w:left="720" w:hanging="720"/>
                <w:jc w:val="both"/>
                <w:rPr>
                  <w:rFonts w:ascii="Cambria" w:hAnsi="Cambria"/>
                  <w:sz w:val="20"/>
                  <w:szCs w:val="20"/>
                </w:rPr>
              </w:pPr>
              <w:r w:rsidRPr="00162181">
                <w:rPr>
                  <w:rFonts w:ascii="Cambria" w:hAnsi="Cambria"/>
                  <w:b/>
                  <w:bCs/>
                  <w:noProof/>
                  <w:sz w:val="20"/>
                  <w:szCs w:val="20"/>
                </w:rPr>
                <w:fldChar w:fldCharType="end"/>
              </w:r>
            </w:p>
          </w:sdtContent>
        </w:sdt>
      </w:sdtContent>
    </w:sdt>
    <w:p w:rsidR="00162181" w:rsidRPr="00162181" w:rsidRDefault="00162181" w:rsidP="00162181">
      <w:pPr>
        <w:pStyle w:val="Heading1"/>
        <w:spacing w:before="0" w:line="240" w:lineRule="auto"/>
        <w:jc w:val="both"/>
        <w:rPr>
          <w:rFonts w:ascii="Cambria" w:hAnsi="Cambria"/>
          <w:color w:val="auto"/>
          <w:sz w:val="20"/>
          <w:szCs w:val="20"/>
        </w:rPr>
      </w:pPr>
    </w:p>
    <w:p w:rsidR="00162181" w:rsidRPr="00646FE1" w:rsidRDefault="00162181" w:rsidP="00162181">
      <w:pPr>
        <w:pStyle w:val="Heading1"/>
        <w:spacing w:before="0" w:line="240" w:lineRule="auto"/>
        <w:jc w:val="both"/>
        <w:rPr>
          <w:rFonts w:ascii="Cambria" w:hAnsi="Cambria"/>
          <w:sz w:val="20"/>
          <w:szCs w:val="20"/>
        </w:rPr>
      </w:pPr>
    </w:p>
    <w:p w:rsidR="00162181" w:rsidRPr="00646FE1" w:rsidRDefault="00162181" w:rsidP="00162181">
      <w:pPr>
        <w:pStyle w:val="Bibliography"/>
        <w:spacing w:after="0" w:line="240" w:lineRule="auto"/>
        <w:ind w:hanging="480"/>
        <w:jc w:val="both"/>
        <w:rPr>
          <w:rFonts w:ascii="Cambria" w:hAnsi="Cambria"/>
          <w:sz w:val="20"/>
          <w:szCs w:val="20"/>
          <w:highlight w:val="yellow"/>
        </w:rPr>
      </w:pPr>
    </w:p>
    <w:p w:rsidR="00162181" w:rsidRPr="00646FE1" w:rsidRDefault="00162181" w:rsidP="00162181">
      <w:pPr>
        <w:spacing w:after="0" w:line="240" w:lineRule="auto"/>
        <w:ind w:hanging="720"/>
        <w:jc w:val="both"/>
        <w:rPr>
          <w:rFonts w:ascii="Cambria" w:hAnsi="Cambria"/>
          <w:sz w:val="20"/>
          <w:szCs w:val="20"/>
        </w:rPr>
      </w:pPr>
    </w:p>
    <w:p w:rsidR="00F730A4" w:rsidRPr="009460DA" w:rsidRDefault="00F730A4" w:rsidP="009460DA">
      <w:pPr>
        <w:spacing w:after="0" w:line="240" w:lineRule="auto"/>
        <w:jc w:val="both"/>
        <w:rPr>
          <w:rFonts w:ascii="Cambria" w:hAnsi="Cambria"/>
          <w:sz w:val="20"/>
          <w:szCs w:val="20"/>
          <w:lang w:val="en-US" w:eastAsia="zh-CN"/>
        </w:rPr>
      </w:pPr>
    </w:p>
    <w:sectPr w:rsidR="00F730A4" w:rsidRPr="009460DA" w:rsidSect="008471BD">
      <w:headerReference w:type="default" r:id="rId19"/>
      <w:footerReference w:type="default" r:id="rId20"/>
      <w:type w:val="continuous"/>
      <w:pgSz w:w="12240" w:h="15840" w:code="1"/>
      <w:pgMar w:top="1440" w:right="1440" w:bottom="1440" w:left="1440"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242" w:rsidRDefault="00D67242" w:rsidP="009E3C37">
      <w:pPr>
        <w:spacing w:after="0" w:line="240" w:lineRule="auto"/>
      </w:pPr>
      <w:r>
        <w:separator/>
      </w:r>
    </w:p>
  </w:endnote>
  <w:endnote w:type="continuationSeparator" w:id="0">
    <w:p w:rsidR="00D67242" w:rsidRDefault="00D67242" w:rsidP="009E3C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Gill Sans Std">
    <w:altName w:val="Gill Sans Std"/>
    <w:panose1 w:val="00000000000000000000"/>
    <w:charset w:val="00"/>
    <w:family w:val="swiss"/>
    <w:notTrueType/>
    <w:pitch w:val="default"/>
    <w:sig w:usb0="00000003" w:usb1="00000000" w:usb2="00000000" w:usb3="00000000" w:csb0="00000001" w:csb1="00000000"/>
  </w:font>
  <w:font w:name="Chaparral Pro">
    <w:altName w:val="Chaparral Pro"/>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notTrueType/>
    <w:pitch w:val="variable"/>
    <w:sig w:usb0="01000001" w:usb1="00000000" w:usb2="00000000" w:usb3="00000000" w:csb0="00010000" w:csb1="00000000"/>
  </w:font>
  <w:font w:name="Helvetica">
    <w:panose1 w:val="020B0504020202020204"/>
    <w:charset w:val="00"/>
    <w:family w:val="swiss"/>
    <w:notTrueType/>
    <w:pitch w:val="variable"/>
    <w:sig w:usb0="00000003" w:usb1="00000000" w:usb2="00000000" w:usb3="00000000" w:csb0="00000001" w:csb1="00000000"/>
  </w:font>
  <w:font w:name="方正书宋繁体">
    <w:altName w:val="SimSun"/>
    <w:panose1 w:val="00000000000000000000"/>
    <w:charset w:val="86"/>
    <w:family w:val="auto"/>
    <w:notTrueType/>
    <w:pitch w:val="variable"/>
    <w:sig w:usb0="00000001" w:usb1="080E0000" w:usb2="00000010" w:usb3="00000000" w:csb0="00040000" w:csb1="00000000"/>
  </w:font>
  <w:font w:name="DB FongNam X">
    <w:altName w:val="DB FongNam X"/>
    <w:panose1 w:val="00000000000000000000"/>
    <w:charset w:val="00"/>
    <w:family w:val="swiss"/>
    <w:notTrueType/>
    <w:pitch w:val="default"/>
    <w:sig w:usb0="00000003" w:usb1="00000000" w:usb2="00000000" w:usb3="00000000" w:csb0="00000001" w:csb1="00000000"/>
  </w:font>
  <w:font w:name="EC Square Sans Pro">
    <w:altName w:val="Arial"/>
    <w:panose1 w:val="00000000000000000000"/>
    <w:charset w:val="00"/>
    <w:family w:val="swiss"/>
    <w:notTrueType/>
    <w:pitch w:val="default"/>
    <w:sig w:usb0="00000003" w:usb1="00000000" w:usb2="00000000" w:usb3="00000000" w:csb0="00000001" w:csb1="00000000"/>
  </w:font>
  <w:font w:name="New Caledonia H">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mbo">
    <w:altName w:val="Bembo"/>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ospace821">
    <w:altName w:val="Bookman Old Styl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atFrank Heavy">
    <w:altName w:val="FatFrank Heavy"/>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方正小标宋简体">
    <w:altName w:val="SimSun"/>
    <w:charset w:val="86"/>
    <w:family w:val="auto"/>
    <w:pitch w:val="variable"/>
    <w:sig w:usb0="00000001" w:usb1="080E0000" w:usb2="00000010" w:usb3="00000000" w:csb0="00040000" w:csb1="00000000"/>
  </w:font>
  <w:font w:name="Palatino">
    <w:altName w:val="Book Antiqua"/>
    <w:charset w:val="00"/>
    <w:family w:val="roman"/>
    <w:pitch w:val="variable"/>
    <w:sig w:usb0="20007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Tahoma"/>
    <w:charset w:val="00"/>
    <w:family w:val="swiss"/>
    <w:pitch w:val="variable"/>
    <w:sig w:usb0="00000001" w:usb1="4000205B" w:usb2="00000028" w:usb3="00000000" w:csb0="0000019F" w:csb1="00000000"/>
  </w:font>
  <w:font w:name="Helvetica Neue">
    <w:altName w:val="Sylfaen"/>
    <w:charset w:val="00"/>
    <w:family w:val="auto"/>
    <w:pitch w:val="variable"/>
    <w:sig w:usb0="E50002FF" w:usb1="500079DB" w:usb2="00000010" w:usb3="00000000" w:csb0="00000001" w:csb1="00000000"/>
  </w:font>
  <w:font w:name="CIDFont+F5">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749902"/>
      <w:docPartObj>
        <w:docPartGallery w:val="Page Numbers (Bottom of Page)"/>
        <w:docPartUnique/>
      </w:docPartObj>
    </w:sdtPr>
    <w:sdtContent>
      <w:p w:rsidR="009460DA" w:rsidRDefault="00902FB4">
        <w:pPr>
          <w:pStyle w:val="Footer"/>
          <w:jc w:val="center"/>
        </w:pPr>
        <w:fldSimple w:instr=" PAGE   \* MERGEFORMAT ">
          <w:r w:rsidR="00162181">
            <w:rPr>
              <w:noProof/>
            </w:rPr>
            <w:t>- 13 -</w:t>
          </w:r>
        </w:fldSimple>
      </w:p>
    </w:sdtContent>
  </w:sdt>
  <w:p w:rsidR="008B2F5A" w:rsidRDefault="008B2F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750882"/>
      <w:docPartObj>
        <w:docPartGallery w:val="Page Numbers (Bottom of Page)"/>
        <w:docPartUnique/>
      </w:docPartObj>
    </w:sdtPr>
    <w:sdtContent>
      <w:p w:rsidR="008471BD" w:rsidRDefault="00902FB4">
        <w:pPr>
          <w:pStyle w:val="Footer"/>
          <w:jc w:val="center"/>
        </w:pPr>
        <w:fldSimple w:instr=" PAGE   \* MERGEFORMAT ">
          <w:r w:rsidR="00162181">
            <w:rPr>
              <w:noProof/>
            </w:rPr>
            <w:t>- 66 -</w:t>
          </w:r>
        </w:fldSimple>
      </w:p>
    </w:sdtContent>
  </w:sdt>
  <w:p w:rsidR="008B2F5A" w:rsidRDefault="008B2F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242" w:rsidRDefault="00D67242" w:rsidP="009E3C37">
      <w:pPr>
        <w:spacing w:after="0" w:line="240" w:lineRule="auto"/>
      </w:pPr>
      <w:r>
        <w:separator/>
      </w:r>
    </w:p>
  </w:footnote>
  <w:footnote w:type="continuationSeparator" w:id="0">
    <w:p w:rsidR="00D67242" w:rsidRDefault="00D67242" w:rsidP="009E3C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5A" w:rsidRPr="00C80490" w:rsidRDefault="008B2F5A" w:rsidP="002277DC">
    <w:pPr>
      <w:shd w:val="clear" w:color="auto" w:fill="365F91" w:themeFill="accent1" w:themeFillShade="BF"/>
      <w:spacing w:after="0" w:line="240" w:lineRule="auto"/>
      <w:jc w:val="center"/>
      <w:rPr>
        <w:rFonts w:ascii="Cambria" w:hAnsi="Cambria"/>
        <w:b/>
        <w:color w:val="FFFFFF" w:themeColor="background1"/>
        <w:sz w:val="20"/>
        <w:szCs w:val="20"/>
        <w:lang w:val="en-US"/>
      </w:rPr>
    </w:pPr>
    <w:r w:rsidRPr="00C80490">
      <w:rPr>
        <w:rFonts w:ascii="Cambria" w:hAnsi="Cambria"/>
        <w:b/>
        <w:color w:val="FFFFFF" w:themeColor="background1"/>
        <w:sz w:val="20"/>
        <w:szCs w:val="20"/>
        <w:lang w:val="en-US"/>
      </w:rPr>
      <w:t>Information Management and Business Review (IMBR)</w:t>
    </w:r>
  </w:p>
  <w:p w:rsidR="008B2F5A" w:rsidRPr="002277DC" w:rsidRDefault="008B2F5A" w:rsidP="002277DC">
    <w:pPr>
      <w:pBdr>
        <w:bottom w:val="thickThinSmallGap" w:sz="24" w:space="1" w:color="auto"/>
      </w:pBdr>
      <w:shd w:val="clear" w:color="auto" w:fill="365F91" w:themeFill="accent1" w:themeFillShade="BF"/>
      <w:spacing w:after="0" w:line="240" w:lineRule="auto"/>
      <w:jc w:val="center"/>
      <w:rPr>
        <w:bCs/>
        <w:color w:val="FFFFFF" w:themeColor="background1"/>
        <w:sz w:val="20"/>
        <w:szCs w:val="20"/>
        <w:lang w:val="en-US"/>
      </w:rPr>
    </w:pPr>
    <w:r w:rsidRPr="00C80490">
      <w:rPr>
        <w:rFonts w:ascii="Cambria" w:hAnsi="Cambria"/>
        <w:b/>
        <w:color w:val="FFFFFF" w:themeColor="background1"/>
        <w:sz w:val="20"/>
        <w:szCs w:val="20"/>
      </w:rPr>
      <w:t xml:space="preserve">Vol. </w:t>
    </w:r>
    <w:r>
      <w:rPr>
        <w:rFonts w:ascii="Cambria" w:hAnsi="Cambria"/>
        <w:b/>
        <w:color w:val="FFFFFF" w:themeColor="background1"/>
        <w:sz w:val="20"/>
        <w:szCs w:val="20"/>
        <w:lang w:val="en-US"/>
      </w:rPr>
      <w:t>15</w:t>
    </w:r>
    <w:r w:rsidRPr="00C80490">
      <w:rPr>
        <w:rFonts w:ascii="Cambria" w:hAnsi="Cambria"/>
        <w:b/>
        <w:color w:val="FFFFFF" w:themeColor="background1"/>
        <w:sz w:val="20"/>
        <w:szCs w:val="20"/>
      </w:rPr>
      <w:t xml:space="preserve">, No. </w:t>
    </w:r>
    <w:r w:rsidR="003A1358">
      <w:rPr>
        <w:rFonts w:ascii="Cambria" w:hAnsi="Cambria"/>
        <w:b/>
        <w:color w:val="FFFFFF" w:themeColor="background1"/>
        <w:sz w:val="20"/>
        <w:szCs w:val="20"/>
        <w:lang w:val="en-US"/>
      </w:rPr>
      <w:t>2</w:t>
    </w:r>
    <w:r w:rsidRPr="00C80490">
      <w:rPr>
        <w:rFonts w:ascii="Cambria" w:hAnsi="Cambria"/>
        <w:b/>
        <w:color w:val="FFFFFF" w:themeColor="background1"/>
        <w:sz w:val="20"/>
        <w:szCs w:val="20"/>
      </w:rPr>
      <w:t xml:space="preserve">, </w:t>
    </w:r>
    <w:r w:rsidR="003A1358">
      <w:rPr>
        <w:rFonts w:ascii="Cambria" w:hAnsi="Cambria"/>
        <w:b/>
        <w:color w:val="FFFFFF" w:themeColor="background1"/>
        <w:sz w:val="20"/>
        <w:szCs w:val="20"/>
        <w:lang w:val="en-US"/>
      </w:rPr>
      <w:t>June</w:t>
    </w:r>
    <w:r w:rsidRPr="00C80490">
      <w:rPr>
        <w:rFonts w:ascii="Cambria" w:hAnsi="Cambria"/>
        <w:b/>
        <w:color w:val="FFFFFF" w:themeColor="background1"/>
        <w:sz w:val="20"/>
        <w:szCs w:val="20"/>
      </w:rPr>
      <w:t xml:space="preserve"> 20</w:t>
    </w:r>
    <w:r>
      <w:rPr>
        <w:rFonts w:ascii="Cambria" w:hAnsi="Cambria"/>
        <w:b/>
        <w:color w:val="FFFFFF" w:themeColor="background1"/>
        <w:sz w:val="20"/>
        <w:szCs w:val="20"/>
        <w:lang w:val="en-US"/>
      </w:rPr>
      <w:t>23</w:t>
    </w:r>
    <w:r w:rsidRPr="00C80490">
      <w:rPr>
        <w:rFonts w:ascii="Cambria" w:hAnsi="Cambria"/>
        <w:b/>
        <w:color w:val="FFFFFF" w:themeColor="background1"/>
        <w:sz w:val="20"/>
        <w:szCs w:val="20"/>
        <w:lang w:val="en-US"/>
      </w:rPr>
      <w:t xml:space="preserve"> (</w:t>
    </w:r>
    <w:r w:rsidRPr="00C80490">
      <w:rPr>
        <w:rFonts w:ascii="Cambria" w:hAnsi="Cambria"/>
        <w:b/>
        <w:color w:val="FFFFFF" w:themeColor="background1"/>
        <w:sz w:val="20"/>
        <w:szCs w:val="20"/>
      </w:rPr>
      <w:t>ISSN 2220-3796</w:t>
    </w:r>
    <w:r w:rsidRPr="00C80490">
      <w:rPr>
        <w:rFonts w:ascii="Cambria" w:hAnsi="Cambria"/>
        <w:b/>
        <w:color w:val="FFFFFF" w:themeColor="background1"/>
        <w:sz w:val="20"/>
        <w:szCs w:val="20"/>
        <w:lang w:val="en-US"/>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5A" w:rsidRPr="00C80490" w:rsidRDefault="008B2F5A" w:rsidP="00034FDF">
    <w:pPr>
      <w:shd w:val="clear" w:color="auto" w:fill="365F91" w:themeFill="accent1" w:themeFillShade="BF"/>
      <w:spacing w:after="0" w:line="240" w:lineRule="auto"/>
      <w:jc w:val="center"/>
      <w:rPr>
        <w:rFonts w:ascii="Cambria" w:hAnsi="Cambria"/>
        <w:b/>
        <w:color w:val="FFFFFF" w:themeColor="background1"/>
        <w:sz w:val="20"/>
        <w:szCs w:val="20"/>
        <w:lang w:val="en-US"/>
      </w:rPr>
    </w:pPr>
    <w:r w:rsidRPr="00C80490">
      <w:rPr>
        <w:rFonts w:ascii="Cambria" w:hAnsi="Cambria"/>
        <w:b/>
        <w:color w:val="FFFFFF" w:themeColor="background1"/>
        <w:sz w:val="20"/>
        <w:szCs w:val="20"/>
        <w:lang w:val="en-US"/>
      </w:rPr>
      <w:t>Information Management and Business Review (IMBR)</w:t>
    </w:r>
  </w:p>
  <w:p w:rsidR="008B2F5A" w:rsidRPr="00034FDF" w:rsidRDefault="008B2F5A" w:rsidP="00034FDF">
    <w:pPr>
      <w:pBdr>
        <w:bottom w:val="thickThinSmallGap" w:sz="24" w:space="1" w:color="auto"/>
      </w:pBdr>
      <w:shd w:val="clear" w:color="auto" w:fill="365F91" w:themeFill="accent1" w:themeFillShade="BF"/>
      <w:spacing w:after="0" w:line="240" w:lineRule="auto"/>
      <w:jc w:val="center"/>
      <w:rPr>
        <w:bCs/>
        <w:color w:val="FFFFFF" w:themeColor="background1"/>
        <w:sz w:val="20"/>
        <w:szCs w:val="20"/>
        <w:lang w:val="en-US"/>
      </w:rPr>
    </w:pPr>
    <w:r w:rsidRPr="00C80490">
      <w:rPr>
        <w:rFonts w:ascii="Cambria" w:hAnsi="Cambria"/>
        <w:b/>
        <w:color w:val="FFFFFF" w:themeColor="background1"/>
        <w:sz w:val="20"/>
        <w:szCs w:val="20"/>
      </w:rPr>
      <w:t xml:space="preserve">Vol. </w:t>
    </w:r>
    <w:r>
      <w:rPr>
        <w:rFonts w:ascii="Cambria" w:hAnsi="Cambria"/>
        <w:b/>
        <w:color w:val="FFFFFF" w:themeColor="background1"/>
        <w:sz w:val="20"/>
        <w:szCs w:val="20"/>
        <w:lang w:val="en-US"/>
      </w:rPr>
      <w:t>1</w:t>
    </w:r>
    <w:r w:rsidR="00C7394B">
      <w:rPr>
        <w:rFonts w:ascii="Cambria" w:hAnsi="Cambria"/>
        <w:b/>
        <w:color w:val="FFFFFF" w:themeColor="background1"/>
        <w:sz w:val="20"/>
        <w:szCs w:val="20"/>
        <w:lang w:val="en-US"/>
      </w:rPr>
      <w:t>5</w:t>
    </w:r>
    <w:r w:rsidRPr="00C80490">
      <w:rPr>
        <w:rFonts w:ascii="Cambria" w:hAnsi="Cambria"/>
        <w:b/>
        <w:color w:val="FFFFFF" w:themeColor="background1"/>
        <w:sz w:val="20"/>
        <w:szCs w:val="20"/>
      </w:rPr>
      <w:t xml:space="preserve">, No. </w:t>
    </w:r>
    <w:r>
      <w:rPr>
        <w:rFonts w:ascii="Cambria" w:hAnsi="Cambria"/>
        <w:b/>
        <w:color w:val="FFFFFF" w:themeColor="background1"/>
        <w:sz w:val="20"/>
        <w:szCs w:val="20"/>
        <w:lang w:val="en-US"/>
      </w:rPr>
      <w:t>2</w:t>
    </w:r>
    <w:r w:rsidRPr="00C80490">
      <w:rPr>
        <w:rFonts w:ascii="Cambria" w:hAnsi="Cambria"/>
        <w:b/>
        <w:color w:val="FFFFFF" w:themeColor="background1"/>
        <w:sz w:val="20"/>
        <w:szCs w:val="20"/>
      </w:rPr>
      <w:t xml:space="preserve">, </w:t>
    </w:r>
    <w:r>
      <w:rPr>
        <w:rFonts w:ascii="Cambria" w:hAnsi="Cambria"/>
        <w:b/>
        <w:color w:val="FFFFFF" w:themeColor="background1"/>
        <w:sz w:val="20"/>
        <w:szCs w:val="20"/>
        <w:lang w:val="en-US"/>
      </w:rPr>
      <w:t>June</w:t>
    </w:r>
    <w:r w:rsidRPr="00C80490">
      <w:rPr>
        <w:rFonts w:ascii="Cambria" w:hAnsi="Cambria"/>
        <w:b/>
        <w:color w:val="FFFFFF" w:themeColor="background1"/>
        <w:sz w:val="20"/>
        <w:szCs w:val="20"/>
      </w:rPr>
      <w:t xml:space="preserve"> 20</w:t>
    </w:r>
    <w:r>
      <w:rPr>
        <w:rFonts w:ascii="Cambria" w:hAnsi="Cambria"/>
        <w:b/>
        <w:color w:val="FFFFFF" w:themeColor="background1"/>
        <w:sz w:val="20"/>
        <w:szCs w:val="20"/>
        <w:lang w:val="en-US"/>
      </w:rPr>
      <w:t>22</w:t>
    </w:r>
    <w:r w:rsidRPr="00C80490">
      <w:rPr>
        <w:rFonts w:ascii="Cambria" w:hAnsi="Cambria"/>
        <w:b/>
        <w:color w:val="FFFFFF" w:themeColor="background1"/>
        <w:sz w:val="20"/>
        <w:szCs w:val="20"/>
        <w:lang w:val="en-US"/>
      </w:rPr>
      <w:t xml:space="preserve"> (</w:t>
    </w:r>
    <w:r w:rsidRPr="00C80490">
      <w:rPr>
        <w:rFonts w:ascii="Cambria" w:hAnsi="Cambria"/>
        <w:b/>
        <w:color w:val="FFFFFF" w:themeColor="background1"/>
        <w:sz w:val="20"/>
        <w:szCs w:val="20"/>
      </w:rPr>
      <w:t>ISSN 2220-3796</w:t>
    </w:r>
    <w:r w:rsidRPr="00C80490">
      <w:rPr>
        <w:rFonts w:ascii="Cambria" w:hAnsi="Cambria"/>
        <w:b/>
        <w:color w:val="FFFFFF" w:themeColor="background1"/>
        <w:sz w:val="20"/>
        <w:szCs w:val="20"/>
        <w:lang w:val="en-U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2AC58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472DC8"/>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1832336"/>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22867E5"/>
    <w:multiLevelType w:val="hybridMultilevel"/>
    <w:tmpl w:val="8948170E"/>
    <w:lvl w:ilvl="0" w:tplc="C98CBB2A">
      <w:start w:val="1"/>
      <w:numFmt w:val="bullet"/>
      <w:pStyle w:val="BULLETS"/>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6506DD8"/>
    <w:multiLevelType w:val="multilevel"/>
    <w:tmpl w:val="9AFEAC84"/>
    <w:styleLink w:val="CPIHeadings"/>
    <w:lvl w:ilvl="0">
      <w:start w:val="1"/>
      <w:numFmt w:val="decimal"/>
      <w:pStyle w:val="CPIHeading1"/>
      <w:lvlText w:val="%1."/>
      <w:lvlJc w:val="left"/>
      <w:pPr>
        <w:ind w:left="720" w:hanging="720"/>
      </w:pPr>
      <w:rPr>
        <w:rFonts w:hint="default"/>
      </w:rPr>
    </w:lvl>
    <w:lvl w:ilvl="1">
      <w:start w:val="1"/>
      <w:numFmt w:val="decimal"/>
      <w:pStyle w:val="CPIHeading2"/>
      <w:lvlText w:val="%1.%2"/>
      <w:lvlJc w:val="left"/>
      <w:pPr>
        <w:ind w:left="1080" w:hanging="792"/>
      </w:pPr>
      <w:rPr>
        <w:rFonts w:hint="default"/>
      </w:rPr>
    </w:lvl>
    <w:lvl w:ilvl="2">
      <w:start w:val="1"/>
      <w:numFmt w:val="decimal"/>
      <w:pStyle w:val="CPIHeading3"/>
      <w:lvlText w:val="%1.%2.%3"/>
      <w:lvlJc w:val="left"/>
      <w:pPr>
        <w:ind w:left="1440" w:hanging="100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78E7599"/>
    <w:multiLevelType w:val="multilevel"/>
    <w:tmpl w:val="77E4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40F21"/>
    <w:multiLevelType w:val="multilevel"/>
    <w:tmpl w:val="48EA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F51BF5"/>
    <w:multiLevelType w:val="hybridMultilevel"/>
    <w:tmpl w:val="5798D1AE"/>
    <w:lvl w:ilvl="0" w:tplc="5E600254">
      <w:start w:val="1"/>
      <w:numFmt w:val="bullet"/>
      <w:lvlText w:val="-"/>
      <w:lvlJc w:val="left"/>
      <w:pPr>
        <w:ind w:left="720" w:hanging="360"/>
      </w:pPr>
      <w:rPr>
        <w:rFonts w:ascii="Arial" w:eastAsia="Times New Roman"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0E452572"/>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0F55615E"/>
    <w:multiLevelType w:val="multilevel"/>
    <w:tmpl w:val="3504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294E9A"/>
    <w:multiLevelType w:val="hybridMultilevel"/>
    <w:tmpl w:val="2D602254"/>
    <w:lvl w:ilvl="0" w:tplc="C89EFF48">
      <w:start w:val="1"/>
      <w:numFmt w:val="decimal"/>
      <w:pStyle w:val="AReference"/>
      <w:lvlText w:val="[%1]"/>
      <w:lvlJc w:val="left"/>
      <w:pPr>
        <w:ind w:left="502" w:hanging="360"/>
      </w:pPr>
      <w:rPr>
        <w:rFonts w:ascii="Cambria" w:hAnsi="Cambria"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4105CA9"/>
    <w:multiLevelType w:val="hybridMultilevel"/>
    <w:tmpl w:val="EA30DA1E"/>
    <w:lvl w:ilvl="0" w:tplc="ACFE3884">
      <w:start w:val="1"/>
      <w:numFmt w:val="decimal"/>
      <w:pStyle w:val="ParagraphNumbering"/>
      <w:lvlText w:val="%1.     "/>
      <w:lvlJc w:val="left"/>
      <w:pPr>
        <w:tabs>
          <w:tab w:val="num" w:pos="1440"/>
        </w:tabs>
        <w:ind w:left="720" w:firstLine="0"/>
      </w:pPr>
      <w:rPr>
        <w:rFonts w:hint="default"/>
      </w:rPr>
    </w:lvl>
    <w:lvl w:ilvl="1" w:tplc="7EB8F458" w:tentative="1">
      <w:start w:val="1"/>
      <w:numFmt w:val="lowerLetter"/>
      <w:lvlText w:val="%2."/>
      <w:lvlJc w:val="left"/>
      <w:pPr>
        <w:tabs>
          <w:tab w:val="num" w:pos="1440"/>
        </w:tabs>
        <w:ind w:left="1440" w:hanging="360"/>
      </w:pPr>
    </w:lvl>
    <w:lvl w:ilvl="2" w:tplc="92540E94" w:tentative="1">
      <w:start w:val="1"/>
      <w:numFmt w:val="lowerRoman"/>
      <w:lvlText w:val="%3."/>
      <w:lvlJc w:val="right"/>
      <w:pPr>
        <w:tabs>
          <w:tab w:val="num" w:pos="2160"/>
        </w:tabs>
        <w:ind w:left="2160" w:hanging="180"/>
      </w:pPr>
    </w:lvl>
    <w:lvl w:ilvl="3" w:tplc="8E921424" w:tentative="1">
      <w:start w:val="1"/>
      <w:numFmt w:val="decimal"/>
      <w:lvlText w:val="%4."/>
      <w:lvlJc w:val="left"/>
      <w:pPr>
        <w:tabs>
          <w:tab w:val="num" w:pos="2880"/>
        </w:tabs>
        <w:ind w:left="2880" w:hanging="360"/>
      </w:pPr>
    </w:lvl>
    <w:lvl w:ilvl="4" w:tplc="08168A56" w:tentative="1">
      <w:start w:val="1"/>
      <w:numFmt w:val="lowerLetter"/>
      <w:lvlText w:val="%5."/>
      <w:lvlJc w:val="left"/>
      <w:pPr>
        <w:tabs>
          <w:tab w:val="num" w:pos="3600"/>
        </w:tabs>
        <w:ind w:left="3600" w:hanging="360"/>
      </w:pPr>
    </w:lvl>
    <w:lvl w:ilvl="5" w:tplc="AAA86C2E" w:tentative="1">
      <w:start w:val="1"/>
      <w:numFmt w:val="lowerRoman"/>
      <w:lvlText w:val="%6."/>
      <w:lvlJc w:val="right"/>
      <w:pPr>
        <w:tabs>
          <w:tab w:val="num" w:pos="4320"/>
        </w:tabs>
        <w:ind w:left="4320" w:hanging="180"/>
      </w:pPr>
    </w:lvl>
    <w:lvl w:ilvl="6" w:tplc="895046D4" w:tentative="1">
      <w:start w:val="1"/>
      <w:numFmt w:val="decimal"/>
      <w:lvlText w:val="%7."/>
      <w:lvlJc w:val="left"/>
      <w:pPr>
        <w:tabs>
          <w:tab w:val="num" w:pos="5040"/>
        </w:tabs>
        <w:ind w:left="5040" w:hanging="360"/>
      </w:pPr>
    </w:lvl>
    <w:lvl w:ilvl="7" w:tplc="869CB05C" w:tentative="1">
      <w:start w:val="1"/>
      <w:numFmt w:val="lowerLetter"/>
      <w:lvlText w:val="%8."/>
      <w:lvlJc w:val="left"/>
      <w:pPr>
        <w:tabs>
          <w:tab w:val="num" w:pos="5760"/>
        </w:tabs>
        <w:ind w:left="5760" w:hanging="360"/>
      </w:pPr>
    </w:lvl>
    <w:lvl w:ilvl="8" w:tplc="70CE269A" w:tentative="1">
      <w:start w:val="1"/>
      <w:numFmt w:val="lowerRoman"/>
      <w:lvlText w:val="%9."/>
      <w:lvlJc w:val="right"/>
      <w:pPr>
        <w:tabs>
          <w:tab w:val="num" w:pos="6480"/>
        </w:tabs>
        <w:ind w:left="6480" w:hanging="180"/>
      </w:pPr>
    </w:lvl>
  </w:abstractNum>
  <w:abstractNum w:abstractNumId="12">
    <w:nsid w:val="159B1EE7"/>
    <w:multiLevelType w:val="hybridMultilevel"/>
    <w:tmpl w:val="9EA82318"/>
    <w:lvl w:ilvl="0" w:tplc="BA5AABFA">
      <w:start w:val="1"/>
      <w:numFmt w:val="bullet"/>
      <w:pStyle w:val="bulletptdis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294933"/>
    <w:multiLevelType w:val="hybridMultilevel"/>
    <w:tmpl w:val="055016A6"/>
    <w:lvl w:ilvl="0" w:tplc="291C958C">
      <w:start w:val="1"/>
      <w:numFmt w:val="decimal"/>
      <w:lvlText w:val="%1."/>
      <w:lvlJc w:val="left"/>
      <w:pPr>
        <w:ind w:left="720" w:hanging="360"/>
      </w:pPr>
      <w:rPr>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1740283D"/>
    <w:multiLevelType w:val="multilevel"/>
    <w:tmpl w:val="B1E8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2B201E"/>
    <w:multiLevelType w:val="multilevel"/>
    <w:tmpl w:val="F8D4A05C"/>
    <w:styleLink w:val="b2"/>
    <w:lvl w:ilvl="0">
      <w:start w:val="1"/>
      <w:numFmt w:val="decimal"/>
      <w:lvlText w:val="2.%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8">
    <w:nsid w:val="1DB304F9"/>
    <w:multiLevelType w:val="multilevel"/>
    <w:tmpl w:val="002A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3717DF"/>
    <w:multiLevelType w:val="hybridMultilevel"/>
    <w:tmpl w:val="DC4039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27D13A53"/>
    <w:multiLevelType w:val="hybridMultilevel"/>
    <w:tmpl w:val="E0D4B652"/>
    <w:lvl w:ilvl="0" w:tplc="F7D2DCD8">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nsid w:val="2E37327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3001535E"/>
    <w:multiLevelType w:val="multilevel"/>
    <w:tmpl w:val="1EE4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E45BF0"/>
    <w:multiLevelType w:val="multilevel"/>
    <w:tmpl w:val="89C01542"/>
    <w:lvl w:ilvl="0">
      <w:start w:val="1"/>
      <w:numFmt w:val="decimal"/>
      <w:lvlText w:val="%1."/>
      <w:lvlJc w:val="left"/>
      <w:pPr>
        <w:ind w:left="720" w:hanging="360"/>
      </w:p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A0466D7"/>
    <w:multiLevelType w:val="multilevel"/>
    <w:tmpl w:val="D408B1A0"/>
    <w:styleLink w:val="Appendix"/>
    <w:lvl w:ilvl="0">
      <w:start w:val="1"/>
      <w:numFmt w:val="upperLetter"/>
      <w:lvlText w:val="Appendix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BBC55DA"/>
    <w:multiLevelType w:val="multilevel"/>
    <w:tmpl w:val="A8E4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937466"/>
    <w:multiLevelType w:val="multilevel"/>
    <w:tmpl w:val="695A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DD5AE6"/>
    <w:multiLevelType w:val="multilevel"/>
    <w:tmpl w:val="CA34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E33AC3"/>
    <w:multiLevelType w:val="hybridMultilevel"/>
    <w:tmpl w:val="3B00C3F6"/>
    <w:lvl w:ilvl="0" w:tplc="FFFFFFFF">
      <w:start w:val="1"/>
      <w:numFmt w:val="decimal"/>
      <w:lvlText w:val="%1."/>
      <w:lvlJc w:val="left"/>
      <w:pPr>
        <w:ind w:left="446" w:hanging="207"/>
      </w:pPr>
      <w:rPr>
        <w:rFonts w:ascii="Cambria" w:eastAsia="Cambria" w:hAnsi="Cambria" w:cs="Cambria" w:hint="default"/>
        <w:b/>
        <w:bCs/>
        <w:spacing w:val="-1"/>
        <w:w w:val="99"/>
        <w:sz w:val="20"/>
        <w:szCs w:val="20"/>
        <w:lang w:val="en-US" w:eastAsia="en-US" w:bidi="ar-SA"/>
      </w:rPr>
    </w:lvl>
    <w:lvl w:ilvl="1" w:tplc="FFFFFFFF">
      <w:numFmt w:val="bullet"/>
      <w:lvlText w:val="•"/>
      <w:lvlJc w:val="left"/>
      <w:pPr>
        <w:ind w:left="1378" w:hanging="207"/>
      </w:pPr>
      <w:rPr>
        <w:rFonts w:hint="default"/>
        <w:lang w:val="en-US" w:eastAsia="en-US" w:bidi="ar-SA"/>
      </w:rPr>
    </w:lvl>
    <w:lvl w:ilvl="2" w:tplc="FFFFFFFF">
      <w:numFmt w:val="bullet"/>
      <w:lvlText w:val="•"/>
      <w:lvlJc w:val="left"/>
      <w:pPr>
        <w:ind w:left="2316" w:hanging="207"/>
      </w:pPr>
      <w:rPr>
        <w:rFonts w:hint="default"/>
        <w:lang w:val="en-US" w:eastAsia="en-US" w:bidi="ar-SA"/>
      </w:rPr>
    </w:lvl>
    <w:lvl w:ilvl="3" w:tplc="FFFFFFFF">
      <w:numFmt w:val="bullet"/>
      <w:lvlText w:val="•"/>
      <w:lvlJc w:val="left"/>
      <w:pPr>
        <w:ind w:left="3254" w:hanging="207"/>
      </w:pPr>
      <w:rPr>
        <w:rFonts w:hint="default"/>
        <w:lang w:val="en-US" w:eastAsia="en-US" w:bidi="ar-SA"/>
      </w:rPr>
    </w:lvl>
    <w:lvl w:ilvl="4" w:tplc="FFFFFFFF">
      <w:numFmt w:val="bullet"/>
      <w:lvlText w:val="•"/>
      <w:lvlJc w:val="left"/>
      <w:pPr>
        <w:ind w:left="4192" w:hanging="207"/>
      </w:pPr>
      <w:rPr>
        <w:rFonts w:hint="default"/>
        <w:lang w:val="en-US" w:eastAsia="en-US" w:bidi="ar-SA"/>
      </w:rPr>
    </w:lvl>
    <w:lvl w:ilvl="5" w:tplc="FFFFFFFF">
      <w:numFmt w:val="bullet"/>
      <w:lvlText w:val="•"/>
      <w:lvlJc w:val="left"/>
      <w:pPr>
        <w:ind w:left="5130" w:hanging="207"/>
      </w:pPr>
      <w:rPr>
        <w:rFonts w:hint="default"/>
        <w:lang w:val="en-US" w:eastAsia="en-US" w:bidi="ar-SA"/>
      </w:rPr>
    </w:lvl>
    <w:lvl w:ilvl="6" w:tplc="FFFFFFFF">
      <w:numFmt w:val="bullet"/>
      <w:lvlText w:val="•"/>
      <w:lvlJc w:val="left"/>
      <w:pPr>
        <w:ind w:left="6068" w:hanging="207"/>
      </w:pPr>
      <w:rPr>
        <w:rFonts w:hint="default"/>
        <w:lang w:val="en-US" w:eastAsia="en-US" w:bidi="ar-SA"/>
      </w:rPr>
    </w:lvl>
    <w:lvl w:ilvl="7" w:tplc="FFFFFFFF">
      <w:numFmt w:val="bullet"/>
      <w:lvlText w:val="•"/>
      <w:lvlJc w:val="left"/>
      <w:pPr>
        <w:ind w:left="7006" w:hanging="207"/>
      </w:pPr>
      <w:rPr>
        <w:rFonts w:hint="default"/>
        <w:lang w:val="en-US" w:eastAsia="en-US" w:bidi="ar-SA"/>
      </w:rPr>
    </w:lvl>
    <w:lvl w:ilvl="8" w:tplc="FFFFFFFF">
      <w:numFmt w:val="bullet"/>
      <w:lvlText w:val="•"/>
      <w:lvlJc w:val="left"/>
      <w:pPr>
        <w:ind w:left="7944" w:hanging="207"/>
      </w:pPr>
      <w:rPr>
        <w:rFonts w:hint="default"/>
        <w:lang w:val="en-US" w:eastAsia="en-US" w:bidi="ar-SA"/>
      </w:rPr>
    </w:lvl>
  </w:abstractNum>
  <w:abstractNum w:abstractNumId="30">
    <w:nsid w:val="4273030E"/>
    <w:multiLevelType w:val="multilevel"/>
    <w:tmpl w:val="C0A05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421656D"/>
    <w:multiLevelType w:val="hybridMultilevel"/>
    <w:tmpl w:val="8C203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86D2EBA"/>
    <w:multiLevelType w:val="multilevel"/>
    <w:tmpl w:val="70F49D46"/>
    <w:styleLink w:val="b1"/>
    <w:lvl w:ilvl="0">
      <w:start w:val="1"/>
      <w:numFmt w:val="decimal"/>
      <w:lvlText w:val="1.%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34">
    <w:nsid w:val="538E3440"/>
    <w:multiLevelType w:val="hybridMultilevel"/>
    <w:tmpl w:val="4754BAC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6205803"/>
    <w:multiLevelType w:val="multilevel"/>
    <w:tmpl w:val="1E2855A8"/>
    <w:lvl w:ilvl="0">
      <w:start w:val="1"/>
      <w:numFmt w:val="decimal"/>
      <w:pStyle w:val="Els-1storder-head"/>
      <w:suff w:val="space"/>
      <w:lvlText w:val="%1."/>
      <w:lvlJc w:val="left"/>
      <w:pPr>
        <w:ind w:left="24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6">
    <w:nsid w:val="576470DB"/>
    <w:multiLevelType w:val="multilevel"/>
    <w:tmpl w:val="9780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8">
    <w:nsid w:val="667A1F12"/>
    <w:multiLevelType w:val="hybridMultilevel"/>
    <w:tmpl w:val="5502A91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9">
    <w:nsid w:val="66CA2CFE"/>
    <w:multiLevelType w:val="multilevel"/>
    <w:tmpl w:val="B356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E64783"/>
    <w:multiLevelType w:val="multilevel"/>
    <w:tmpl w:val="74C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6B53D2"/>
    <w:multiLevelType w:val="multilevel"/>
    <w:tmpl w:val="E346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6171F6B"/>
    <w:multiLevelType w:val="hybridMultilevel"/>
    <w:tmpl w:val="0436D5DA"/>
    <w:lvl w:ilvl="0" w:tplc="08090001">
      <w:start w:val="1"/>
      <w:numFmt w:val="bullet"/>
      <w:lvlText w:val=""/>
      <w:lvlJc w:val="left"/>
      <w:pPr>
        <w:ind w:left="720" w:hanging="360"/>
      </w:pPr>
      <w:rPr>
        <w:rFonts w:ascii="Symbol" w:hAnsi="Symbol"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nsid w:val="76C70E03"/>
    <w:multiLevelType w:val="multilevel"/>
    <w:tmpl w:val="3334CD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77776763"/>
    <w:multiLevelType w:val="hybridMultilevel"/>
    <w:tmpl w:val="3B00C3F6"/>
    <w:lvl w:ilvl="0" w:tplc="2A625728">
      <w:start w:val="1"/>
      <w:numFmt w:val="decimal"/>
      <w:lvlText w:val="%1."/>
      <w:lvlJc w:val="left"/>
      <w:pPr>
        <w:ind w:left="446" w:hanging="207"/>
      </w:pPr>
      <w:rPr>
        <w:rFonts w:ascii="Cambria" w:eastAsia="Cambria" w:hAnsi="Cambria" w:cs="Cambria" w:hint="default"/>
        <w:b/>
        <w:bCs/>
        <w:spacing w:val="-1"/>
        <w:w w:val="99"/>
        <w:sz w:val="20"/>
        <w:szCs w:val="20"/>
        <w:lang w:val="en-US" w:eastAsia="en-US" w:bidi="ar-SA"/>
      </w:rPr>
    </w:lvl>
    <w:lvl w:ilvl="1" w:tplc="F0707FAA">
      <w:numFmt w:val="bullet"/>
      <w:lvlText w:val="•"/>
      <w:lvlJc w:val="left"/>
      <w:pPr>
        <w:ind w:left="1378" w:hanging="207"/>
      </w:pPr>
      <w:rPr>
        <w:rFonts w:hint="default"/>
        <w:lang w:val="en-US" w:eastAsia="en-US" w:bidi="ar-SA"/>
      </w:rPr>
    </w:lvl>
    <w:lvl w:ilvl="2" w:tplc="3998D2D4">
      <w:numFmt w:val="bullet"/>
      <w:lvlText w:val="•"/>
      <w:lvlJc w:val="left"/>
      <w:pPr>
        <w:ind w:left="2316" w:hanging="207"/>
      </w:pPr>
      <w:rPr>
        <w:rFonts w:hint="default"/>
        <w:lang w:val="en-US" w:eastAsia="en-US" w:bidi="ar-SA"/>
      </w:rPr>
    </w:lvl>
    <w:lvl w:ilvl="3" w:tplc="BB7E6394">
      <w:numFmt w:val="bullet"/>
      <w:lvlText w:val="•"/>
      <w:lvlJc w:val="left"/>
      <w:pPr>
        <w:ind w:left="3254" w:hanging="207"/>
      </w:pPr>
      <w:rPr>
        <w:rFonts w:hint="default"/>
        <w:lang w:val="en-US" w:eastAsia="en-US" w:bidi="ar-SA"/>
      </w:rPr>
    </w:lvl>
    <w:lvl w:ilvl="4" w:tplc="80F2447E">
      <w:numFmt w:val="bullet"/>
      <w:lvlText w:val="•"/>
      <w:lvlJc w:val="left"/>
      <w:pPr>
        <w:ind w:left="4192" w:hanging="207"/>
      </w:pPr>
      <w:rPr>
        <w:rFonts w:hint="default"/>
        <w:lang w:val="en-US" w:eastAsia="en-US" w:bidi="ar-SA"/>
      </w:rPr>
    </w:lvl>
    <w:lvl w:ilvl="5" w:tplc="ED56AAEA">
      <w:numFmt w:val="bullet"/>
      <w:lvlText w:val="•"/>
      <w:lvlJc w:val="left"/>
      <w:pPr>
        <w:ind w:left="5130" w:hanging="207"/>
      </w:pPr>
      <w:rPr>
        <w:rFonts w:hint="default"/>
        <w:lang w:val="en-US" w:eastAsia="en-US" w:bidi="ar-SA"/>
      </w:rPr>
    </w:lvl>
    <w:lvl w:ilvl="6" w:tplc="66228B36">
      <w:numFmt w:val="bullet"/>
      <w:lvlText w:val="•"/>
      <w:lvlJc w:val="left"/>
      <w:pPr>
        <w:ind w:left="6068" w:hanging="207"/>
      </w:pPr>
      <w:rPr>
        <w:rFonts w:hint="default"/>
        <w:lang w:val="en-US" w:eastAsia="en-US" w:bidi="ar-SA"/>
      </w:rPr>
    </w:lvl>
    <w:lvl w:ilvl="7" w:tplc="FD682C9A">
      <w:numFmt w:val="bullet"/>
      <w:lvlText w:val="•"/>
      <w:lvlJc w:val="left"/>
      <w:pPr>
        <w:ind w:left="7006" w:hanging="207"/>
      </w:pPr>
      <w:rPr>
        <w:rFonts w:hint="default"/>
        <w:lang w:val="en-US" w:eastAsia="en-US" w:bidi="ar-SA"/>
      </w:rPr>
    </w:lvl>
    <w:lvl w:ilvl="8" w:tplc="80E09520">
      <w:numFmt w:val="bullet"/>
      <w:lvlText w:val="•"/>
      <w:lvlJc w:val="left"/>
      <w:pPr>
        <w:ind w:left="7944" w:hanging="207"/>
      </w:pPr>
      <w:rPr>
        <w:rFonts w:hint="default"/>
        <w:lang w:val="en-US" w:eastAsia="en-US" w:bidi="ar-SA"/>
      </w:rPr>
    </w:lvl>
  </w:abstractNum>
  <w:abstractNum w:abstractNumId="45">
    <w:nsid w:val="7ACB1C8A"/>
    <w:multiLevelType w:val="multilevel"/>
    <w:tmpl w:val="05CC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5"/>
  </w:num>
  <w:num w:numId="3">
    <w:abstractNumId w:val="21"/>
  </w:num>
  <w:num w:numId="4">
    <w:abstractNumId w:val="37"/>
  </w:num>
  <w:num w:numId="5">
    <w:abstractNumId w:val="17"/>
  </w:num>
  <w:num w:numId="6">
    <w:abstractNumId w:val="33"/>
  </w:num>
  <w:num w:numId="7">
    <w:abstractNumId w:val="0"/>
  </w:num>
  <w:num w:numId="8">
    <w:abstractNumId w:val="32"/>
  </w:num>
  <w:num w:numId="9">
    <w:abstractNumId w:val="16"/>
  </w:num>
  <w:num w:numId="10">
    <w:abstractNumId w:val="4"/>
    <w:lvlOverride w:ilvl="0">
      <w:lvl w:ilvl="0">
        <w:start w:val="1"/>
        <w:numFmt w:val="decimal"/>
        <w:pStyle w:val="CPIHeading1"/>
        <w:lvlText w:val="%1."/>
        <w:lvlJc w:val="left"/>
        <w:pPr>
          <w:ind w:left="720" w:hanging="720"/>
        </w:pPr>
        <w:rPr>
          <w:rFonts w:hint="default"/>
        </w:rPr>
      </w:lvl>
    </w:lvlOverride>
    <w:lvlOverride w:ilvl="1">
      <w:lvl w:ilvl="1">
        <w:start w:val="1"/>
        <w:numFmt w:val="decimal"/>
        <w:pStyle w:val="CPIHeading2"/>
        <w:lvlText w:val="%1.%2"/>
        <w:lvlJc w:val="left"/>
        <w:pPr>
          <w:ind w:left="1080" w:hanging="792"/>
        </w:pPr>
        <w:rPr>
          <w:rFonts w:hint="default"/>
        </w:rPr>
      </w:lvl>
    </w:lvlOverride>
    <w:lvlOverride w:ilvl="2">
      <w:lvl w:ilvl="2">
        <w:start w:val="1"/>
        <w:numFmt w:val="decimal"/>
        <w:pStyle w:val="CPIHeading3"/>
        <w:lvlText w:val="%1.%2.%3"/>
        <w:lvlJc w:val="left"/>
        <w:pPr>
          <w:ind w:left="1440" w:hanging="1008"/>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1">
    <w:abstractNumId w:val="4"/>
  </w:num>
  <w:num w:numId="12">
    <w:abstractNumId w:val="25"/>
  </w:num>
  <w:num w:numId="13">
    <w:abstractNumId w:val="9"/>
  </w:num>
  <w:num w:numId="14">
    <w:abstractNumId w:val="45"/>
  </w:num>
  <w:num w:numId="15">
    <w:abstractNumId w:val="41"/>
  </w:num>
  <w:num w:numId="16">
    <w:abstractNumId w:val="40"/>
  </w:num>
  <w:num w:numId="17">
    <w:abstractNumId w:val="39"/>
  </w:num>
  <w:num w:numId="18">
    <w:abstractNumId w:val="5"/>
  </w:num>
  <w:num w:numId="19">
    <w:abstractNumId w:val="14"/>
  </w:num>
  <w:num w:numId="20">
    <w:abstractNumId w:val="27"/>
  </w:num>
  <w:num w:numId="21">
    <w:abstractNumId w:val="18"/>
  </w:num>
  <w:num w:numId="22">
    <w:abstractNumId w:val="36"/>
  </w:num>
  <w:num w:numId="23">
    <w:abstractNumId w:val="23"/>
  </w:num>
  <w:num w:numId="24">
    <w:abstractNumId w:val="12"/>
  </w:num>
  <w:num w:numId="25">
    <w:abstractNumId w:val="28"/>
  </w:num>
  <w:num w:numId="26">
    <w:abstractNumId w:val="3"/>
  </w:num>
  <w:num w:numId="27">
    <w:abstractNumId w:val="2"/>
  </w:num>
  <w:num w:numId="28">
    <w:abstractNumId w:val="22"/>
  </w:num>
  <w:num w:numId="29">
    <w:abstractNumId w:val="8"/>
  </w:num>
  <w:num w:numId="30">
    <w:abstractNumId w:val="1"/>
  </w:num>
  <w:num w:numId="31">
    <w:abstractNumId w:val="38"/>
  </w:num>
  <w:num w:numId="32">
    <w:abstractNumId w:val="15"/>
  </w:num>
  <w:num w:numId="33">
    <w:abstractNumId w:val="10"/>
  </w:num>
  <w:num w:numId="34">
    <w:abstractNumId w:val="44"/>
  </w:num>
  <w:num w:numId="35">
    <w:abstractNumId w:val="43"/>
  </w:num>
  <w:num w:numId="36">
    <w:abstractNumId w:val="31"/>
  </w:num>
  <w:num w:numId="37">
    <w:abstractNumId w:val="19"/>
  </w:num>
  <w:num w:numId="38">
    <w:abstractNumId w:val="34"/>
  </w:num>
  <w:num w:numId="39">
    <w:abstractNumId w:val="30"/>
  </w:num>
  <w:num w:numId="40">
    <w:abstractNumId w:val="7"/>
  </w:num>
  <w:num w:numId="41">
    <w:abstractNumId w:val="6"/>
  </w:num>
  <w:num w:numId="42">
    <w:abstractNumId w:val="26"/>
  </w:num>
  <w:num w:numId="43">
    <w:abstractNumId w:val="13"/>
  </w:num>
  <w:num w:numId="44">
    <w:abstractNumId w:val="20"/>
  </w:num>
  <w:num w:numId="45">
    <w:abstractNumId w:val="24"/>
  </w:num>
  <w:num w:numId="46">
    <w:abstractNumId w:val="29"/>
  </w:num>
  <w:num w:numId="47">
    <w:abstractNumId w:val="4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drawingGridHorizontalSpacing w:val="110"/>
  <w:displayHorizontalDrawingGridEvery w:val="2"/>
  <w:displayVerticalDrawingGridEvery w:val="2"/>
  <w:characterSpacingControl w:val="doNotCompress"/>
  <w:hdrShapeDefaults>
    <o:shapedefaults v:ext="edit" spidmax="150530"/>
  </w:hdrShapeDefaults>
  <w:footnotePr>
    <w:footnote w:id="-1"/>
    <w:footnote w:id="0"/>
  </w:footnotePr>
  <w:endnotePr>
    <w:endnote w:id="-1"/>
    <w:endnote w:id="0"/>
  </w:endnotePr>
  <w:compat>
    <w:applyBreakingRules/>
  </w:compat>
  <w:docVars>
    <w:docVar w:name="__Grammarly_42____i" w:val="H4sIAAAAAAAEAKtWckksSQxILCpxzi/NK1GyMqwFAAEhoTITAAAA"/>
    <w:docVar w:name="__Grammarly_42___1" w:val="H4sIAAAAAAAEAKtWcslP9kxRslIyNDY0NzWwMDI2NTYwNTe1NDFR0lEKTi0uzszPAykwsagFAMM9EZktAAAA"/>
  </w:docVars>
  <w:rsids>
    <w:rsidRoot w:val="003729CF"/>
    <w:rsid w:val="000022C3"/>
    <w:rsid w:val="00007C81"/>
    <w:rsid w:val="000102D4"/>
    <w:rsid w:val="0001245B"/>
    <w:rsid w:val="0001265D"/>
    <w:rsid w:val="000136EA"/>
    <w:rsid w:val="00013CE7"/>
    <w:rsid w:val="00016359"/>
    <w:rsid w:val="00023973"/>
    <w:rsid w:val="0002400F"/>
    <w:rsid w:val="00026BEC"/>
    <w:rsid w:val="00033D3E"/>
    <w:rsid w:val="00033EA0"/>
    <w:rsid w:val="00034FDF"/>
    <w:rsid w:val="00037B96"/>
    <w:rsid w:val="00040300"/>
    <w:rsid w:val="00041288"/>
    <w:rsid w:val="00044E21"/>
    <w:rsid w:val="00047090"/>
    <w:rsid w:val="0005046B"/>
    <w:rsid w:val="00053BDF"/>
    <w:rsid w:val="00060C21"/>
    <w:rsid w:val="000611EC"/>
    <w:rsid w:val="0006394B"/>
    <w:rsid w:val="00064533"/>
    <w:rsid w:val="000665E3"/>
    <w:rsid w:val="00066E94"/>
    <w:rsid w:val="0006767D"/>
    <w:rsid w:val="00075595"/>
    <w:rsid w:val="00075A06"/>
    <w:rsid w:val="00077D92"/>
    <w:rsid w:val="00080D5B"/>
    <w:rsid w:val="00081E54"/>
    <w:rsid w:val="000831D6"/>
    <w:rsid w:val="0008418D"/>
    <w:rsid w:val="00087D10"/>
    <w:rsid w:val="000A3616"/>
    <w:rsid w:val="000A4C1D"/>
    <w:rsid w:val="000A79B8"/>
    <w:rsid w:val="000B16A8"/>
    <w:rsid w:val="000B17E9"/>
    <w:rsid w:val="000B3B0C"/>
    <w:rsid w:val="000B757E"/>
    <w:rsid w:val="000B7D45"/>
    <w:rsid w:val="000C013D"/>
    <w:rsid w:val="000C08CD"/>
    <w:rsid w:val="000C0D89"/>
    <w:rsid w:val="000C0E2B"/>
    <w:rsid w:val="000C1174"/>
    <w:rsid w:val="000C2F76"/>
    <w:rsid w:val="000C30D0"/>
    <w:rsid w:val="000C578D"/>
    <w:rsid w:val="000C5D81"/>
    <w:rsid w:val="000C69A7"/>
    <w:rsid w:val="000D0597"/>
    <w:rsid w:val="000D1F0E"/>
    <w:rsid w:val="000D4BBC"/>
    <w:rsid w:val="000E0709"/>
    <w:rsid w:val="000F0412"/>
    <w:rsid w:val="000F0B36"/>
    <w:rsid w:val="000F2052"/>
    <w:rsid w:val="000F4DA4"/>
    <w:rsid w:val="00101A9A"/>
    <w:rsid w:val="00115BE8"/>
    <w:rsid w:val="00115D3B"/>
    <w:rsid w:val="00117B99"/>
    <w:rsid w:val="00120D4E"/>
    <w:rsid w:val="0012496D"/>
    <w:rsid w:val="0012519E"/>
    <w:rsid w:val="00130923"/>
    <w:rsid w:val="00132484"/>
    <w:rsid w:val="001351F6"/>
    <w:rsid w:val="0013550E"/>
    <w:rsid w:val="00147762"/>
    <w:rsid w:val="001501A0"/>
    <w:rsid w:val="001508DE"/>
    <w:rsid w:val="00150ED1"/>
    <w:rsid w:val="001516E4"/>
    <w:rsid w:val="00153AAF"/>
    <w:rsid w:val="00156B8C"/>
    <w:rsid w:val="00160800"/>
    <w:rsid w:val="00161517"/>
    <w:rsid w:val="00162181"/>
    <w:rsid w:val="001676B0"/>
    <w:rsid w:val="00177B8A"/>
    <w:rsid w:val="00177F67"/>
    <w:rsid w:val="00180912"/>
    <w:rsid w:val="00187CFA"/>
    <w:rsid w:val="00190FFB"/>
    <w:rsid w:val="00191501"/>
    <w:rsid w:val="00192450"/>
    <w:rsid w:val="00196A9D"/>
    <w:rsid w:val="001A10FA"/>
    <w:rsid w:val="001A1801"/>
    <w:rsid w:val="001A338D"/>
    <w:rsid w:val="001A5E69"/>
    <w:rsid w:val="001B0600"/>
    <w:rsid w:val="001B0C5B"/>
    <w:rsid w:val="001B1FCB"/>
    <w:rsid w:val="001B3A8D"/>
    <w:rsid w:val="001B5249"/>
    <w:rsid w:val="001C0411"/>
    <w:rsid w:val="001C044F"/>
    <w:rsid w:val="001C2436"/>
    <w:rsid w:val="001C38B3"/>
    <w:rsid w:val="001C579A"/>
    <w:rsid w:val="001C6F71"/>
    <w:rsid w:val="001D0BF4"/>
    <w:rsid w:val="001D2061"/>
    <w:rsid w:val="001D7FC7"/>
    <w:rsid w:val="001E3CC2"/>
    <w:rsid w:val="001E41FF"/>
    <w:rsid w:val="001F4DE4"/>
    <w:rsid w:val="001F6896"/>
    <w:rsid w:val="0020201C"/>
    <w:rsid w:val="00202B72"/>
    <w:rsid w:val="002054E6"/>
    <w:rsid w:val="00216161"/>
    <w:rsid w:val="00220A92"/>
    <w:rsid w:val="002237AE"/>
    <w:rsid w:val="002245A1"/>
    <w:rsid w:val="00225A88"/>
    <w:rsid w:val="0022732C"/>
    <w:rsid w:val="0022743C"/>
    <w:rsid w:val="002277DC"/>
    <w:rsid w:val="00234557"/>
    <w:rsid w:val="00251DBD"/>
    <w:rsid w:val="00252571"/>
    <w:rsid w:val="002550FF"/>
    <w:rsid w:val="00255617"/>
    <w:rsid w:val="00262982"/>
    <w:rsid w:val="00263A66"/>
    <w:rsid w:val="002704A9"/>
    <w:rsid w:val="0027149F"/>
    <w:rsid w:val="00271E87"/>
    <w:rsid w:val="00272772"/>
    <w:rsid w:val="00275262"/>
    <w:rsid w:val="00285CEC"/>
    <w:rsid w:val="00290F02"/>
    <w:rsid w:val="002917A2"/>
    <w:rsid w:val="00293C50"/>
    <w:rsid w:val="00296D6A"/>
    <w:rsid w:val="0029753B"/>
    <w:rsid w:val="002A330F"/>
    <w:rsid w:val="002A4642"/>
    <w:rsid w:val="002B2EAF"/>
    <w:rsid w:val="002B6AF6"/>
    <w:rsid w:val="002B775C"/>
    <w:rsid w:val="002C4475"/>
    <w:rsid w:val="002C4A35"/>
    <w:rsid w:val="002C6129"/>
    <w:rsid w:val="002C6BF1"/>
    <w:rsid w:val="002C765F"/>
    <w:rsid w:val="002D3777"/>
    <w:rsid w:val="002D4744"/>
    <w:rsid w:val="002E100A"/>
    <w:rsid w:val="002E4ADC"/>
    <w:rsid w:val="003005E0"/>
    <w:rsid w:val="003033F6"/>
    <w:rsid w:val="00303C0E"/>
    <w:rsid w:val="0030490E"/>
    <w:rsid w:val="00306400"/>
    <w:rsid w:val="003117EF"/>
    <w:rsid w:val="00311BF5"/>
    <w:rsid w:val="00312A6C"/>
    <w:rsid w:val="00313315"/>
    <w:rsid w:val="003147DE"/>
    <w:rsid w:val="003242F3"/>
    <w:rsid w:val="00327A39"/>
    <w:rsid w:val="003309D6"/>
    <w:rsid w:val="00333187"/>
    <w:rsid w:val="00334C7B"/>
    <w:rsid w:val="003350C5"/>
    <w:rsid w:val="003419A7"/>
    <w:rsid w:val="003435E0"/>
    <w:rsid w:val="00350838"/>
    <w:rsid w:val="00350CF5"/>
    <w:rsid w:val="003510B0"/>
    <w:rsid w:val="00351E17"/>
    <w:rsid w:val="00357FC2"/>
    <w:rsid w:val="00360F18"/>
    <w:rsid w:val="00361B9D"/>
    <w:rsid w:val="00361EA0"/>
    <w:rsid w:val="003627F2"/>
    <w:rsid w:val="0036640B"/>
    <w:rsid w:val="0037185C"/>
    <w:rsid w:val="003721D5"/>
    <w:rsid w:val="003729CF"/>
    <w:rsid w:val="0037527B"/>
    <w:rsid w:val="0037575E"/>
    <w:rsid w:val="0037603D"/>
    <w:rsid w:val="003773F3"/>
    <w:rsid w:val="00382DF0"/>
    <w:rsid w:val="003849A2"/>
    <w:rsid w:val="003867E8"/>
    <w:rsid w:val="00390F2F"/>
    <w:rsid w:val="003920CC"/>
    <w:rsid w:val="003934E8"/>
    <w:rsid w:val="00396D61"/>
    <w:rsid w:val="003A0276"/>
    <w:rsid w:val="003A1358"/>
    <w:rsid w:val="003A5052"/>
    <w:rsid w:val="003B5F8A"/>
    <w:rsid w:val="003C0FB9"/>
    <w:rsid w:val="003C2D53"/>
    <w:rsid w:val="003C6C06"/>
    <w:rsid w:val="003D07E4"/>
    <w:rsid w:val="003D1318"/>
    <w:rsid w:val="003D1436"/>
    <w:rsid w:val="003D553E"/>
    <w:rsid w:val="003D6AB1"/>
    <w:rsid w:val="003E0548"/>
    <w:rsid w:val="003F5341"/>
    <w:rsid w:val="00401047"/>
    <w:rsid w:val="004052DE"/>
    <w:rsid w:val="00405477"/>
    <w:rsid w:val="00406DC8"/>
    <w:rsid w:val="00412C1F"/>
    <w:rsid w:val="00420218"/>
    <w:rsid w:val="0042269D"/>
    <w:rsid w:val="00423293"/>
    <w:rsid w:val="00431494"/>
    <w:rsid w:val="00431964"/>
    <w:rsid w:val="004338F5"/>
    <w:rsid w:val="00441104"/>
    <w:rsid w:val="0044575D"/>
    <w:rsid w:val="00446B0C"/>
    <w:rsid w:val="00450549"/>
    <w:rsid w:val="00454379"/>
    <w:rsid w:val="0045677E"/>
    <w:rsid w:val="004600B4"/>
    <w:rsid w:val="0046211D"/>
    <w:rsid w:val="00462372"/>
    <w:rsid w:val="004713A4"/>
    <w:rsid w:val="00471436"/>
    <w:rsid w:val="00472677"/>
    <w:rsid w:val="00473405"/>
    <w:rsid w:val="004776BF"/>
    <w:rsid w:val="0047770F"/>
    <w:rsid w:val="0047779C"/>
    <w:rsid w:val="00477CC3"/>
    <w:rsid w:val="00480E72"/>
    <w:rsid w:val="00481509"/>
    <w:rsid w:val="00483F1A"/>
    <w:rsid w:val="00484F83"/>
    <w:rsid w:val="004911D7"/>
    <w:rsid w:val="00493223"/>
    <w:rsid w:val="0049712D"/>
    <w:rsid w:val="004A6F53"/>
    <w:rsid w:val="004B717A"/>
    <w:rsid w:val="004C1B0E"/>
    <w:rsid w:val="004C1CEB"/>
    <w:rsid w:val="004C2A28"/>
    <w:rsid w:val="004C68EB"/>
    <w:rsid w:val="004C738B"/>
    <w:rsid w:val="004D38BC"/>
    <w:rsid w:val="004D3F5A"/>
    <w:rsid w:val="004D4853"/>
    <w:rsid w:val="004D5D5D"/>
    <w:rsid w:val="004D7E82"/>
    <w:rsid w:val="004E068F"/>
    <w:rsid w:val="004E543B"/>
    <w:rsid w:val="004F295C"/>
    <w:rsid w:val="004F45F1"/>
    <w:rsid w:val="004F4C5D"/>
    <w:rsid w:val="00502B22"/>
    <w:rsid w:val="005101C7"/>
    <w:rsid w:val="00510741"/>
    <w:rsid w:val="00515736"/>
    <w:rsid w:val="0051625D"/>
    <w:rsid w:val="00517596"/>
    <w:rsid w:val="00517DF8"/>
    <w:rsid w:val="00523F9E"/>
    <w:rsid w:val="005259F0"/>
    <w:rsid w:val="00526165"/>
    <w:rsid w:val="0053104C"/>
    <w:rsid w:val="005323C4"/>
    <w:rsid w:val="005359EE"/>
    <w:rsid w:val="00535AB1"/>
    <w:rsid w:val="00535EDA"/>
    <w:rsid w:val="00540FFF"/>
    <w:rsid w:val="00544D28"/>
    <w:rsid w:val="00550CE0"/>
    <w:rsid w:val="00552DE7"/>
    <w:rsid w:val="00555B31"/>
    <w:rsid w:val="00556E37"/>
    <w:rsid w:val="0057788B"/>
    <w:rsid w:val="005821F1"/>
    <w:rsid w:val="00585961"/>
    <w:rsid w:val="00592968"/>
    <w:rsid w:val="0059531E"/>
    <w:rsid w:val="005960CB"/>
    <w:rsid w:val="005A16E8"/>
    <w:rsid w:val="005A4646"/>
    <w:rsid w:val="005A6C07"/>
    <w:rsid w:val="005B34B1"/>
    <w:rsid w:val="005B4C73"/>
    <w:rsid w:val="005B500D"/>
    <w:rsid w:val="005B700F"/>
    <w:rsid w:val="005C1EC5"/>
    <w:rsid w:val="005C264E"/>
    <w:rsid w:val="005C3BD4"/>
    <w:rsid w:val="005C5776"/>
    <w:rsid w:val="005C6844"/>
    <w:rsid w:val="005C7E69"/>
    <w:rsid w:val="005C7F2E"/>
    <w:rsid w:val="005D1DF9"/>
    <w:rsid w:val="005D483F"/>
    <w:rsid w:val="005D48B8"/>
    <w:rsid w:val="005E05FA"/>
    <w:rsid w:val="005E06C3"/>
    <w:rsid w:val="005E19DA"/>
    <w:rsid w:val="005F48D1"/>
    <w:rsid w:val="005F5876"/>
    <w:rsid w:val="00600348"/>
    <w:rsid w:val="00617E83"/>
    <w:rsid w:val="00620666"/>
    <w:rsid w:val="00625091"/>
    <w:rsid w:val="00631B9B"/>
    <w:rsid w:val="0063288C"/>
    <w:rsid w:val="0063711C"/>
    <w:rsid w:val="00640294"/>
    <w:rsid w:val="006404A8"/>
    <w:rsid w:val="006404D3"/>
    <w:rsid w:val="006410B4"/>
    <w:rsid w:val="006449F7"/>
    <w:rsid w:val="0065053E"/>
    <w:rsid w:val="0065150D"/>
    <w:rsid w:val="00652B47"/>
    <w:rsid w:val="00653982"/>
    <w:rsid w:val="00653D49"/>
    <w:rsid w:val="00654356"/>
    <w:rsid w:val="0066029F"/>
    <w:rsid w:val="0066143B"/>
    <w:rsid w:val="00661772"/>
    <w:rsid w:val="00663489"/>
    <w:rsid w:val="00664EC1"/>
    <w:rsid w:val="00667770"/>
    <w:rsid w:val="00667D4B"/>
    <w:rsid w:val="006723FD"/>
    <w:rsid w:val="00674149"/>
    <w:rsid w:val="0067469C"/>
    <w:rsid w:val="00680655"/>
    <w:rsid w:val="00680E81"/>
    <w:rsid w:val="0068135B"/>
    <w:rsid w:val="00683F24"/>
    <w:rsid w:val="00685CEE"/>
    <w:rsid w:val="00690EFA"/>
    <w:rsid w:val="006A2C7E"/>
    <w:rsid w:val="006A2F69"/>
    <w:rsid w:val="006A3026"/>
    <w:rsid w:val="006A49EA"/>
    <w:rsid w:val="006A78F6"/>
    <w:rsid w:val="006B230C"/>
    <w:rsid w:val="006B24F9"/>
    <w:rsid w:val="006B46FA"/>
    <w:rsid w:val="006B6130"/>
    <w:rsid w:val="006C4AC1"/>
    <w:rsid w:val="006C4C4B"/>
    <w:rsid w:val="006C648C"/>
    <w:rsid w:val="006C724A"/>
    <w:rsid w:val="006D19E1"/>
    <w:rsid w:val="006D459A"/>
    <w:rsid w:val="006D68D8"/>
    <w:rsid w:val="006D740A"/>
    <w:rsid w:val="006E1FBB"/>
    <w:rsid w:val="006E2EBE"/>
    <w:rsid w:val="006E359C"/>
    <w:rsid w:val="006E6BDA"/>
    <w:rsid w:val="006F0F21"/>
    <w:rsid w:val="006F451B"/>
    <w:rsid w:val="006F6607"/>
    <w:rsid w:val="006F7CCC"/>
    <w:rsid w:val="00700359"/>
    <w:rsid w:val="007045B2"/>
    <w:rsid w:val="0070564B"/>
    <w:rsid w:val="00713431"/>
    <w:rsid w:val="00715BD9"/>
    <w:rsid w:val="00720480"/>
    <w:rsid w:val="00720A8F"/>
    <w:rsid w:val="00721F79"/>
    <w:rsid w:val="0072255C"/>
    <w:rsid w:val="00723BA9"/>
    <w:rsid w:val="007258EF"/>
    <w:rsid w:val="00725C60"/>
    <w:rsid w:val="007323F4"/>
    <w:rsid w:val="00733282"/>
    <w:rsid w:val="007352EE"/>
    <w:rsid w:val="00740FA9"/>
    <w:rsid w:val="00746F3C"/>
    <w:rsid w:val="00747F0C"/>
    <w:rsid w:val="0075693B"/>
    <w:rsid w:val="00764B4B"/>
    <w:rsid w:val="007707A1"/>
    <w:rsid w:val="007863AA"/>
    <w:rsid w:val="00787682"/>
    <w:rsid w:val="00787E15"/>
    <w:rsid w:val="00792AB3"/>
    <w:rsid w:val="00794965"/>
    <w:rsid w:val="00794D8B"/>
    <w:rsid w:val="00794E28"/>
    <w:rsid w:val="007975D3"/>
    <w:rsid w:val="007A2B68"/>
    <w:rsid w:val="007A5B2A"/>
    <w:rsid w:val="007B57BA"/>
    <w:rsid w:val="007B662B"/>
    <w:rsid w:val="007B7F29"/>
    <w:rsid w:val="007C0D03"/>
    <w:rsid w:val="007C2113"/>
    <w:rsid w:val="007C61BB"/>
    <w:rsid w:val="007D0166"/>
    <w:rsid w:val="007D2A0E"/>
    <w:rsid w:val="007E5F3E"/>
    <w:rsid w:val="007F06C2"/>
    <w:rsid w:val="007F59C1"/>
    <w:rsid w:val="007F717F"/>
    <w:rsid w:val="0080089F"/>
    <w:rsid w:val="008008F1"/>
    <w:rsid w:val="00801C08"/>
    <w:rsid w:val="008055F6"/>
    <w:rsid w:val="008156EC"/>
    <w:rsid w:val="00816C42"/>
    <w:rsid w:val="008206DB"/>
    <w:rsid w:val="008212C4"/>
    <w:rsid w:val="008227D1"/>
    <w:rsid w:val="00822DA1"/>
    <w:rsid w:val="00833916"/>
    <w:rsid w:val="00842391"/>
    <w:rsid w:val="00843754"/>
    <w:rsid w:val="008437E7"/>
    <w:rsid w:val="0084416F"/>
    <w:rsid w:val="008471BD"/>
    <w:rsid w:val="0084746B"/>
    <w:rsid w:val="008474F3"/>
    <w:rsid w:val="008532AB"/>
    <w:rsid w:val="00855222"/>
    <w:rsid w:val="00855FF1"/>
    <w:rsid w:val="00861337"/>
    <w:rsid w:val="0086417E"/>
    <w:rsid w:val="00867141"/>
    <w:rsid w:val="00874EB4"/>
    <w:rsid w:val="00880915"/>
    <w:rsid w:val="00881765"/>
    <w:rsid w:val="00882D45"/>
    <w:rsid w:val="008839C6"/>
    <w:rsid w:val="00885247"/>
    <w:rsid w:val="008855FE"/>
    <w:rsid w:val="008868B5"/>
    <w:rsid w:val="00891FC3"/>
    <w:rsid w:val="008923F2"/>
    <w:rsid w:val="00892B33"/>
    <w:rsid w:val="008973E1"/>
    <w:rsid w:val="008A139B"/>
    <w:rsid w:val="008A7236"/>
    <w:rsid w:val="008B2F5A"/>
    <w:rsid w:val="008B3740"/>
    <w:rsid w:val="008B69D6"/>
    <w:rsid w:val="008B6B7E"/>
    <w:rsid w:val="008C48FA"/>
    <w:rsid w:val="008C4D8A"/>
    <w:rsid w:val="008D0347"/>
    <w:rsid w:val="008D354A"/>
    <w:rsid w:val="008D3FD9"/>
    <w:rsid w:val="008D54AC"/>
    <w:rsid w:val="008D69B9"/>
    <w:rsid w:val="008E0714"/>
    <w:rsid w:val="008E3092"/>
    <w:rsid w:val="008E356A"/>
    <w:rsid w:val="008E416E"/>
    <w:rsid w:val="008E4ED9"/>
    <w:rsid w:val="008E7988"/>
    <w:rsid w:val="008F3146"/>
    <w:rsid w:val="008F3889"/>
    <w:rsid w:val="008F3DB4"/>
    <w:rsid w:val="008F5A2E"/>
    <w:rsid w:val="008F5BD9"/>
    <w:rsid w:val="008F7DD2"/>
    <w:rsid w:val="00901D59"/>
    <w:rsid w:val="00902FB4"/>
    <w:rsid w:val="009033AC"/>
    <w:rsid w:val="00910F94"/>
    <w:rsid w:val="00917FC3"/>
    <w:rsid w:val="00930E8F"/>
    <w:rsid w:val="009334B8"/>
    <w:rsid w:val="0093779E"/>
    <w:rsid w:val="00940FBB"/>
    <w:rsid w:val="00941E5E"/>
    <w:rsid w:val="009460DA"/>
    <w:rsid w:val="00947000"/>
    <w:rsid w:val="00953F37"/>
    <w:rsid w:val="00954FA5"/>
    <w:rsid w:val="00956884"/>
    <w:rsid w:val="00957FE8"/>
    <w:rsid w:val="0096091F"/>
    <w:rsid w:val="009636F8"/>
    <w:rsid w:val="00965D0D"/>
    <w:rsid w:val="00971ABB"/>
    <w:rsid w:val="0097419F"/>
    <w:rsid w:val="00974FDC"/>
    <w:rsid w:val="0098615D"/>
    <w:rsid w:val="00990699"/>
    <w:rsid w:val="0099728B"/>
    <w:rsid w:val="009A009E"/>
    <w:rsid w:val="009A0E59"/>
    <w:rsid w:val="009A12FF"/>
    <w:rsid w:val="009A1D34"/>
    <w:rsid w:val="009A5018"/>
    <w:rsid w:val="009C0781"/>
    <w:rsid w:val="009C12B4"/>
    <w:rsid w:val="009C4A2A"/>
    <w:rsid w:val="009C72F7"/>
    <w:rsid w:val="009C74C3"/>
    <w:rsid w:val="009D3902"/>
    <w:rsid w:val="009D3B0B"/>
    <w:rsid w:val="009D3F7D"/>
    <w:rsid w:val="009E3B2B"/>
    <w:rsid w:val="009E3C37"/>
    <w:rsid w:val="009E49EF"/>
    <w:rsid w:val="009F094D"/>
    <w:rsid w:val="009F0C27"/>
    <w:rsid w:val="009F2DC3"/>
    <w:rsid w:val="009F49FF"/>
    <w:rsid w:val="009F544B"/>
    <w:rsid w:val="009F54B7"/>
    <w:rsid w:val="00A02C37"/>
    <w:rsid w:val="00A048FF"/>
    <w:rsid w:val="00A04DE2"/>
    <w:rsid w:val="00A10AD8"/>
    <w:rsid w:val="00A11748"/>
    <w:rsid w:val="00A15811"/>
    <w:rsid w:val="00A30925"/>
    <w:rsid w:val="00A316B0"/>
    <w:rsid w:val="00A37B35"/>
    <w:rsid w:val="00A40740"/>
    <w:rsid w:val="00A40819"/>
    <w:rsid w:val="00A434FA"/>
    <w:rsid w:val="00A45619"/>
    <w:rsid w:val="00A46758"/>
    <w:rsid w:val="00A50848"/>
    <w:rsid w:val="00A5182C"/>
    <w:rsid w:val="00A53590"/>
    <w:rsid w:val="00A550F4"/>
    <w:rsid w:val="00A5517C"/>
    <w:rsid w:val="00A55986"/>
    <w:rsid w:val="00A57764"/>
    <w:rsid w:val="00A60413"/>
    <w:rsid w:val="00A607DB"/>
    <w:rsid w:val="00A642F6"/>
    <w:rsid w:val="00A645C8"/>
    <w:rsid w:val="00A6699D"/>
    <w:rsid w:val="00A67E80"/>
    <w:rsid w:val="00A709AA"/>
    <w:rsid w:val="00A711B9"/>
    <w:rsid w:val="00A71BD2"/>
    <w:rsid w:val="00A747F2"/>
    <w:rsid w:val="00A74944"/>
    <w:rsid w:val="00A766B9"/>
    <w:rsid w:val="00A82C20"/>
    <w:rsid w:val="00A833C7"/>
    <w:rsid w:val="00A85C64"/>
    <w:rsid w:val="00A91385"/>
    <w:rsid w:val="00A9316D"/>
    <w:rsid w:val="00A9376B"/>
    <w:rsid w:val="00A93D8E"/>
    <w:rsid w:val="00A967F7"/>
    <w:rsid w:val="00AA26C5"/>
    <w:rsid w:val="00AA2BCE"/>
    <w:rsid w:val="00AA32E8"/>
    <w:rsid w:val="00AB7A29"/>
    <w:rsid w:val="00AC1AF9"/>
    <w:rsid w:val="00AD0C1E"/>
    <w:rsid w:val="00AD25F7"/>
    <w:rsid w:val="00AD66C3"/>
    <w:rsid w:val="00AD7E0B"/>
    <w:rsid w:val="00AE2A51"/>
    <w:rsid w:val="00AF121E"/>
    <w:rsid w:val="00AF3A8B"/>
    <w:rsid w:val="00AF527E"/>
    <w:rsid w:val="00AF6062"/>
    <w:rsid w:val="00B00551"/>
    <w:rsid w:val="00B02915"/>
    <w:rsid w:val="00B03A18"/>
    <w:rsid w:val="00B05261"/>
    <w:rsid w:val="00B1042A"/>
    <w:rsid w:val="00B20E8A"/>
    <w:rsid w:val="00B233C0"/>
    <w:rsid w:val="00B26869"/>
    <w:rsid w:val="00B34968"/>
    <w:rsid w:val="00B350B9"/>
    <w:rsid w:val="00B3590D"/>
    <w:rsid w:val="00B37148"/>
    <w:rsid w:val="00B4159A"/>
    <w:rsid w:val="00B422E7"/>
    <w:rsid w:val="00B4366A"/>
    <w:rsid w:val="00B44A70"/>
    <w:rsid w:val="00B50632"/>
    <w:rsid w:val="00B54FD0"/>
    <w:rsid w:val="00B602A1"/>
    <w:rsid w:val="00B66026"/>
    <w:rsid w:val="00B71584"/>
    <w:rsid w:val="00B71C82"/>
    <w:rsid w:val="00B80E60"/>
    <w:rsid w:val="00B83575"/>
    <w:rsid w:val="00B848E8"/>
    <w:rsid w:val="00B91487"/>
    <w:rsid w:val="00B941E1"/>
    <w:rsid w:val="00B97A68"/>
    <w:rsid w:val="00BA029E"/>
    <w:rsid w:val="00BA1F26"/>
    <w:rsid w:val="00BA6F9B"/>
    <w:rsid w:val="00BB0F3C"/>
    <w:rsid w:val="00BB3BA2"/>
    <w:rsid w:val="00BB7FC5"/>
    <w:rsid w:val="00BC0088"/>
    <w:rsid w:val="00BC253D"/>
    <w:rsid w:val="00BC7AD0"/>
    <w:rsid w:val="00BD7A25"/>
    <w:rsid w:val="00BE34DE"/>
    <w:rsid w:val="00BE7366"/>
    <w:rsid w:val="00BF1058"/>
    <w:rsid w:val="00BF2422"/>
    <w:rsid w:val="00BF2CE5"/>
    <w:rsid w:val="00BF65B7"/>
    <w:rsid w:val="00C00D78"/>
    <w:rsid w:val="00C05681"/>
    <w:rsid w:val="00C066CE"/>
    <w:rsid w:val="00C06DCF"/>
    <w:rsid w:val="00C10AD2"/>
    <w:rsid w:val="00C20B39"/>
    <w:rsid w:val="00C35BC5"/>
    <w:rsid w:val="00C35C2A"/>
    <w:rsid w:val="00C36CBD"/>
    <w:rsid w:val="00C40D41"/>
    <w:rsid w:val="00C412F0"/>
    <w:rsid w:val="00C42C27"/>
    <w:rsid w:val="00C4436F"/>
    <w:rsid w:val="00C44514"/>
    <w:rsid w:val="00C5017F"/>
    <w:rsid w:val="00C505BC"/>
    <w:rsid w:val="00C5430B"/>
    <w:rsid w:val="00C5485F"/>
    <w:rsid w:val="00C54924"/>
    <w:rsid w:val="00C6011A"/>
    <w:rsid w:val="00C64A85"/>
    <w:rsid w:val="00C653CC"/>
    <w:rsid w:val="00C70B42"/>
    <w:rsid w:val="00C7394B"/>
    <w:rsid w:val="00C746F0"/>
    <w:rsid w:val="00C74856"/>
    <w:rsid w:val="00C764E3"/>
    <w:rsid w:val="00C80490"/>
    <w:rsid w:val="00C90F8C"/>
    <w:rsid w:val="00C924AD"/>
    <w:rsid w:val="00C96AA1"/>
    <w:rsid w:val="00CA1139"/>
    <w:rsid w:val="00CA45E9"/>
    <w:rsid w:val="00CA5D83"/>
    <w:rsid w:val="00CA65F6"/>
    <w:rsid w:val="00CA7975"/>
    <w:rsid w:val="00CB3710"/>
    <w:rsid w:val="00CB47D8"/>
    <w:rsid w:val="00CD09CA"/>
    <w:rsid w:val="00CD6D2F"/>
    <w:rsid w:val="00CD7D7A"/>
    <w:rsid w:val="00CF1CE3"/>
    <w:rsid w:val="00CF4EBF"/>
    <w:rsid w:val="00CF6A35"/>
    <w:rsid w:val="00D034A3"/>
    <w:rsid w:val="00D03D39"/>
    <w:rsid w:val="00D06F0C"/>
    <w:rsid w:val="00D105EE"/>
    <w:rsid w:val="00D1076A"/>
    <w:rsid w:val="00D146F8"/>
    <w:rsid w:val="00D17652"/>
    <w:rsid w:val="00D17D23"/>
    <w:rsid w:val="00D255C4"/>
    <w:rsid w:val="00D25EEF"/>
    <w:rsid w:val="00D30007"/>
    <w:rsid w:val="00D32A49"/>
    <w:rsid w:val="00D32D52"/>
    <w:rsid w:val="00D3488C"/>
    <w:rsid w:val="00D34991"/>
    <w:rsid w:val="00D37C1A"/>
    <w:rsid w:val="00D4132A"/>
    <w:rsid w:val="00D44A1D"/>
    <w:rsid w:val="00D528D7"/>
    <w:rsid w:val="00D5482B"/>
    <w:rsid w:val="00D62562"/>
    <w:rsid w:val="00D646AC"/>
    <w:rsid w:val="00D65FF8"/>
    <w:rsid w:val="00D67242"/>
    <w:rsid w:val="00D6738C"/>
    <w:rsid w:val="00D677E8"/>
    <w:rsid w:val="00D70320"/>
    <w:rsid w:val="00D70592"/>
    <w:rsid w:val="00D873CF"/>
    <w:rsid w:val="00D87A16"/>
    <w:rsid w:val="00D87A45"/>
    <w:rsid w:val="00D91E7C"/>
    <w:rsid w:val="00DA0422"/>
    <w:rsid w:val="00DA1530"/>
    <w:rsid w:val="00DA1987"/>
    <w:rsid w:val="00DA1EB7"/>
    <w:rsid w:val="00DA2A5F"/>
    <w:rsid w:val="00DB1488"/>
    <w:rsid w:val="00DB4156"/>
    <w:rsid w:val="00DC430E"/>
    <w:rsid w:val="00DC6797"/>
    <w:rsid w:val="00DC6DF4"/>
    <w:rsid w:val="00DD0081"/>
    <w:rsid w:val="00DD23FA"/>
    <w:rsid w:val="00DD4998"/>
    <w:rsid w:val="00DD5E82"/>
    <w:rsid w:val="00DD6459"/>
    <w:rsid w:val="00DD6FA1"/>
    <w:rsid w:val="00DE1053"/>
    <w:rsid w:val="00DE48A3"/>
    <w:rsid w:val="00DE56BD"/>
    <w:rsid w:val="00DE59B4"/>
    <w:rsid w:val="00DE5EC3"/>
    <w:rsid w:val="00DE7AF2"/>
    <w:rsid w:val="00DE7BEF"/>
    <w:rsid w:val="00DF2184"/>
    <w:rsid w:val="00DF75AC"/>
    <w:rsid w:val="00E05D8A"/>
    <w:rsid w:val="00E14721"/>
    <w:rsid w:val="00E20123"/>
    <w:rsid w:val="00E22324"/>
    <w:rsid w:val="00E237A0"/>
    <w:rsid w:val="00E2616F"/>
    <w:rsid w:val="00E26E06"/>
    <w:rsid w:val="00E27B8B"/>
    <w:rsid w:val="00E34666"/>
    <w:rsid w:val="00E402EE"/>
    <w:rsid w:val="00E42C35"/>
    <w:rsid w:val="00E440A9"/>
    <w:rsid w:val="00E47538"/>
    <w:rsid w:val="00E50D11"/>
    <w:rsid w:val="00E51DEF"/>
    <w:rsid w:val="00E52108"/>
    <w:rsid w:val="00E6385E"/>
    <w:rsid w:val="00E67176"/>
    <w:rsid w:val="00E723F5"/>
    <w:rsid w:val="00E739C5"/>
    <w:rsid w:val="00E8106A"/>
    <w:rsid w:val="00E8399A"/>
    <w:rsid w:val="00E85071"/>
    <w:rsid w:val="00E927DF"/>
    <w:rsid w:val="00E92D28"/>
    <w:rsid w:val="00E9563C"/>
    <w:rsid w:val="00EA1582"/>
    <w:rsid w:val="00EA57D7"/>
    <w:rsid w:val="00EA6924"/>
    <w:rsid w:val="00EA7993"/>
    <w:rsid w:val="00EB10FD"/>
    <w:rsid w:val="00EB1CB4"/>
    <w:rsid w:val="00EB397E"/>
    <w:rsid w:val="00EB455E"/>
    <w:rsid w:val="00EC219C"/>
    <w:rsid w:val="00EC59A0"/>
    <w:rsid w:val="00ED0235"/>
    <w:rsid w:val="00ED04F9"/>
    <w:rsid w:val="00ED0AF3"/>
    <w:rsid w:val="00ED114F"/>
    <w:rsid w:val="00ED1AC9"/>
    <w:rsid w:val="00ED7775"/>
    <w:rsid w:val="00EE4BFB"/>
    <w:rsid w:val="00EE5D6E"/>
    <w:rsid w:val="00EE6945"/>
    <w:rsid w:val="00EE6A42"/>
    <w:rsid w:val="00EF23A8"/>
    <w:rsid w:val="00EF42F9"/>
    <w:rsid w:val="00F0107D"/>
    <w:rsid w:val="00F02424"/>
    <w:rsid w:val="00F0570A"/>
    <w:rsid w:val="00F07896"/>
    <w:rsid w:val="00F11BDF"/>
    <w:rsid w:val="00F157D1"/>
    <w:rsid w:val="00F21E97"/>
    <w:rsid w:val="00F21FFF"/>
    <w:rsid w:val="00F25CE7"/>
    <w:rsid w:val="00F30DE6"/>
    <w:rsid w:val="00F34474"/>
    <w:rsid w:val="00F3502B"/>
    <w:rsid w:val="00F36366"/>
    <w:rsid w:val="00F364EF"/>
    <w:rsid w:val="00F37FA9"/>
    <w:rsid w:val="00F409AF"/>
    <w:rsid w:val="00F40EEC"/>
    <w:rsid w:val="00F433B7"/>
    <w:rsid w:val="00F443CE"/>
    <w:rsid w:val="00F443F9"/>
    <w:rsid w:val="00F45FEB"/>
    <w:rsid w:val="00F55344"/>
    <w:rsid w:val="00F55760"/>
    <w:rsid w:val="00F55814"/>
    <w:rsid w:val="00F573A1"/>
    <w:rsid w:val="00F57688"/>
    <w:rsid w:val="00F6018F"/>
    <w:rsid w:val="00F63B83"/>
    <w:rsid w:val="00F6439D"/>
    <w:rsid w:val="00F6694A"/>
    <w:rsid w:val="00F7079F"/>
    <w:rsid w:val="00F70877"/>
    <w:rsid w:val="00F730A4"/>
    <w:rsid w:val="00F764ED"/>
    <w:rsid w:val="00F80CA1"/>
    <w:rsid w:val="00F8283F"/>
    <w:rsid w:val="00F8515F"/>
    <w:rsid w:val="00F902AA"/>
    <w:rsid w:val="00F92FB2"/>
    <w:rsid w:val="00FB3FFA"/>
    <w:rsid w:val="00FB5B10"/>
    <w:rsid w:val="00FB6184"/>
    <w:rsid w:val="00FC1D3F"/>
    <w:rsid w:val="00FC2839"/>
    <w:rsid w:val="00FC2E38"/>
    <w:rsid w:val="00FC3C1C"/>
    <w:rsid w:val="00FC5E0D"/>
    <w:rsid w:val="00FD44CE"/>
    <w:rsid w:val="00FD4C87"/>
    <w:rsid w:val="00FD733D"/>
    <w:rsid w:val="00FE08A5"/>
    <w:rsid w:val="00FE5E11"/>
    <w:rsid w:val="00FF1B6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lsdException w:name="Table Classic 2" w:uiPriority="0"/>
    <w:lsdException w:name="Table List 7"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9CF"/>
  </w:style>
  <w:style w:type="paragraph" w:styleId="Heading1">
    <w:name w:val="heading 1"/>
    <w:basedOn w:val="Normal"/>
    <w:next w:val="Normal"/>
    <w:link w:val="Heading1Char"/>
    <w:uiPriority w:val="9"/>
    <w:qFormat/>
    <w:rsid w:val="00EF42F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aliases w:val="Heading 2 Char2,Heading 2 Char1 Char,Heading 2 Char Char1,Heading 2 Char1,Heading 2 Char Char"/>
    <w:basedOn w:val="Normal"/>
    <w:next w:val="Normal"/>
    <w:link w:val="Heading2Char"/>
    <w:uiPriority w:val="9"/>
    <w:unhideWhenUsed/>
    <w:qFormat/>
    <w:rsid w:val="005A6C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59F0"/>
    <w:pPr>
      <w:spacing w:before="240" w:after="240" w:line="360" w:lineRule="auto"/>
      <w:ind w:left="851" w:hanging="851"/>
      <w:outlineLvl w:val="2"/>
    </w:pPr>
    <w:rPr>
      <w:rFonts w:ascii="Arial" w:eastAsia="Times New Roman" w:hAnsi="Arial" w:cs="Times New Roman"/>
      <w:b/>
      <w:bCs/>
      <w:sz w:val="24"/>
      <w:szCs w:val="27"/>
      <w:lang w:val="en-ZA" w:eastAsia="en-ZA"/>
    </w:rPr>
  </w:style>
  <w:style w:type="paragraph" w:styleId="Heading4">
    <w:name w:val="heading 4"/>
    <w:basedOn w:val="Normal"/>
    <w:next w:val="Normal"/>
    <w:link w:val="Heading4Char"/>
    <w:uiPriority w:val="9"/>
    <w:unhideWhenUsed/>
    <w:qFormat/>
    <w:rsid w:val="005259F0"/>
    <w:pPr>
      <w:spacing w:before="240" w:after="240" w:line="360" w:lineRule="auto"/>
      <w:ind w:left="864" w:hanging="864"/>
      <w:outlineLvl w:val="3"/>
    </w:pPr>
    <w:rPr>
      <w:rFonts w:ascii="Arial" w:eastAsia="Times New Roman" w:hAnsi="Arial" w:cs="Times New Roman"/>
      <w:b/>
      <w:bCs/>
      <w:iCs/>
      <w:sz w:val="24"/>
      <w:szCs w:val="24"/>
      <w:lang w:val="en-ZA" w:eastAsia="en-ZA"/>
    </w:rPr>
  </w:style>
  <w:style w:type="paragraph" w:styleId="Heading5">
    <w:name w:val="heading 5"/>
    <w:basedOn w:val="Normal"/>
    <w:next w:val="Normal"/>
    <w:link w:val="Heading5Char"/>
    <w:uiPriority w:val="9"/>
    <w:unhideWhenUsed/>
    <w:qFormat/>
    <w:rsid w:val="005259F0"/>
    <w:pPr>
      <w:spacing w:before="280" w:after="0" w:line="360" w:lineRule="auto"/>
      <w:ind w:left="1008" w:hanging="1008"/>
      <w:outlineLvl w:val="4"/>
    </w:pPr>
    <w:rPr>
      <w:rFonts w:ascii="Cambria" w:eastAsia="Times New Roman" w:hAnsi="Cambria" w:cs="Times New Roman"/>
      <w:b/>
      <w:bCs/>
      <w:i/>
      <w:iCs/>
      <w:lang w:val="en-ZA" w:eastAsia="en-ZA"/>
    </w:rPr>
  </w:style>
  <w:style w:type="paragraph" w:styleId="Heading6">
    <w:name w:val="heading 6"/>
    <w:basedOn w:val="Normal"/>
    <w:next w:val="Normal"/>
    <w:link w:val="Heading6Char"/>
    <w:uiPriority w:val="9"/>
    <w:unhideWhenUsed/>
    <w:qFormat/>
    <w:rsid w:val="005259F0"/>
    <w:pPr>
      <w:spacing w:before="280" w:after="80" w:line="360" w:lineRule="auto"/>
      <w:ind w:left="1152" w:hanging="1152"/>
      <w:outlineLvl w:val="5"/>
    </w:pPr>
    <w:rPr>
      <w:rFonts w:ascii="Cambria" w:eastAsia="Times New Roman" w:hAnsi="Cambria" w:cs="Times New Roman"/>
      <w:b/>
      <w:bCs/>
      <w:i/>
      <w:iCs/>
      <w:lang w:val="en-ZA" w:eastAsia="en-ZA"/>
    </w:rPr>
  </w:style>
  <w:style w:type="paragraph" w:styleId="Heading7">
    <w:name w:val="heading 7"/>
    <w:basedOn w:val="Normal"/>
    <w:next w:val="Normal"/>
    <w:link w:val="Heading7Char"/>
    <w:uiPriority w:val="9"/>
    <w:unhideWhenUsed/>
    <w:qFormat/>
    <w:rsid w:val="005259F0"/>
    <w:pPr>
      <w:spacing w:before="280" w:after="0" w:line="360" w:lineRule="auto"/>
      <w:ind w:left="1296" w:hanging="1296"/>
      <w:outlineLvl w:val="6"/>
    </w:pPr>
    <w:rPr>
      <w:rFonts w:ascii="Cambria" w:eastAsia="Times New Roman" w:hAnsi="Cambria" w:cs="Times New Roman"/>
      <w:b/>
      <w:bCs/>
      <w:i/>
      <w:iCs/>
      <w:sz w:val="20"/>
      <w:szCs w:val="20"/>
      <w:lang w:val="en-ZA" w:eastAsia="en-ZA"/>
    </w:rPr>
  </w:style>
  <w:style w:type="paragraph" w:styleId="Heading8">
    <w:name w:val="heading 8"/>
    <w:aliases w:val="figure"/>
    <w:basedOn w:val="Normal"/>
    <w:next w:val="Normal"/>
    <w:link w:val="Heading8Char"/>
    <w:uiPriority w:val="9"/>
    <w:unhideWhenUsed/>
    <w:qFormat/>
    <w:rsid w:val="005259F0"/>
    <w:pPr>
      <w:spacing w:before="280" w:after="0" w:line="360" w:lineRule="auto"/>
      <w:ind w:left="1440" w:hanging="1440"/>
      <w:outlineLvl w:val="7"/>
    </w:pPr>
    <w:rPr>
      <w:rFonts w:ascii="Cambria" w:eastAsia="Times New Roman" w:hAnsi="Cambria" w:cs="Times New Roman"/>
      <w:b/>
      <w:bCs/>
      <w:i/>
      <w:iCs/>
      <w:sz w:val="18"/>
      <w:szCs w:val="18"/>
      <w:lang w:val="en-ZA" w:eastAsia="en-ZA"/>
    </w:rPr>
  </w:style>
  <w:style w:type="paragraph" w:styleId="Heading9">
    <w:name w:val="heading 9"/>
    <w:basedOn w:val="Normal"/>
    <w:next w:val="Normal"/>
    <w:link w:val="Heading9Char"/>
    <w:uiPriority w:val="9"/>
    <w:unhideWhenUsed/>
    <w:qFormat/>
    <w:rsid w:val="005259F0"/>
    <w:pPr>
      <w:spacing w:before="280" w:after="0" w:line="360" w:lineRule="auto"/>
      <w:ind w:left="1584" w:hanging="1584"/>
      <w:outlineLvl w:val="8"/>
    </w:pPr>
    <w:rPr>
      <w:rFonts w:ascii="Cambria" w:eastAsia="Times New Roman" w:hAnsi="Cambria" w:cs="Times New Roman"/>
      <w:i/>
      <w:iCs/>
      <w:sz w:val="18"/>
      <w:szCs w:val="1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F42F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Heading 2 Char2 Char1,Heading 2 Char1 Char Char1,Heading 2 Char Char1 Char1,Heading 2 Char1 Char2,Heading 2 Char Char Char1"/>
    <w:basedOn w:val="DefaultParagraphFont"/>
    <w:link w:val="Heading2"/>
    <w:uiPriority w:val="9"/>
    <w:rsid w:val="005A6C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259F0"/>
    <w:rPr>
      <w:rFonts w:ascii="Arial" w:eastAsia="Times New Roman" w:hAnsi="Arial" w:cs="Times New Roman"/>
      <w:b/>
      <w:bCs/>
      <w:sz w:val="24"/>
      <w:szCs w:val="27"/>
      <w:lang w:val="en-ZA" w:eastAsia="en-ZA"/>
    </w:rPr>
  </w:style>
  <w:style w:type="character" w:customStyle="1" w:styleId="Heading4Char">
    <w:name w:val="Heading 4 Char"/>
    <w:basedOn w:val="DefaultParagraphFont"/>
    <w:link w:val="Heading4"/>
    <w:uiPriority w:val="9"/>
    <w:rsid w:val="005259F0"/>
    <w:rPr>
      <w:rFonts w:ascii="Arial" w:eastAsia="Times New Roman" w:hAnsi="Arial" w:cs="Times New Roman"/>
      <w:b/>
      <w:bCs/>
      <w:iCs/>
      <w:sz w:val="24"/>
      <w:szCs w:val="24"/>
      <w:lang w:val="en-ZA" w:eastAsia="en-ZA"/>
    </w:rPr>
  </w:style>
  <w:style w:type="character" w:customStyle="1" w:styleId="Heading5Char">
    <w:name w:val="Heading 5 Char"/>
    <w:basedOn w:val="DefaultParagraphFont"/>
    <w:link w:val="Heading5"/>
    <w:uiPriority w:val="9"/>
    <w:qFormat/>
    <w:rsid w:val="005259F0"/>
    <w:rPr>
      <w:rFonts w:ascii="Cambria" w:eastAsia="Times New Roman" w:hAnsi="Cambria" w:cs="Times New Roman"/>
      <w:b/>
      <w:bCs/>
      <w:i/>
      <w:iCs/>
      <w:lang w:val="en-ZA" w:eastAsia="en-ZA"/>
    </w:rPr>
  </w:style>
  <w:style w:type="character" w:customStyle="1" w:styleId="Heading6Char">
    <w:name w:val="Heading 6 Char"/>
    <w:basedOn w:val="DefaultParagraphFont"/>
    <w:link w:val="Heading6"/>
    <w:uiPriority w:val="9"/>
    <w:rsid w:val="005259F0"/>
    <w:rPr>
      <w:rFonts w:ascii="Cambria" w:eastAsia="Times New Roman" w:hAnsi="Cambria" w:cs="Times New Roman"/>
      <w:b/>
      <w:bCs/>
      <w:i/>
      <w:iCs/>
      <w:lang w:val="en-ZA" w:eastAsia="en-ZA"/>
    </w:rPr>
  </w:style>
  <w:style w:type="character" w:customStyle="1" w:styleId="Heading7Char">
    <w:name w:val="Heading 7 Char"/>
    <w:basedOn w:val="DefaultParagraphFont"/>
    <w:link w:val="Heading7"/>
    <w:uiPriority w:val="9"/>
    <w:rsid w:val="005259F0"/>
    <w:rPr>
      <w:rFonts w:ascii="Cambria" w:eastAsia="Times New Roman" w:hAnsi="Cambria" w:cs="Times New Roman"/>
      <w:b/>
      <w:bCs/>
      <w:i/>
      <w:iCs/>
      <w:sz w:val="20"/>
      <w:szCs w:val="20"/>
      <w:lang w:val="en-ZA" w:eastAsia="en-ZA"/>
    </w:rPr>
  </w:style>
  <w:style w:type="character" w:customStyle="1" w:styleId="Heading8Char">
    <w:name w:val="Heading 8 Char"/>
    <w:aliases w:val="figure Char"/>
    <w:basedOn w:val="DefaultParagraphFont"/>
    <w:link w:val="Heading8"/>
    <w:uiPriority w:val="9"/>
    <w:rsid w:val="005259F0"/>
    <w:rPr>
      <w:rFonts w:ascii="Cambria" w:eastAsia="Times New Roman" w:hAnsi="Cambria" w:cs="Times New Roman"/>
      <w:b/>
      <w:bCs/>
      <w:i/>
      <w:iCs/>
      <w:sz w:val="18"/>
      <w:szCs w:val="18"/>
      <w:lang w:val="en-ZA" w:eastAsia="en-ZA"/>
    </w:rPr>
  </w:style>
  <w:style w:type="character" w:customStyle="1" w:styleId="Heading9Char">
    <w:name w:val="Heading 9 Char"/>
    <w:basedOn w:val="DefaultParagraphFont"/>
    <w:link w:val="Heading9"/>
    <w:uiPriority w:val="9"/>
    <w:rsid w:val="005259F0"/>
    <w:rPr>
      <w:rFonts w:ascii="Cambria" w:eastAsia="Times New Roman" w:hAnsi="Cambria" w:cs="Times New Roman"/>
      <w:i/>
      <w:iCs/>
      <w:sz w:val="18"/>
      <w:szCs w:val="18"/>
      <w:lang w:val="en-ZA" w:eastAsia="en-ZA"/>
    </w:rPr>
  </w:style>
  <w:style w:type="paragraph" w:styleId="ListParagraph">
    <w:name w:val="List Paragraph"/>
    <w:aliases w:val="BPList,Photo,تيتر سوم,لیست"/>
    <w:basedOn w:val="Normal"/>
    <w:link w:val="ListParagraphChar"/>
    <w:uiPriority w:val="34"/>
    <w:qFormat/>
    <w:rsid w:val="003729CF"/>
    <w:pPr>
      <w:ind w:left="720"/>
      <w:contextualSpacing/>
    </w:pPr>
    <w:rPr>
      <w:rFonts w:ascii="Calibri" w:eastAsia="Calibri" w:hAnsi="Calibri" w:cs="Times New Roman"/>
      <w:lang w:val="en-US"/>
    </w:rPr>
  </w:style>
  <w:style w:type="character" w:customStyle="1" w:styleId="rpc31">
    <w:name w:val="_rpc_31"/>
    <w:basedOn w:val="DefaultParagraphFont"/>
    <w:rsid w:val="003729CF"/>
  </w:style>
  <w:style w:type="character" w:customStyle="1" w:styleId="hps">
    <w:name w:val="hps"/>
    <w:basedOn w:val="DefaultParagraphFont"/>
    <w:rsid w:val="003729CF"/>
  </w:style>
  <w:style w:type="character" w:customStyle="1" w:styleId="longtext">
    <w:name w:val="long_text"/>
    <w:basedOn w:val="DefaultParagraphFont"/>
    <w:rsid w:val="003729CF"/>
  </w:style>
  <w:style w:type="table" w:customStyle="1" w:styleId="TableGrid1">
    <w:name w:val="Table Grid1"/>
    <w:basedOn w:val="TableNormal"/>
    <w:next w:val="TableGrid"/>
    <w:uiPriority w:val="59"/>
    <w:rsid w:val="003729C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qFormat/>
    <w:rsid w:val="003729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3729CF"/>
    <w:rPr>
      <w:sz w:val="16"/>
      <w:szCs w:val="16"/>
    </w:rPr>
  </w:style>
  <w:style w:type="paragraph" w:styleId="CommentText">
    <w:name w:val="annotation text"/>
    <w:basedOn w:val="Normal"/>
    <w:link w:val="CommentTextChar"/>
    <w:uiPriority w:val="99"/>
    <w:unhideWhenUsed/>
    <w:rsid w:val="003729CF"/>
    <w:pPr>
      <w:spacing w:line="240" w:lineRule="auto"/>
    </w:pPr>
    <w:rPr>
      <w:sz w:val="20"/>
      <w:szCs w:val="20"/>
    </w:rPr>
  </w:style>
  <w:style w:type="character" w:customStyle="1" w:styleId="CommentTextChar">
    <w:name w:val="Comment Text Char"/>
    <w:basedOn w:val="DefaultParagraphFont"/>
    <w:link w:val="CommentText"/>
    <w:uiPriority w:val="99"/>
    <w:rsid w:val="003729CF"/>
    <w:rPr>
      <w:sz w:val="20"/>
      <w:szCs w:val="20"/>
    </w:rPr>
  </w:style>
  <w:style w:type="paragraph" w:styleId="BalloonText">
    <w:name w:val="Balloon Text"/>
    <w:basedOn w:val="Normal"/>
    <w:link w:val="BalloonTextChar"/>
    <w:uiPriority w:val="99"/>
    <w:unhideWhenUsed/>
    <w:rsid w:val="00372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729CF"/>
    <w:rPr>
      <w:rFonts w:ascii="Tahoma" w:hAnsi="Tahoma" w:cs="Tahoma"/>
      <w:sz w:val="16"/>
      <w:szCs w:val="16"/>
    </w:rPr>
  </w:style>
  <w:style w:type="paragraph" w:styleId="Header">
    <w:name w:val="header"/>
    <w:aliases w:val=" Char Char"/>
    <w:basedOn w:val="Normal"/>
    <w:link w:val="HeaderChar"/>
    <w:uiPriority w:val="99"/>
    <w:unhideWhenUsed/>
    <w:qFormat/>
    <w:rsid w:val="009E3C37"/>
    <w:pPr>
      <w:tabs>
        <w:tab w:val="center" w:pos="4680"/>
        <w:tab w:val="right" w:pos="9360"/>
      </w:tabs>
      <w:spacing w:after="0" w:line="240" w:lineRule="auto"/>
    </w:pPr>
  </w:style>
  <w:style w:type="character" w:customStyle="1" w:styleId="HeaderChar">
    <w:name w:val="Header Char"/>
    <w:aliases w:val=" Char Char Char"/>
    <w:basedOn w:val="DefaultParagraphFont"/>
    <w:link w:val="Header"/>
    <w:uiPriority w:val="99"/>
    <w:rsid w:val="009E3C37"/>
  </w:style>
  <w:style w:type="paragraph" w:styleId="Footer">
    <w:name w:val="footer"/>
    <w:basedOn w:val="Normal"/>
    <w:link w:val="FooterChar"/>
    <w:uiPriority w:val="99"/>
    <w:unhideWhenUsed/>
    <w:rsid w:val="009E3C3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3C37"/>
  </w:style>
  <w:style w:type="character" w:styleId="Hyperlink">
    <w:name w:val="Hyperlink"/>
    <w:basedOn w:val="DefaultParagraphFont"/>
    <w:uiPriority w:val="99"/>
    <w:unhideWhenUsed/>
    <w:qFormat/>
    <w:rsid w:val="00EF42F9"/>
    <w:rPr>
      <w:color w:val="0000FF" w:themeColor="hyperlink"/>
      <w:u w:val="single"/>
    </w:rPr>
  </w:style>
  <w:style w:type="character" w:styleId="FollowedHyperlink">
    <w:name w:val="FollowedHyperlink"/>
    <w:basedOn w:val="DefaultParagraphFont"/>
    <w:uiPriority w:val="99"/>
    <w:unhideWhenUsed/>
    <w:rsid w:val="00EF42F9"/>
    <w:rPr>
      <w:color w:val="800080" w:themeColor="followedHyperlink"/>
      <w:u w:val="single"/>
    </w:rPr>
  </w:style>
  <w:style w:type="character" w:customStyle="1" w:styleId="CommentSubjectChar">
    <w:name w:val="Comment Subject Char"/>
    <w:basedOn w:val="CommentTextChar"/>
    <w:link w:val="CommentSubject"/>
    <w:uiPriority w:val="99"/>
    <w:rsid w:val="00EF42F9"/>
    <w:rPr>
      <w:rFonts w:ascii="Times New Roman" w:eastAsia="Calibri" w:hAnsi="Times New Roman" w:cs="Times New Roman"/>
      <w:b/>
      <w:bCs/>
      <w:sz w:val="20"/>
      <w:szCs w:val="20"/>
      <w:lang w:val="en-AU" w:eastAsia="en-AU"/>
    </w:rPr>
  </w:style>
  <w:style w:type="paragraph" w:styleId="CommentSubject">
    <w:name w:val="annotation subject"/>
    <w:basedOn w:val="CommentText"/>
    <w:next w:val="CommentText"/>
    <w:link w:val="CommentSubjectChar"/>
    <w:uiPriority w:val="99"/>
    <w:unhideWhenUsed/>
    <w:rsid w:val="00EF42F9"/>
    <w:pPr>
      <w:spacing w:after="0"/>
    </w:pPr>
    <w:rPr>
      <w:rFonts w:ascii="Times New Roman" w:eastAsia="Calibri" w:hAnsi="Times New Roman" w:cs="Times New Roman"/>
      <w:b/>
      <w:bCs/>
      <w:lang w:val="en-AU" w:eastAsia="en-AU"/>
    </w:rPr>
  </w:style>
  <w:style w:type="paragraph" w:styleId="BodyText2">
    <w:name w:val="Body Text 2"/>
    <w:basedOn w:val="Normal"/>
    <w:link w:val="BodyText2Char"/>
    <w:rsid w:val="00EF42F9"/>
    <w:pPr>
      <w:spacing w:after="0" w:line="24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EF42F9"/>
    <w:rPr>
      <w:rFonts w:ascii="Times New Roman" w:eastAsia="Times New Roman" w:hAnsi="Times New Roman" w:cs="Times New Roman"/>
      <w:sz w:val="24"/>
      <w:szCs w:val="24"/>
      <w:lang w:val="en-US"/>
    </w:rPr>
  </w:style>
  <w:style w:type="paragraph" w:styleId="FootnoteText">
    <w:name w:val="footnote text"/>
    <w:aliases w:val="Podrozdział,Fußnote,Footnote,Podrozdzia3,Tekst przypisu1,Tekst przypisu2,Tekst przypisu11,Znak Znak Znak Znak,Znak,FNT ISO"/>
    <w:basedOn w:val="Normal"/>
    <w:link w:val="FootnoteTextChar"/>
    <w:uiPriority w:val="99"/>
    <w:unhideWhenUsed/>
    <w:rsid w:val="00EF42F9"/>
    <w:pPr>
      <w:spacing w:after="0" w:line="240" w:lineRule="auto"/>
    </w:pPr>
    <w:rPr>
      <w:rFonts w:eastAsiaTheme="minorEastAsia"/>
      <w:sz w:val="20"/>
      <w:szCs w:val="20"/>
      <w:lang w:val="en-US"/>
    </w:rPr>
  </w:style>
  <w:style w:type="character" w:customStyle="1" w:styleId="FootnoteTextChar">
    <w:name w:val="Footnote Text Char"/>
    <w:aliases w:val="Podrozdział Char,Fußnote Char,Footnote Char,Podrozdzia3 Char,Tekst przypisu1 Char,Tekst przypisu2 Char,Tekst przypisu11 Char,Znak Znak Znak Znak Char,Znak Char,FNT ISO Char"/>
    <w:basedOn w:val="DefaultParagraphFont"/>
    <w:link w:val="FootnoteText"/>
    <w:uiPriority w:val="99"/>
    <w:rsid w:val="00EF42F9"/>
    <w:rPr>
      <w:rFonts w:eastAsiaTheme="minorEastAsia"/>
      <w:sz w:val="20"/>
      <w:szCs w:val="20"/>
      <w:lang w:val="en-US"/>
    </w:rPr>
  </w:style>
  <w:style w:type="character" w:styleId="FootnoteReference">
    <w:name w:val="footnote reference"/>
    <w:basedOn w:val="DefaultParagraphFont"/>
    <w:uiPriority w:val="99"/>
    <w:unhideWhenUsed/>
    <w:rsid w:val="00EF42F9"/>
    <w:rPr>
      <w:vertAlign w:val="superscript"/>
    </w:rPr>
  </w:style>
  <w:style w:type="paragraph" w:styleId="NormalWeb">
    <w:name w:val="Normal (Web)"/>
    <w:basedOn w:val="Normal"/>
    <w:link w:val="NormalWebChar"/>
    <w:uiPriority w:val="99"/>
    <w:unhideWhenUsed/>
    <w:rsid w:val="00EF42F9"/>
    <w:pPr>
      <w:spacing w:after="150" w:line="240" w:lineRule="auto"/>
    </w:pPr>
    <w:rPr>
      <w:rFonts w:ascii="Times New Roman" w:eastAsia="Times New Roman" w:hAnsi="Times New Roman" w:cs="Times New Roman"/>
      <w:sz w:val="24"/>
      <w:szCs w:val="24"/>
      <w:lang w:val="en-US"/>
    </w:rPr>
  </w:style>
  <w:style w:type="character" w:customStyle="1" w:styleId="atn">
    <w:name w:val="atn"/>
    <w:basedOn w:val="DefaultParagraphFont"/>
    <w:rsid w:val="00EF42F9"/>
  </w:style>
  <w:style w:type="character" w:styleId="HTMLCite">
    <w:name w:val="HTML Cite"/>
    <w:basedOn w:val="DefaultParagraphFont"/>
    <w:uiPriority w:val="99"/>
    <w:unhideWhenUsed/>
    <w:rsid w:val="00EF42F9"/>
    <w:rPr>
      <w:i/>
      <w:iCs/>
    </w:rPr>
  </w:style>
  <w:style w:type="character" w:customStyle="1" w:styleId="slug-pub-date">
    <w:name w:val="slug-pub-date"/>
    <w:basedOn w:val="DefaultParagraphFont"/>
    <w:rsid w:val="00EF42F9"/>
  </w:style>
  <w:style w:type="character" w:customStyle="1" w:styleId="slug-vol">
    <w:name w:val="slug-vol"/>
    <w:basedOn w:val="DefaultParagraphFont"/>
    <w:rsid w:val="00EF42F9"/>
  </w:style>
  <w:style w:type="character" w:customStyle="1" w:styleId="slug-issue">
    <w:name w:val="slug-issue"/>
    <w:basedOn w:val="DefaultParagraphFont"/>
    <w:rsid w:val="00EF42F9"/>
  </w:style>
  <w:style w:type="character" w:customStyle="1" w:styleId="slug-pages">
    <w:name w:val="slug-pages"/>
    <w:basedOn w:val="DefaultParagraphFont"/>
    <w:rsid w:val="00EF42F9"/>
  </w:style>
  <w:style w:type="character" w:styleId="Emphasis">
    <w:name w:val="Emphasis"/>
    <w:basedOn w:val="DefaultParagraphFont"/>
    <w:uiPriority w:val="20"/>
    <w:qFormat/>
    <w:rsid w:val="00EF42F9"/>
    <w:rPr>
      <w:b/>
      <w:bCs/>
      <w:i w:val="0"/>
      <w:iCs w:val="0"/>
    </w:rPr>
  </w:style>
  <w:style w:type="character" w:customStyle="1" w:styleId="st1">
    <w:name w:val="st1"/>
    <w:basedOn w:val="DefaultParagraphFont"/>
    <w:rsid w:val="00EF42F9"/>
  </w:style>
  <w:style w:type="character" w:styleId="Strong">
    <w:name w:val="Strong"/>
    <w:basedOn w:val="DefaultParagraphFont"/>
    <w:uiPriority w:val="22"/>
    <w:qFormat/>
    <w:rsid w:val="00EF42F9"/>
    <w:rPr>
      <w:b/>
      <w:bCs/>
    </w:rPr>
  </w:style>
  <w:style w:type="paragraph" w:styleId="NoSpacing">
    <w:name w:val="No Spacing"/>
    <w:link w:val="NoSpacingChar"/>
    <w:uiPriority w:val="1"/>
    <w:qFormat/>
    <w:rsid w:val="00EF42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E1053"/>
    <w:rPr>
      <w:rFonts w:eastAsiaTheme="minorEastAsia"/>
      <w:lang w:val="en-US"/>
    </w:rPr>
  </w:style>
  <w:style w:type="paragraph" w:styleId="BodyText">
    <w:name w:val="Body Text"/>
    <w:basedOn w:val="Normal"/>
    <w:link w:val="BodyTextChar"/>
    <w:uiPriority w:val="1"/>
    <w:unhideWhenUsed/>
    <w:qFormat/>
    <w:rsid w:val="005A6C07"/>
    <w:pPr>
      <w:spacing w:after="120"/>
    </w:pPr>
  </w:style>
  <w:style w:type="character" w:customStyle="1" w:styleId="BodyTextChar">
    <w:name w:val="Body Text Char"/>
    <w:basedOn w:val="DefaultParagraphFont"/>
    <w:link w:val="BodyText"/>
    <w:uiPriority w:val="99"/>
    <w:rsid w:val="005A6C07"/>
  </w:style>
  <w:style w:type="paragraph" w:customStyle="1" w:styleId="TitleofPaper">
    <w:name w:val="Title of Paper"/>
    <w:basedOn w:val="Normal"/>
    <w:rsid w:val="005A6C07"/>
    <w:pPr>
      <w:spacing w:beforeLines="200" w:after="360" w:line="240" w:lineRule="auto"/>
      <w:jc w:val="center"/>
    </w:pPr>
    <w:rPr>
      <w:rFonts w:ascii="Times New Roman" w:eastAsia="MS Mincho" w:hAnsi="Times New Roman" w:cs="Times New Roman"/>
      <w:b/>
      <w:bCs/>
      <w:sz w:val="32"/>
      <w:szCs w:val="40"/>
      <w:lang w:val="en-US" w:eastAsia="zh-CN"/>
    </w:rPr>
  </w:style>
  <w:style w:type="paragraph" w:customStyle="1" w:styleId="Author">
    <w:name w:val="Author"/>
    <w:basedOn w:val="Normal"/>
    <w:rsid w:val="005A6C07"/>
    <w:pPr>
      <w:tabs>
        <w:tab w:val="left" w:pos="1800"/>
        <w:tab w:val="left" w:pos="3510"/>
      </w:tabs>
      <w:spacing w:after="0" w:line="360" w:lineRule="auto"/>
      <w:jc w:val="center"/>
    </w:pPr>
    <w:rPr>
      <w:rFonts w:ascii="Times New Roman" w:eastAsia="MS Mincho" w:hAnsi="Times New Roman" w:cs="Times New Roman"/>
      <w:sz w:val="24"/>
      <w:lang w:val="en-US" w:eastAsia="zh-CN"/>
    </w:rPr>
  </w:style>
  <w:style w:type="paragraph" w:customStyle="1" w:styleId="Affiliation">
    <w:name w:val="Affiliation"/>
    <w:basedOn w:val="Normal"/>
    <w:rsid w:val="005A6C07"/>
    <w:pPr>
      <w:spacing w:afterLines="25" w:line="240" w:lineRule="auto"/>
      <w:jc w:val="center"/>
    </w:pPr>
    <w:rPr>
      <w:rFonts w:ascii="Times New Roman" w:eastAsia="PMingLiU" w:hAnsi="Times New Roman" w:cs="Times New Roman"/>
      <w:szCs w:val="20"/>
      <w:lang w:val="en-US" w:eastAsia="zh-CN"/>
    </w:rPr>
  </w:style>
  <w:style w:type="paragraph" w:customStyle="1" w:styleId="Header1">
    <w:name w:val="Header 1"/>
    <w:basedOn w:val="Normal"/>
    <w:rsid w:val="005A6C07"/>
    <w:pPr>
      <w:tabs>
        <w:tab w:val="num" w:pos="360"/>
      </w:tabs>
      <w:spacing w:before="240" w:after="120" w:line="240" w:lineRule="exact"/>
      <w:ind w:left="360" w:hanging="360"/>
    </w:pPr>
    <w:rPr>
      <w:rFonts w:ascii="Times New Roman" w:eastAsia="SimSun" w:hAnsi="Times New Roman" w:cs="Times New Roman"/>
      <w:b/>
      <w:bCs/>
      <w:sz w:val="28"/>
      <w:szCs w:val="28"/>
      <w:lang w:val="en-US" w:eastAsia="zh-CN"/>
    </w:rPr>
  </w:style>
  <w:style w:type="paragraph" w:customStyle="1" w:styleId="Header2">
    <w:name w:val="Header 2"/>
    <w:basedOn w:val="Header1"/>
    <w:autoRedefine/>
    <w:rsid w:val="005A6C07"/>
    <w:pPr>
      <w:numPr>
        <w:ilvl w:val="1"/>
      </w:numPr>
      <w:tabs>
        <w:tab w:val="num" w:pos="360"/>
        <w:tab w:val="num" w:pos="567"/>
      </w:tabs>
      <w:spacing w:before="0" w:after="0" w:line="240" w:lineRule="auto"/>
      <w:ind w:left="607" w:hanging="607"/>
    </w:pPr>
    <w:rPr>
      <w:sz w:val="24"/>
    </w:rPr>
  </w:style>
  <w:style w:type="paragraph" w:customStyle="1" w:styleId="abstract">
    <w:name w:val="abstract"/>
    <w:basedOn w:val="Normal"/>
    <w:rsid w:val="005A6C07"/>
    <w:pPr>
      <w:spacing w:after="0" w:line="240" w:lineRule="auto"/>
      <w:ind w:left="425" w:right="425"/>
      <w:jc w:val="both"/>
    </w:pPr>
    <w:rPr>
      <w:rFonts w:ascii="Times New Roman" w:eastAsia="SimSun" w:hAnsi="Times New Roman" w:cs="Times New Roman"/>
      <w:sz w:val="20"/>
      <w:szCs w:val="20"/>
      <w:lang w:val="en-US" w:eastAsia="zh-CN"/>
    </w:rPr>
  </w:style>
  <w:style w:type="paragraph" w:customStyle="1" w:styleId="keywords">
    <w:name w:val="keywords"/>
    <w:basedOn w:val="Normal"/>
    <w:rsid w:val="005A6C07"/>
    <w:pPr>
      <w:spacing w:before="120" w:afterLines="50" w:line="280" w:lineRule="exact"/>
      <w:ind w:left="425" w:right="431"/>
      <w:jc w:val="both"/>
    </w:pPr>
    <w:rPr>
      <w:rFonts w:ascii="Times New Roman" w:eastAsia="MS Mincho" w:hAnsi="Times New Roman" w:cs="Times New Roman"/>
      <w:sz w:val="20"/>
      <w:szCs w:val="20"/>
      <w:lang w:val="en-GB" w:eastAsia="zh-CN"/>
    </w:rPr>
  </w:style>
  <w:style w:type="character" w:customStyle="1" w:styleId="abstractheadChar">
    <w:name w:val="abstract head Char"/>
    <w:rsid w:val="005A6C07"/>
    <w:rPr>
      <w:rFonts w:eastAsia="SimSun"/>
      <w:b/>
      <w:bCs/>
      <w:sz w:val="24"/>
      <w:lang w:val="en-US" w:eastAsia="zh-CN" w:bidi="ar-SA"/>
    </w:rPr>
  </w:style>
  <w:style w:type="character" w:customStyle="1" w:styleId="keywordheadChar">
    <w:name w:val="keyword head Char"/>
    <w:rsid w:val="005A6C07"/>
    <w:rPr>
      <w:rFonts w:eastAsia="MS Mincho"/>
      <w:b/>
      <w:bCs/>
      <w:sz w:val="24"/>
      <w:lang w:val="en-GB" w:eastAsia="zh-CN" w:bidi="ar-SA"/>
    </w:rPr>
  </w:style>
  <w:style w:type="paragraph" w:customStyle="1" w:styleId="TextBody">
    <w:name w:val="TextBody"/>
    <w:basedOn w:val="Normal"/>
    <w:rsid w:val="005A6C07"/>
    <w:pPr>
      <w:spacing w:after="0" w:line="240" w:lineRule="auto"/>
      <w:ind w:firstLine="397"/>
      <w:jc w:val="both"/>
    </w:pPr>
    <w:rPr>
      <w:rFonts w:ascii="Times New Roman" w:eastAsia="MS Mincho" w:hAnsi="Times New Roman" w:cs="Times New Roman"/>
      <w:sz w:val="20"/>
      <w:szCs w:val="20"/>
      <w:lang w:val="en-US"/>
    </w:rPr>
  </w:style>
  <w:style w:type="paragraph" w:customStyle="1" w:styleId="References">
    <w:name w:val="References"/>
    <w:basedOn w:val="Normal"/>
    <w:rsid w:val="005A6C07"/>
    <w:pPr>
      <w:tabs>
        <w:tab w:val="num" w:pos="426"/>
      </w:tabs>
      <w:spacing w:afterLines="25" w:line="280" w:lineRule="exact"/>
      <w:ind w:left="425" w:hanging="425"/>
    </w:pPr>
    <w:rPr>
      <w:rFonts w:ascii="Times New Roman" w:eastAsia="SimSun" w:hAnsi="Times New Roman" w:cs="Times New Roman"/>
      <w:sz w:val="20"/>
      <w:szCs w:val="20"/>
      <w:lang w:val="en-US" w:eastAsia="zh-CN"/>
    </w:rPr>
  </w:style>
  <w:style w:type="character" w:customStyle="1" w:styleId="apple-converted-space">
    <w:name w:val="apple-converted-space"/>
    <w:rsid w:val="005A6C07"/>
  </w:style>
  <w:style w:type="paragraph" w:styleId="PlainText">
    <w:name w:val="Plain Text"/>
    <w:basedOn w:val="Normal"/>
    <w:link w:val="PlainTextChar"/>
    <w:uiPriority w:val="99"/>
    <w:rsid w:val="005A6C07"/>
    <w:pPr>
      <w:autoSpaceDE w:val="0"/>
      <w:autoSpaceDN w:val="0"/>
      <w:spacing w:after="0" w:line="240" w:lineRule="auto"/>
    </w:pPr>
    <w:rPr>
      <w:rFonts w:ascii="Courier New" w:eastAsia="SimSun" w:hAnsi="Courier New" w:cs="Courier New"/>
      <w:sz w:val="20"/>
      <w:szCs w:val="20"/>
      <w:lang w:val="en-US"/>
    </w:rPr>
  </w:style>
  <w:style w:type="character" w:customStyle="1" w:styleId="PlainTextChar">
    <w:name w:val="Plain Text Char"/>
    <w:basedOn w:val="DefaultParagraphFont"/>
    <w:link w:val="PlainText"/>
    <w:uiPriority w:val="99"/>
    <w:rsid w:val="005A6C07"/>
    <w:rPr>
      <w:rFonts w:ascii="Courier New" w:eastAsia="SimSun" w:hAnsi="Courier New" w:cs="Courier New"/>
      <w:sz w:val="20"/>
      <w:szCs w:val="20"/>
      <w:lang w:val="en-US"/>
    </w:rPr>
  </w:style>
  <w:style w:type="paragraph" w:customStyle="1" w:styleId="Els-body-text">
    <w:name w:val="Els-body-text"/>
    <w:qFormat/>
    <w:rsid w:val="00663489"/>
    <w:pPr>
      <w:keepNext/>
      <w:spacing w:after="0" w:line="240" w:lineRule="exact"/>
      <w:ind w:firstLine="238"/>
      <w:jc w:val="both"/>
    </w:pPr>
    <w:rPr>
      <w:rFonts w:ascii="Times New Roman" w:eastAsia="SimSun" w:hAnsi="Times New Roman" w:cs="Times New Roman"/>
      <w:sz w:val="20"/>
      <w:szCs w:val="20"/>
      <w:lang w:val="en-US"/>
    </w:rPr>
  </w:style>
  <w:style w:type="character" w:customStyle="1" w:styleId="go">
    <w:name w:val="go"/>
    <w:basedOn w:val="DefaultParagraphFont"/>
    <w:rsid w:val="00663489"/>
  </w:style>
  <w:style w:type="paragraph" w:customStyle="1" w:styleId="Default">
    <w:name w:val="Default"/>
    <w:qFormat/>
    <w:rsid w:val="00663489"/>
    <w:pPr>
      <w:autoSpaceDE w:val="0"/>
      <w:autoSpaceDN w:val="0"/>
      <w:adjustRightInd w:val="0"/>
      <w:spacing w:after="0" w:line="240" w:lineRule="auto"/>
    </w:pPr>
    <w:rPr>
      <w:rFonts w:ascii="Gill Sans Std" w:eastAsia="Calibri" w:hAnsi="Gill Sans Std" w:cs="Gill Sans Std"/>
      <w:color w:val="000000"/>
      <w:sz w:val="24"/>
      <w:szCs w:val="24"/>
      <w:lang w:val="en-US"/>
    </w:rPr>
  </w:style>
  <w:style w:type="paragraph" w:customStyle="1" w:styleId="Pa8">
    <w:name w:val="Pa8"/>
    <w:basedOn w:val="Default"/>
    <w:next w:val="Default"/>
    <w:uiPriority w:val="99"/>
    <w:rsid w:val="00663489"/>
    <w:pPr>
      <w:spacing w:line="241" w:lineRule="atLeast"/>
    </w:pPr>
    <w:rPr>
      <w:rFonts w:cs="Times New Roman"/>
      <w:color w:val="auto"/>
    </w:rPr>
  </w:style>
  <w:style w:type="paragraph" w:customStyle="1" w:styleId="Pa6">
    <w:name w:val="Pa6"/>
    <w:basedOn w:val="Default"/>
    <w:next w:val="Default"/>
    <w:uiPriority w:val="99"/>
    <w:rsid w:val="00663489"/>
    <w:pPr>
      <w:spacing w:line="201" w:lineRule="atLeast"/>
    </w:pPr>
    <w:rPr>
      <w:rFonts w:ascii="Times New Roman" w:hAnsi="Times New Roman" w:cs="Times New Roman"/>
      <w:color w:val="auto"/>
    </w:rPr>
  </w:style>
  <w:style w:type="character" w:customStyle="1" w:styleId="A7">
    <w:name w:val="A7"/>
    <w:uiPriority w:val="99"/>
    <w:rsid w:val="00663489"/>
    <w:rPr>
      <w:color w:val="000000"/>
      <w:sz w:val="13"/>
      <w:szCs w:val="13"/>
    </w:rPr>
  </w:style>
  <w:style w:type="paragraph" w:customStyle="1" w:styleId="EndNoteBibliographyTitle">
    <w:name w:val="EndNote Bibliography Title"/>
    <w:basedOn w:val="Normal"/>
    <w:link w:val="EndNoteBibliographyTitleChar"/>
    <w:rsid w:val="00663489"/>
    <w:pPr>
      <w:spacing w:after="0"/>
      <w:jc w:val="center"/>
    </w:pPr>
    <w:rPr>
      <w:rFonts w:ascii="Calibri" w:eastAsia="Calibri" w:hAnsi="Calibri" w:cs="Times New Roman"/>
      <w:noProof/>
      <w:lang w:val="en-US"/>
    </w:rPr>
  </w:style>
  <w:style w:type="character" w:customStyle="1" w:styleId="EndNoteBibliographyTitleChar">
    <w:name w:val="EndNote Bibliography Title Char"/>
    <w:basedOn w:val="DefaultParagraphFont"/>
    <w:link w:val="EndNoteBibliographyTitle"/>
    <w:rsid w:val="00663489"/>
    <w:rPr>
      <w:rFonts w:ascii="Calibri" w:eastAsia="Calibri" w:hAnsi="Calibri" w:cs="Times New Roman"/>
      <w:noProof/>
      <w:lang w:val="en-US"/>
    </w:rPr>
  </w:style>
  <w:style w:type="paragraph" w:customStyle="1" w:styleId="EndNoteBibliography">
    <w:name w:val="EndNote Bibliography"/>
    <w:basedOn w:val="Normal"/>
    <w:link w:val="EndNoteBibliographyChar"/>
    <w:rsid w:val="00663489"/>
    <w:pPr>
      <w:spacing w:line="240" w:lineRule="auto"/>
      <w:jc w:val="both"/>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663489"/>
    <w:rPr>
      <w:rFonts w:ascii="Calibri" w:eastAsia="Calibri" w:hAnsi="Calibri" w:cs="Times New Roman"/>
      <w:noProof/>
      <w:lang w:val="en-US"/>
    </w:rPr>
  </w:style>
  <w:style w:type="character" w:customStyle="1" w:styleId="gi">
    <w:name w:val="gi"/>
    <w:basedOn w:val="DefaultParagraphFont"/>
    <w:rsid w:val="00663489"/>
  </w:style>
  <w:style w:type="character" w:customStyle="1" w:styleId="A6">
    <w:name w:val="A6"/>
    <w:uiPriority w:val="99"/>
    <w:rsid w:val="00663489"/>
    <w:rPr>
      <w:rFonts w:cs="Chaparral Pro"/>
      <w:color w:val="000000"/>
      <w:sz w:val="22"/>
      <w:szCs w:val="22"/>
    </w:rPr>
  </w:style>
  <w:style w:type="paragraph" w:customStyle="1" w:styleId="Titleofthepaper">
    <w:name w:val="Title of the paper"/>
    <w:rsid w:val="00DE1053"/>
    <w:pPr>
      <w:spacing w:after="0" w:line="240" w:lineRule="auto"/>
      <w:jc w:val="center"/>
    </w:pPr>
    <w:rPr>
      <w:rFonts w:ascii="Arial" w:eastAsia="Times New Roman" w:hAnsi="Arial" w:cs="Times New Roman"/>
      <w:b/>
      <w:noProof/>
      <w:sz w:val="28"/>
      <w:szCs w:val="20"/>
      <w:lang w:val="en-US"/>
    </w:rPr>
  </w:style>
  <w:style w:type="character" w:customStyle="1" w:styleId="HTMLTypewriter2">
    <w:name w:val="HTML Typewriter2"/>
    <w:basedOn w:val="DefaultParagraphFont"/>
    <w:rsid w:val="00DE1053"/>
    <w:rPr>
      <w:rFonts w:ascii="Courier New" w:eastAsia="Times New Roman" w:hAnsi="Courier New" w:cs="Courier New"/>
      <w:sz w:val="20"/>
      <w:szCs w:val="20"/>
    </w:rPr>
  </w:style>
  <w:style w:type="paragraph" w:customStyle="1" w:styleId="ColorfulList-Accent11">
    <w:name w:val="Colorful List - Accent 11"/>
    <w:basedOn w:val="Normal"/>
    <w:qFormat/>
    <w:rsid w:val="00DE1053"/>
    <w:pPr>
      <w:spacing w:after="0" w:line="240" w:lineRule="auto"/>
      <w:ind w:left="720"/>
    </w:pPr>
    <w:rPr>
      <w:rFonts w:ascii="Arial" w:eastAsia="Batang" w:hAnsi="Arial" w:cs="Times New Roman"/>
      <w:szCs w:val="24"/>
      <w:lang w:val="en-US" w:eastAsia="ko-KR"/>
    </w:rPr>
  </w:style>
  <w:style w:type="paragraph" w:customStyle="1" w:styleId="Titleofpaper0">
    <w:name w:val="Title of paper"/>
    <w:basedOn w:val="Normal"/>
    <w:autoRedefine/>
    <w:rsid w:val="00DE1053"/>
    <w:pPr>
      <w:spacing w:after="0" w:line="240" w:lineRule="auto"/>
      <w:jc w:val="both"/>
    </w:pPr>
    <w:rPr>
      <w:rFonts w:ascii="Cambria" w:eastAsia="Times New Roman" w:hAnsi="Cambria" w:cs="Times New Roman"/>
      <w:b/>
      <w:szCs w:val="20"/>
      <w:lang w:val="en-US"/>
    </w:rPr>
  </w:style>
  <w:style w:type="character" w:styleId="PlaceholderText">
    <w:name w:val="Placeholder Text"/>
    <w:basedOn w:val="DefaultParagraphFont"/>
    <w:uiPriority w:val="99"/>
    <w:semiHidden/>
    <w:rsid w:val="005259F0"/>
    <w:rPr>
      <w:color w:val="808080"/>
    </w:rPr>
  </w:style>
  <w:style w:type="paragraph" w:styleId="Revision">
    <w:name w:val="Revision"/>
    <w:hidden/>
    <w:uiPriority w:val="99"/>
    <w:semiHidden/>
    <w:rsid w:val="005259F0"/>
    <w:pPr>
      <w:spacing w:after="0" w:line="240" w:lineRule="auto"/>
    </w:pPr>
    <w:rPr>
      <w:rFonts w:eastAsiaTheme="minorEastAsia"/>
      <w:lang w:val="en-US"/>
    </w:rPr>
  </w:style>
  <w:style w:type="paragraph" w:styleId="EndnoteText">
    <w:name w:val="endnote text"/>
    <w:basedOn w:val="Normal"/>
    <w:link w:val="EndnoteTextChar"/>
    <w:uiPriority w:val="99"/>
    <w:rsid w:val="005259F0"/>
    <w:pPr>
      <w:spacing w:after="0" w:line="240" w:lineRule="auto"/>
    </w:pPr>
    <w:rPr>
      <w:rFonts w:ascii="Arial" w:eastAsia="Times New Roman" w:hAnsi="Arial" w:cs="Times New Roman"/>
      <w:sz w:val="20"/>
      <w:szCs w:val="20"/>
      <w:lang w:val="en-US"/>
    </w:rPr>
  </w:style>
  <w:style w:type="character" w:customStyle="1" w:styleId="EndnoteTextChar">
    <w:name w:val="Endnote Text Char"/>
    <w:basedOn w:val="DefaultParagraphFont"/>
    <w:link w:val="EndnoteText"/>
    <w:uiPriority w:val="99"/>
    <w:rsid w:val="005259F0"/>
    <w:rPr>
      <w:rFonts w:ascii="Arial" w:eastAsia="Times New Roman" w:hAnsi="Arial" w:cs="Times New Roman"/>
      <w:sz w:val="20"/>
      <w:szCs w:val="20"/>
      <w:lang w:val="en-US"/>
    </w:rPr>
  </w:style>
  <w:style w:type="paragraph" w:customStyle="1" w:styleId="para1quad">
    <w:name w:val="para1quad"/>
    <w:basedOn w:val="Normal"/>
    <w:qFormat/>
    <w:rsid w:val="005259F0"/>
    <w:pPr>
      <w:spacing w:before="60" w:after="0" w:line="230" w:lineRule="exact"/>
      <w:ind w:firstLine="198"/>
      <w:jc w:val="both"/>
    </w:pPr>
    <w:rPr>
      <w:rFonts w:ascii="Times New Roman" w:eastAsia="Times New Roman" w:hAnsi="Times New Roman" w:cs="Times New Roman"/>
      <w:sz w:val="20"/>
      <w:szCs w:val="20"/>
      <w:lang w:val="en-ZA"/>
    </w:rPr>
  </w:style>
  <w:style w:type="character" w:styleId="PageNumber">
    <w:name w:val="page number"/>
    <w:basedOn w:val="DefaultParagraphFont"/>
    <w:uiPriority w:val="99"/>
    <w:rsid w:val="005259F0"/>
  </w:style>
  <w:style w:type="paragraph" w:customStyle="1" w:styleId="footnote">
    <w:name w:val="footnote"/>
    <w:basedOn w:val="Normal"/>
    <w:qFormat/>
    <w:rsid w:val="005259F0"/>
    <w:pPr>
      <w:tabs>
        <w:tab w:val="left" w:pos="284"/>
      </w:tabs>
      <w:spacing w:after="240" w:line="200" w:lineRule="exact"/>
      <w:ind w:left="284" w:hanging="284"/>
      <w:jc w:val="both"/>
    </w:pPr>
    <w:rPr>
      <w:rFonts w:ascii="Times New Roman" w:eastAsiaTheme="minorEastAsia" w:hAnsi="Times New Roman"/>
      <w:sz w:val="17"/>
      <w:szCs w:val="20"/>
      <w:lang w:val="en-GB" w:eastAsia="en-ZA"/>
    </w:rPr>
  </w:style>
  <w:style w:type="paragraph" w:customStyle="1" w:styleId="head11">
    <w:name w:val="head1.1"/>
    <w:basedOn w:val="Normal"/>
    <w:qFormat/>
    <w:rsid w:val="005259F0"/>
    <w:pPr>
      <w:keepNext/>
      <w:keepLines/>
      <w:tabs>
        <w:tab w:val="left" w:pos="510"/>
      </w:tabs>
      <w:suppressAutoHyphens/>
      <w:spacing w:before="240" w:after="240" w:line="280" w:lineRule="exact"/>
      <w:ind w:left="510" w:hanging="510"/>
    </w:pPr>
    <w:rPr>
      <w:rFonts w:ascii="Times New Roman" w:eastAsiaTheme="minorEastAsia" w:hAnsi="Times New Roman"/>
      <w:b/>
      <w:i/>
      <w:sz w:val="26"/>
      <w:szCs w:val="20"/>
      <w:lang w:val="en-GB" w:eastAsia="en-ZA"/>
    </w:rPr>
  </w:style>
  <w:style w:type="paragraph" w:customStyle="1" w:styleId="parafullout">
    <w:name w:val="parafullout"/>
    <w:basedOn w:val="Normal"/>
    <w:qFormat/>
    <w:rsid w:val="005259F0"/>
    <w:pPr>
      <w:spacing w:before="60" w:after="240" w:line="230" w:lineRule="exact"/>
      <w:ind w:firstLine="360"/>
      <w:jc w:val="both"/>
    </w:pPr>
    <w:rPr>
      <w:rFonts w:ascii="Times New Roman" w:eastAsiaTheme="minorEastAsia" w:hAnsi="Times New Roman"/>
      <w:szCs w:val="20"/>
      <w:lang w:val="en-ZA" w:eastAsia="en-ZA"/>
    </w:rPr>
  </w:style>
  <w:style w:type="character" w:styleId="EndnoteReference">
    <w:name w:val="endnote reference"/>
    <w:uiPriority w:val="99"/>
    <w:rsid w:val="005259F0"/>
    <w:rPr>
      <w:vertAlign w:val="superscript"/>
    </w:rPr>
  </w:style>
  <w:style w:type="paragraph" w:styleId="Title">
    <w:name w:val="Title"/>
    <w:aliases w:val=" Char"/>
    <w:basedOn w:val="Normal"/>
    <w:next w:val="Normal"/>
    <w:link w:val="TitleChar"/>
    <w:uiPriority w:val="10"/>
    <w:qFormat/>
    <w:rsid w:val="005259F0"/>
    <w:pPr>
      <w:spacing w:after="240" w:line="240" w:lineRule="auto"/>
    </w:pPr>
    <w:rPr>
      <w:rFonts w:ascii="Cambria" w:eastAsia="Times New Roman" w:hAnsi="Cambria" w:cs="Times New Roman"/>
      <w:b/>
      <w:bCs/>
      <w:i/>
      <w:iCs/>
      <w:spacing w:val="10"/>
      <w:sz w:val="60"/>
      <w:szCs w:val="60"/>
      <w:lang w:val="en-ZA" w:eastAsia="en-ZA"/>
    </w:rPr>
  </w:style>
  <w:style w:type="character" w:customStyle="1" w:styleId="TitleChar">
    <w:name w:val="Title Char"/>
    <w:aliases w:val=" Char Char1"/>
    <w:basedOn w:val="DefaultParagraphFont"/>
    <w:link w:val="Title"/>
    <w:uiPriority w:val="10"/>
    <w:rsid w:val="005259F0"/>
    <w:rPr>
      <w:rFonts w:ascii="Cambria" w:eastAsia="Times New Roman" w:hAnsi="Cambria" w:cs="Times New Roman"/>
      <w:b/>
      <w:bCs/>
      <w:i/>
      <w:iCs/>
      <w:spacing w:val="10"/>
      <w:sz w:val="60"/>
      <w:szCs w:val="60"/>
      <w:lang w:val="en-ZA" w:eastAsia="en-ZA"/>
    </w:rPr>
  </w:style>
  <w:style w:type="paragraph" w:styleId="Subtitle">
    <w:name w:val="Subtitle"/>
    <w:basedOn w:val="Normal"/>
    <w:next w:val="Normal"/>
    <w:link w:val="SubtitleChar"/>
    <w:uiPriority w:val="11"/>
    <w:qFormat/>
    <w:rsid w:val="005259F0"/>
    <w:pPr>
      <w:spacing w:after="320" w:line="480" w:lineRule="auto"/>
      <w:ind w:firstLine="360"/>
      <w:jc w:val="right"/>
    </w:pPr>
    <w:rPr>
      <w:rFonts w:eastAsiaTheme="minorEastAsia"/>
      <w:i/>
      <w:iCs/>
      <w:color w:val="808080"/>
      <w:spacing w:val="10"/>
      <w:sz w:val="24"/>
      <w:szCs w:val="24"/>
      <w:lang w:val="en-ZA" w:eastAsia="en-ZA"/>
    </w:rPr>
  </w:style>
  <w:style w:type="character" w:customStyle="1" w:styleId="SubtitleChar">
    <w:name w:val="Subtitle Char"/>
    <w:basedOn w:val="DefaultParagraphFont"/>
    <w:link w:val="Subtitle"/>
    <w:uiPriority w:val="11"/>
    <w:rsid w:val="005259F0"/>
    <w:rPr>
      <w:rFonts w:eastAsiaTheme="minorEastAsia"/>
      <w:i/>
      <w:iCs/>
      <w:color w:val="808080"/>
      <w:spacing w:val="10"/>
      <w:sz w:val="24"/>
      <w:szCs w:val="24"/>
      <w:lang w:val="en-ZA" w:eastAsia="en-ZA"/>
    </w:rPr>
  </w:style>
  <w:style w:type="paragraph" w:styleId="Quote">
    <w:name w:val="Quote"/>
    <w:basedOn w:val="Normal"/>
    <w:next w:val="Normal"/>
    <w:link w:val="QuoteChar"/>
    <w:uiPriority w:val="29"/>
    <w:qFormat/>
    <w:rsid w:val="005259F0"/>
    <w:pPr>
      <w:spacing w:after="240" w:line="480" w:lineRule="auto"/>
      <w:ind w:firstLine="360"/>
    </w:pPr>
    <w:rPr>
      <w:rFonts w:ascii="Calibri" w:eastAsiaTheme="minorEastAsia"/>
      <w:color w:val="5A5A5A"/>
      <w:lang w:val="en-ZA" w:eastAsia="en-ZA"/>
    </w:rPr>
  </w:style>
  <w:style w:type="character" w:customStyle="1" w:styleId="QuoteChar">
    <w:name w:val="Quote Char"/>
    <w:basedOn w:val="DefaultParagraphFont"/>
    <w:link w:val="Quote"/>
    <w:uiPriority w:val="29"/>
    <w:rsid w:val="005259F0"/>
    <w:rPr>
      <w:rFonts w:ascii="Calibri" w:eastAsiaTheme="minorEastAsia"/>
      <w:color w:val="5A5A5A"/>
      <w:lang w:val="en-ZA" w:eastAsia="en-ZA"/>
    </w:rPr>
  </w:style>
  <w:style w:type="paragraph" w:styleId="IntenseQuote">
    <w:name w:val="Intense Quote"/>
    <w:basedOn w:val="Normal"/>
    <w:next w:val="Normal"/>
    <w:link w:val="IntenseQuoteChar"/>
    <w:uiPriority w:val="30"/>
    <w:qFormat/>
    <w:rsid w:val="005259F0"/>
    <w:pPr>
      <w:spacing w:before="320" w:after="480" w:line="240" w:lineRule="auto"/>
      <w:ind w:left="720" w:right="720"/>
      <w:jc w:val="center"/>
    </w:pPr>
    <w:rPr>
      <w:rFonts w:ascii="Cambria" w:eastAsia="Times New Roman" w:hAnsi="Cambria" w:cs="Times New Roman"/>
      <w:i/>
      <w:iCs/>
      <w:sz w:val="20"/>
      <w:szCs w:val="20"/>
      <w:lang w:val="en-ZA" w:eastAsia="en-ZA"/>
    </w:rPr>
  </w:style>
  <w:style w:type="character" w:customStyle="1" w:styleId="IntenseQuoteChar">
    <w:name w:val="Intense Quote Char"/>
    <w:basedOn w:val="DefaultParagraphFont"/>
    <w:link w:val="IntenseQuote"/>
    <w:uiPriority w:val="30"/>
    <w:rsid w:val="005259F0"/>
    <w:rPr>
      <w:rFonts w:ascii="Cambria" w:eastAsia="Times New Roman" w:hAnsi="Cambria" w:cs="Times New Roman"/>
      <w:i/>
      <w:iCs/>
      <w:sz w:val="20"/>
      <w:szCs w:val="20"/>
      <w:lang w:val="en-ZA" w:eastAsia="en-ZA"/>
    </w:rPr>
  </w:style>
  <w:style w:type="character" w:styleId="SubtleEmphasis">
    <w:name w:val="Subtle Emphasis"/>
    <w:uiPriority w:val="19"/>
    <w:qFormat/>
    <w:rsid w:val="005259F0"/>
    <w:rPr>
      <w:i/>
      <w:iCs/>
      <w:color w:val="5A5A5A" w:themeColor="text1" w:themeTint="A5"/>
    </w:rPr>
  </w:style>
  <w:style w:type="character" w:styleId="IntenseEmphasis">
    <w:name w:val="Intense Emphasis"/>
    <w:uiPriority w:val="21"/>
    <w:qFormat/>
    <w:rsid w:val="005259F0"/>
    <w:rPr>
      <w:b/>
      <w:bCs/>
      <w:i/>
      <w:iCs/>
      <w:color w:val="auto"/>
      <w:u w:val="single"/>
    </w:rPr>
  </w:style>
  <w:style w:type="character" w:styleId="SubtleReference">
    <w:name w:val="Subtle Reference"/>
    <w:uiPriority w:val="31"/>
    <w:qFormat/>
    <w:rsid w:val="005259F0"/>
    <w:rPr>
      <w:smallCaps/>
    </w:rPr>
  </w:style>
  <w:style w:type="character" w:styleId="IntenseReference">
    <w:name w:val="Intense Reference"/>
    <w:uiPriority w:val="32"/>
    <w:qFormat/>
    <w:rsid w:val="005259F0"/>
    <w:rPr>
      <w:b/>
      <w:bCs/>
      <w:smallCaps/>
      <w:color w:val="auto"/>
    </w:rPr>
  </w:style>
  <w:style w:type="character" w:styleId="BookTitle">
    <w:name w:val="Book Title"/>
    <w:uiPriority w:val="33"/>
    <w:qFormat/>
    <w:rsid w:val="005259F0"/>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unhideWhenUsed/>
    <w:qFormat/>
    <w:rsid w:val="005259F0"/>
    <w:pPr>
      <w:keepNext w:val="0"/>
      <w:keepLines w:val="0"/>
      <w:spacing w:before="600" w:line="360" w:lineRule="auto"/>
      <w:ind w:firstLine="680"/>
      <w:jc w:val="center"/>
      <w:outlineLvl w:val="9"/>
    </w:pPr>
    <w:rPr>
      <w:rFonts w:ascii="Arial" w:hAnsi="Arial"/>
      <w:iCs/>
      <w:color w:val="auto"/>
      <w:sz w:val="24"/>
      <w:szCs w:val="32"/>
      <w:lang w:val="en-ZA" w:eastAsia="en-ZA" w:bidi="en-US"/>
    </w:rPr>
  </w:style>
  <w:style w:type="paragraph" w:styleId="Caption">
    <w:name w:val="caption"/>
    <w:aliases w:val="Epígrafe1"/>
    <w:basedOn w:val="Normal"/>
    <w:next w:val="Normal"/>
    <w:unhideWhenUsed/>
    <w:qFormat/>
    <w:rsid w:val="005259F0"/>
    <w:pPr>
      <w:spacing w:after="240" w:line="480" w:lineRule="auto"/>
      <w:ind w:firstLine="360"/>
    </w:pPr>
    <w:rPr>
      <w:rFonts w:eastAsiaTheme="minorEastAsia"/>
      <w:b/>
      <w:bCs/>
      <w:sz w:val="18"/>
      <w:szCs w:val="18"/>
      <w:lang w:val="en-ZA" w:eastAsia="en-ZA"/>
    </w:rPr>
  </w:style>
  <w:style w:type="character" w:customStyle="1" w:styleId="boldme1">
    <w:name w:val="boldme1"/>
    <w:rsid w:val="005259F0"/>
    <w:rPr>
      <w:b/>
      <w:bCs/>
    </w:rPr>
  </w:style>
  <w:style w:type="character" w:customStyle="1" w:styleId="subheader2">
    <w:name w:val="subheader2"/>
    <w:basedOn w:val="DefaultParagraphFont"/>
    <w:rsid w:val="005259F0"/>
  </w:style>
  <w:style w:type="character" w:customStyle="1" w:styleId="author0">
    <w:name w:val="author"/>
    <w:basedOn w:val="DefaultParagraphFont"/>
    <w:rsid w:val="00625091"/>
  </w:style>
  <w:style w:type="table" w:customStyle="1" w:styleId="LightShading3">
    <w:name w:val="Light Shading3"/>
    <w:basedOn w:val="TableNormal"/>
    <w:uiPriority w:val="60"/>
    <w:rsid w:val="00625091"/>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11">
    <w:name w:val="Heading 11"/>
    <w:basedOn w:val="Normal"/>
    <w:next w:val="Normal"/>
    <w:uiPriority w:val="9"/>
    <w:qFormat/>
    <w:rsid w:val="00FC2839"/>
    <w:pPr>
      <w:keepNext/>
      <w:keepLines/>
      <w:spacing w:before="480" w:after="0"/>
      <w:outlineLvl w:val="0"/>
    </w:pPr>
    <w:rPr>
      <w:rFonts w:asciiTheme="majorHAnsi" w:eastAsiaTheme="majorEastAsia" w:hAnsiTheme="majorHAnsi" w:cstheme="majorBidi"/>
      <w:b/>
      <w:bCs/>
      <w:color w:val="365F91" w:themeColor="accent1" w:themeShade="BF"/>
      <w:sz w:val="28"/>
      <w:szCs w:val="28"/>
      <w:lang w:val="en-ZA" w:eastAsia="en-ZA"/>
    </w:rPr>
  </w:style>
  <w:style w:type="numbering" w:customStyle="1" w:styleId="NoList1">
    <w:name w:val="No List1"/>
    <w:next w:val="NoList"/>
    <w:uiPriority w:val="99"/>
    <w:semiHidden/>
    <w:unhideWhenUsed/>
    <w:rsid w:val="00FC2839"/>
  </w:style>
  <w:style w:type="paragraph" w:customStyle="1" w:styleId="CommentText1">
    <w:name w:val="Comment Text1"/>
    <w:basedOn w:val="Normal"/>
    <w:next w:val="CommentText"/>
    <w:uiPriority w:val="99"/>
    <w:unhideWhenUsed/>
    <w:rsid w:val="00FC2839"/>
    <w:pPr>
      <w:spacing w:line="240" w:lineRule="auto"/>
    </w:pPr>
    <w:rPr>
      <w:rFonts w:eastAsia="Times New Roman"/>
      <w:sz w:val="20"/>
      <w:szCs w:val="20"/>
      <w:lang w:val="en-US" w:eastAsia="en-ZA"/>
    </w:rPr>
  </w:style>
  <w:style w:type="numbering" w:customStyle="1" w:styleId="NoList11">
    <w:name w:val="No List11"/>
    <w:next w:val="NoList"/>
    <w:uiPriority w:val="99"/>
    <w:semiHidden/>
    <w:unhideWhenUsed/>
    <w:rsid w:val="00FC2839"/>
  </w:style>
  <w:style w:type="paragraph" w:customStyle="1" w:styleId="ParagraphNumbering">
    <w:name w:val="Paragraph Numbering"/>
    <w:basedOn w:val="Normal"/>
    <w:rsid w:val="00FC2839"/>
    <w:pPr>
      <w:numPr>
        <w:numId w:val="1"/>
      </w:numPr>
      <w:spacing w:after="240" w:line="264" w:lineRule="auto"/>
      <w:jc w:val="both"/>
    </w:pPr>
    <w:rPr>
      <w:rFonts w:ascii="Times New Roman" w:eastAsia="Times New Roman" w:hAnsi="Times New Roman" w:cs="Times New Roman"/>
      <w:sz w:val="24"/>
      <w:szCs w:val="24"/>
      <w:lang w:val="en-US" w:eastAsia="en-ZA"/>
    </w:rPr>
  </w:style>
  <w:style w:type="character" w:customStyle="1" w:styleId="Heading1Char1">
    <w:name w:val="Heading 1 Char1"/>
    <w:basedOn w:val="DefaultParagraphFont"/>
    <w:uiPriority w:val="9"/>
    <w:rsid w:val="00FC2839"/>
    <w:rPr>
      <w:rFonts w:asciiTheme="majorHAnsi" w:eastAsiaTheme="majorEastAsia" w:hAnsiTheme="majorHAnsi" w:cstheme="majorBidi"/>
      <w:b/>
      <w:bCs/>
      <w:color w:val="365F91" w:themeColor="accent1" w:themeShade="BF"/>
      <w:sz w:val="28"/>
      <w:szCs w:val="28"/>
      <w:lang w:eastAsia="en-ZA"/>
    </w:rPr>
  </w:style>
  <w:style w:type="paragraph" w:customStyle="1" w:styleId="TOC11">
    <w:name w:val="TOC 11"/>
    <w:basedOn w:val="Normal"/>
    <w:next w:val="Normal"/>
    <w:autoRedefine/>
    <w:uiPriority w:val="39"/>
    <w:unhideWhenUsed/>
    <w:rsid w:val="00FC2839"/>
    <w:pPr>
      <w:tabs>
        <w:tab w:val="right" w:leader="dot" w:pos="10456"/>
      </w:tabs>
      <w:spacing w:after="100" w:line="360" w:lineRule="auto"/>
      <w:jc w:val="center"/>
    </w:pPr>
    <w:rPr>
      <w:rFonts w:ascii="Cambria" w:eastAsia="Times New Roman" w:hAnsi="Cambria"/>
      <w:b/>
      <w:sz w:val="24"/>
      <w:szCs w:val="24"/>
      <w:lang w:val="en-ZA" w:eastAsia="en-ZA"/>
    </w:rPr>
  </w:style>
  <w:style w:type="paragraph" w:customStyle="1" w:styleId="TOC21">
    <w:name w:val="TOC 21"/>
    <w:basedOn w:val="Normal"/>
    <w:next w:val="Normal"/>
    <w:autoRedefine/>
    <w:uiPriority w:val="39"/>
    <w:unhideWhenUsed/>
    <w:rsid w:val="00FC2839"/>
    <w:pPr>
      <w:spacing w:after="100" w:line="360" w:lineRule="auto"/>
      <w:ind w:left="220"/>
      <w:jc w:val="both"/>
    </w:pPr>
    <w:rPr>
      <w:rFonts w:ascii="Cambria" w:eastAsia="Times New Roman" w:hAnsi="Cambria"/>
      <w:lang w:val="en-ZA" w:eastAsia="en-ZA"/>
    </w:rPr>
  </w:style>
  <w:style w:type="paragraph" w:customStyle="1" w:styleId="TOC31">
    <w:name w:val="TOC 31"/>
    <w:basedOn w:val="Normal"/>
    <w:next w:val="Normal"/>
    <w:autoRedefine/>
    <w:uiPriority w:val="39"/>
    <w:unhideWhenUsed/>
    <w:rsid w:val="00FC2839"/>
    <w:pPr>
      <w:spacing w:after="100" w:line="360" w:lineRule="auto"/>
      <w:ind w:left="440"/>
      <w:jc w:val="both"/>
    </w:pPr>
    <w:rPr>
      <w:rFonts w:ascii="Cambria" w:eastAsia="Times New Roman" w:hAnsi="Cambria"/>
      <w:lang w:val="en-ZA" w:eastAsia="en-ZA"/>
    </w:rPr>
  </w:style>
  <w:style w:type="paragraph" w:customStyle="1" w:styleId="Caption1">
    <w:name w:val="Caption1"/>
    <w:basedOn w:val="Normal"/>
    <w:next w:val="Normal"/>
    <w:uiPriority w:val="35"/>
    <w:unhideWhenUsed/>
    <w:qFormat/>
    <w:rsid w:val="00FC2839"/>
    <w:pPr>
      <w:spacing w:line="240" w:lineRule="auto"/>
      <w:jc w:val="both"/>
    </w:pPr>
    <w:rPr>
      <w:rFonts w:ascii="Cambria" w:eastAsia="Times New Roman" w:hAnsi="Cambria"/>
      <w:b/>
      <w:bCs/>
      <w:color w:val="4F81BD"/>
      <w:sz w:val="18"/>
      <w:szCs w:val="18"/>
      <w:lang w:val="en-ZA" w:eastAsia="en-ZA"/>
    </w:rPr>
  </w:style>
  <w:style w:type="character" w:customStyle="1" w:styleId="CommentTextChar1">
    <w:name w:val="Comment Text Char1"/>
    <w:basedOn w:val="DefaultParagraphFont"/>
    <w:uiPriority w:val="99"/>
    <w:semiHidden/>
    <w:rsid w:val="00FC2839"/>
    <w:rPr>
      <w:rFonts w:eastAsiaTheme="minorEastAsia"/>
      <w:sz w:val="20"/>
      <w:szCs w:val="20"/>
      <w:lang w:eastAsia="en-ZA"/>
    </w:rPr>
  </w:style>
  <w:style w:type="paragraph" w:customStyle="1" w:styleId="Revision1">
    <w:name w:val="Revision1"/>
    <w:next w:val="Revision"/>
    <w:hidden/>
    <w:uiPriority w:val="99"/>
    <w:semiHidden/>
    <w:rsid w:val="00FC2839"/>
    <w:pPr>
      <w:spacing w:after="0" w:line="240" w:lineRule="auto"/>
    </w:pPr>
    <w:rPr>
      <w:rFonts w:ascii="Cambria" w:eastAsia="Times New Roman" w:hAnsi="Cambria"/>
      <w:lang w:val="en-ZA" w:eastAsia="en-ZA"/>
    </w:rPr>
  </w:style>
  <w:style w:type="paragraph" w:customStyle="1" w:styleId="NoSpacing1">
    <w:name w:val="No Spacing1"/>
    <w:aliases w:val="Affiliations"/>
    <w:next w:val="NoSpacing"/>
    <w:uiPriority w:val="1"/>
    <w:qFormat/>
    <w:rsid w:val="00FC2839"/>
    <w:pPr>
      <w:spacing w:after="0" w:line="240" w:lineRule="auto"/>
    </w:pPr>
    <w:rPr>
      <w:rFonts w:eastAsia="Times New Roman"/>
      <w:i/>
      <w:lang w:val="en-US" w:eastAsia="en-ZA"/>
    </w:rPr>
  </w:style>
  <w:style w:type="paragraph" w:styleId="TableofFigures">
    <w:name w:val="table of figures"/>
    <w:basedOn w:val="Normal"/>
    <w:next w:val="Normal"/>
    <w:uiPriority w:val="99"/>
    <w:unhideWhenUsed/>
    <w:rsid w:val="00FC2839"/>
    <w:pPr>
      <w:spacing w:after="0"/>
    </w:pPr>
    <w:rPr>
      <w:rFonts w:eastAsiaTheme="minorEastAsia"/>
      <w:lang w:val="en-ZA" w:eastAsia="en-ZA"/>
    </w:rPr>
  </w:style>
  <w:style w:type="table" w:customStyle="1" w:styleId="TableGridLight1">
    <w:name w:val="Table Grid Light1"/>
    <w:basedOn w:val="TableNormal"/>
    <w:uiPriority w:val="40"/>
    <w:qFormat/>
    <w:rsid w:val="00FC2839"/>
    <w:pPr>
      <w:spacing w:after="0" w:line="240" w:lineRule="auto"/>
    </w:pPr>
    <w:rPr>
      <w:rFonts w:eastAsiaTheme="minorEastAsia"/>
      <w:lang w:val="en-ZA" w:eastAsia="en-Z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odyText3">
    <w:name w:val="Body Text 3"/>
    <w:basedOn w:val="Normal"/>
    <w:link w:val="BodyText3Char"/>
    <w:unhideWhenUsed/>
    <w:rsid w:val="006A3026"/>
    <w:pPr>
      <w:autoSpaceDE w:val="0"/>
      <w:autoSpaceDN w:val="0"/>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6A3026"/>
    <w:rPr>
      <w:rFonts w:ascii="Times New Roman" w:eastAsia="Times New Roman" w:hAnsi="Times New Roman" w:cs="Times New Roman"/>
      <w:sz w:val="16"/>
      <w:szCs w:val="16"/>
      <w:lang w:val="en-US"/>
    </w:rPr>
  </w:style>
  <w:style w:type="character" w:customStyle="1" w:styleId="st">
    <w:name w:val="st"/>
    <w:basedOn w:val="DefaultParagraphFont"/>
    <w:rsid w:val="006A3026"/>
  </w:style>
  <w:style w:type="paragraph" w:styleId="BodyTextIndent2">
    <w:name w:val="Body Text Indent 2"/>
    <w:basedOn w:val="Normal"/>
    <w:link w:val="BodyTextIndent2Char"/>
    <w:unhideWhenUsed/>
    <w:rsid w:val="006A3026"/>
    <w:pPr>
      <w:spacing w:after="120" w:line="480" w:lineRule="auto"/>
      <w:ind w:left="283"/>
    </w:pPr>
  </w:style>
  <w:style w:type="character" w:customStyle="1" w:styleId="BodyTextIndent2Char">
    <w:name w:val="Body Text Indent 2 Char"/>
    <w:basedOn w:val="DefaultParagraphFont"/>
    <w:link w:val="BodyTextIndent2"/>
    <w:uiPriority w:val="99"/>
    <w:rsid w:val="006A3026"/>
  </w:style>
  <w:style w:type="table" w:customStyle="1" w:styleId="LightShading1">
    <w:name w:val="Light Shading1"/>
    <w:basedOn w:val="TableNormal"/>
    <w:uiPriority w:val="60"/>
    <w:rsid w:val="0037603D"/>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nhideWhenUsed/>
    <w:rsid w:val="0037603D"/>
    <w:pPr>
      <w:spacing w:after="0" w:line="240" w:lineRule="auto"/>
    </w:pPr>
    <w:rPr>
      <w:rFonts w:ascii="Tahoma" w:hAnsi="Tahoma" w:cs="Tahoma"/>
      <w:sz w:val="16"/>
      <w:szCs w:val="16"/>
      <w:lang w:val="en-US"/>
    </w:rPr>
  </w:style>
  <w:style w:type="character" w:customStyle="1" w:styleId="DocumentMapChar">
    <w:name w:val="Document Map Char"/>
    <w:basedOn w:val="DefaultParagraphFont"/>
    <w:link w:val="DocumentMap"/>
    <w:rsid w:val="0037603D"/>
    <w:rPr>
      <w:rFonts w:ascii="Tahoma" w:hAnsi="Tahoma" w:cs="Tahoma"/>
      <w:sz w:val="16"/>
      <w:szCs w:val="16"/>
      <w:lang w:val="en-US"/>
    </w:rPr>
  </w:style>
  <w:style w:type="character" w:customStyle="1" w:styleId="from">
    <w:name w:val="from"/>
    <w:basedOn w:val="DefaultParagraphFont"/>
    <w:rsid w:val="0037603D"/>
  </w:style>
  <w:style w:type="character" w:customStyle="1" w:styleId="to">
    <w:name w:val="to"/>
    <w:basedOn w:val="DefaultParagraphFont"/>
    <w:rsid w:val="0037603D"/>
  </w:style>
  <w:style w:type="character" w:customStyle="1" w:styleId="lozengfy">
    <w:name w:val="lozengfy"/>
    <w:basedOn w:val="DefaultParagraphFont"/>
    <w:rsid w:val="0037603D"/>
  </w:style>
  <w:style w:type="character" w:customStyle="1" w:styleId="short">
    <w:name w:val="short"/>
    <w:basedOn w:val="DefaultParagraphFont"/>
    <w:rsid w:val="0037603D"/>
  </w:style>
  <w:style w:type="character" w:customStyle="1" w:styleId="ampm">
    <w:name w:val="ampm"/>
    <w:basedOn w:val="DefaultParagraphFont"/>
    <w:rsid w:val="0037603D"/>
  </w:style>
  <w:style w:type="table" w:customStyle="1" w:styleId="LightShading11">
    <w:name w:val="Light Shading11"/>
    <w:basedOn w:val="TableNormal"/>
    <w:next w:val="TableNormal"/>
    <w:uiPriority w:val="60"/>
    <w:rsid w:val="0037603D"/>
    <w:pPr>
      <w:spacing w:after="0"/>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37603D"/>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1">
    <w:name w:val="Light Shading111"/>
    <w:basedOn w:val="TableNormal"/>
    <w:next w:val="LightShading1"/>
    <w:uiPriority w:val="60"/>
    <w:rsid w:val="0037603D"/>
    <w:pPr>
      <w:spacing w:after="0"/>
    </w:pPr>
    <w:rPr>
      <w:rFonts w:eastAsiaTheme="minorEastAsia"/>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nhideWhenUsed/>
    <w:rsid w:val="0037603D"/>
    <w:pPr>
      <w:spacing w:after="120"/>
      <w:ind w:left="360"/>
    </w:pPr>
  </w:style>
  <w:style w:type="character" w:customStyle="1" w:styleId="BodyTextIndentChar">
    <w:name w:val="Body Text Indent Char"/>
    <w:basedOn w:val="DefaultParagraphFont"/>
    <w:link w:val="BodyTextIndent"/>
    <w:rsid w:val="0037603D"/>
  </w:style>
  <w:style w:type="paragraph" w:customStyle="1" w:styleId="ParaAttribute0">
    <w:name w:val="ParaAttribute0"/>
    <w:rsid w:val="00C924AD"/>
    <w:pPr>
      <w:widowControl w:val="0"/>
      <w:wordWrap w:val="0"/>
      <w:spacing w:after="0" w:line="240" w:lineRule="auto"/>
    </w:pPr>
    <w:rPr>
      <w:rFonts w:ascii="Times New Roman" w:eastAsia="Batang" w:hAnsi="Times New Roman" w:cs="Times New Roman"/>
      <w:sz w:val="20"/>
      <w:szCs w:val="20"/>
      <w:lang w:val="en-US"/>
    </w:rPr>
  </w:style>
  <w:style w:type="character" w:customStyle="1" w:styleId="CharAttribute0">
    <w:name w:val="CharAttribute0"/>
    <w:rsid w:val="00C924AD"/>
    <w:rPr>
      <w:rFonts w:ascii="Times New Roman" w:eastAsia="Times New Roman" w:hAnsi="Times New Roman"/>
      <w:sz w:val="22"/>
      <w:szCs w:val="22"/>
      <w:lang w:val="en-US" w:eastAsia="en-US" w:bidi="ar-SA"/>
    </w:rPr>
  </w:style>
  <w:style w:type="paragraph" w:customStyle="1" w:styleId="proctitle">
    <w:name w:val="proctitle"/>
    <w:basedOn w:val="Normal"/>
    <w:rsid w:val="00C40D41"/>
    <w:pPr>
      <w:shd w:val="clear" w:color="auto" w:fill="FAFBFE"/>
      <w:spacing w:before="100" w:beforeAutospacing="1" w:after="100" w:afterAutospacing="1" w:line="240" w:lineRule="auto"/>
    </w:pPr>
    <w:rPr>
      <w:rFonts w:ascii="Arial" w:eastAsia="Times New Roman" w:hAnsi="Arial" w:cs="Arial"/>
      <w:b/>
      <w:bCs/>
      <w:color w:val="112277"/>
      <w:sz w:val="20"/>
      <w:szCs w:val="20"/>
      <w:lang w:val="en-US" w:eastAsia="en-ZA"/>
    </w:rPr>
  </w:style>
  <w:style w:type="paragraph" w:customStyle="1" w:styleId="systemfooter">
    <w:name w:val="systemfooter"/>
    <w:basedOn w:val="Normal"/>
    <w:rsid w:val="00C40D41"/>
    <w:pPr>
      <w:shd w:val="clear" w:color="auto" w:fill="FAFBFE"/>
      <w:spacing w:before="100" w:beforeAutospacing="1" w:after="100" w:afterAutospacing="1" w:line="240" w:lineRule="auto"/>
    </w:pPr>
    <w:rPr>
      <w:rFonts w:ascii="Arial" w:eastAsia="Times New Roman" w:hAnsi="Arial" w:cs="Arial"/>
      <w:color w:val="112277"/>
      <w:sz w:val="20"/>
      <w:szCs w:val="20"/>
      <w:lang w:val="en-US" w:eastAsia="en-ZA"/>
    </w:rPr>
  </w:style>
  <w:style w:type="paragraph" w:customStyle="1" w:styleId="systemtitle">
    <w:name w:val="systemtitle"/>
    <w:basedOn w:val="Normal"/>
    <w:rsid w:val="00C40D41"/>
    <w:pPr>
      <w:shd w:val="clear" w:color="auto" w:fill="FAFBFE"/>
      <w:spacing w:before="100" w:beforeAutospacing="1" w:after="100" w:afterAutospacing="1" w:line="240" w:lineRule="auto"/>
    </w:pPr>
    <w:rPr>
      <w:rFonts w:ascii="Arial" w:eastAsia="Times New Roman" w:hAnsi="Arial" w:cs="Arial"/>
      <w:b/>
      <w:bCs/>
      <w:color w:val="112277"/>
      <w:sz w:val="24"/>
      <w:szCs w:val="24"/>
      <w:lang w:val="en-US" w:eastAsia="en-ZA"/>
    </w:rPr>
  </w:style>
  <w:style w:type="character" w:customStyle="1" w:styleId="systemtitle1">
    <w:name w:val="systemtitle1"/>
    <w:basedOn w:val="DefaultParagraphFont"/>
    <w:rsid w:val="00C40D41"/>
    <w:rPr>
      <w:rFonts w:ascii="Arial" w:hAnsi="Arial" w:cs="Arial" w:hint="default"/>
      <w:b/>
      <w:bCs/>
      <w:i w:val="0"/>
      <w:iCs w:val="0"/>
      <w:color w:val="112277"/>
      <w:sz w:val="24"/>
      <w:szCs w:val="24"/>
      <w:shd w:val="clear" w:color="auto" w:fill="FAFBFE"/>
    </w:rPr>
  </w:style>
  <w:style w:type="character" w:customStyle="1" w:styleId="proctitle1">
    <w:name w:val="proctitle1"/>
    <w:basedOn w:val="DefaultParagraphFont"/>
    <w:rsid w:val="00C40D41"/>
    <w:rPr>
      <w:rFonts w:ascii="Arial" w:hAnsi="Arial" w:cs="Arial" w:hint="default"/>
      <w:b/>
      <w:bCs/>
      <w:i w:val="0"/>
      <w:iCs w:val="0"/>
      <w:color w:val="112277"/>
      <w:sz w:val="20"/>
      <w:szCs w:val="20"/>
      <w:shd w:val="clear" w:color="auto" w:fill="FAFBFE"/>
    </w:rPr>
  </w:style>
  <w:style w:type="character" w:customStyle="1" w:styleId="systemfooter1">
    <w:name w:val="systemfooter1"/>
    <w:basedOn w:val="DefaultParagraphFont"/>
    <w:rsid w:val="00C40D41"/>
    <w:rPr>
      <w:rFonts w:ascii="Arial" w:hAnsi="Arial" w:cs="Arial" w:hint="default"/>
      <w:b w:val="0"/>
      <w:bCs w:val="0"/>
      <w:i w:val="0"/>
      <w:iCs w:val="0"/>
      <w:color w:val="112277"/>
      <w:sz w:val="20"/>
      <w:szCs w:val="20"/>
      <w:shd w:val="clear" w:color="auto" w:fill="FAFBFE"/>
    </w:rPr>
  </w:style>
  <w:style w:type="paragraph" w:customStyle="1" w:styleId="warncontent">
    <w:name w:val="warncontent"/>
    <w:basedOn w:val="Normal"/>
    <w:rsid w:val="00C40D41"/>
    <w:pPr>
      <w:shd w:val="clear" w:color="auto" w:fill="FAFBFE"/>
      <w:spacing w:before="100" w:beforeAutospacing="1" w:after="100" w:afterAutospacing="1" w:line="240" w:lineRule="auto"/>
    </w:pPr>
    <w:rPr>
      <w:rFonts w:ascii="Arial" w:eastAsia="Times New Roman" w:hAnsi="Arial" w:cs="Arial"/>
      <w:color w:val="112277"/>
      <w:sz w:val="20"/>
      <w:szCs w:val="20"/>
      <w:lang w:val="en-US" w:eastAsia="en-ZA"/>
    </w:rPr>
  </w:style>
  <w:style w:type="character" w:customStyle="1" w:styleId="warncontent1">
    <w:name w:val="warncontent1"/>
    <w:basedOn w:val="DefaultParagraphFont"/>
    <w:rsid w:val="00C40D41"/>
    <w:rPr>
      <w:rFonts w:ascii="Arial" w:hAnsi="Arial" w:cs="Arial" w:hint="default"/>
      <w:b w:val="0"/>
      <w:bCs w:val="0"/>
      <w:i w:val="0"/>
      <w:iCs w:val="0"/>
      <w:color w:val="112277"/>
      <w:sz w:val="20"/>
      <w:szCs w:val="20"/>
      <w:shd w:val="clear" w:color="auto" w:fill="FAFBFE"/>
    </w:rPr>
  </w:style>
  <w:style w:type="paragraph" w:customStyle="1" w:styleId="systemtitle2">
    <w:name w:val="systemtitle2"/>
    <w:basedOn w:val="Normal"/>
    <w:rsid w:val="00C40D41"/>
    <w:pPr>
      <w:shd w:val="clear" w:color="auto" w:fill="FAFBFE"/>
      <w:spacing w:before="100" w:beforeAutospacing="1" w:after="100" w:afterAutospacing="1" w:line="240" w:lineRule="auto"/>
    </w:pPr>
    <w:rPr>
      <w:rFonts w:ascii="Arial" w:eastAsia="Times New Roman" w:hAnsi="Arial" w:cs="Arial"/>
      <w:b/>
      <w:bCs/>
      <w:color w:val="112277"/>
      <w:sz w:val="24"/>
      <w:szCs w:val="24"/>
      <w:lang w:val="en-US" w:eastAsia="en-ZA"/>
    </w:rPr>
  </w:style>
  <w:style w:type="character" w:customStyle="1" w:styleId="systemtitle21">
    <w:name w:val="systemtitle21"/>
    <w:basedOn w:val="DefaultParagraphFont"/>
    <w:rsid w:val="00C40D41"/>
    <w:rPr>
      <w:rFonts w:ascii="Arial" w:hAnsi="Arial" w:cs="Arial" w:hint="default"/>
      <w:b/>
      <w:bCs/>
      <w:i w:val="0"/>
      <w:iCs w:val="0"/>
      <w:color w:val="112277"/>
      <w:sz w:val="24"/>
      <w:szCs w:val="24"/>
      <w:shd w:val="clear" w:color="auto" w:fill="FAFBFE"/>
    </w:rPr>
  </w:style>
  <w:style w:type="paragraph" w:customStyle="1" w:styleId="notecontent">
    <w:name w:val="notecontent"/>
    <w:basedOn w:val="Normal"/>
    <w:rsid w:val="00C40D41"/>
    <w:pPr>
      <w:shd w:val="clear" w:color="auto" w:fill="FAFBFE"/>
      <w:spacing w:before="100" w:beforeAutospacing="1" w:after="100" w:afterAutospacing="1" w:line="240" w:lineRule="auto"/>
    </w:pPr>
    <w:rPr>
      <w:rFonts w:ascii="Arial" w:eastAsia="Times New Roman" w:hAnsi="Arial" w:cs="Arial"/>
      <w:color w:val="112277"/>
      <w:sz w:val="20"/>
      <w:szCs w:val="20"/>
      <w:lang w:val="en-US" w:eastAsia="en-ZA"/>
    </w:rPr>
  </w:style>
  <w:style w:type="character" w:customStyle="1" w:styleId="notecontent1">
    <w:name w:val="notecontent1"/>
    <w:basedOn w:val="DefaultParagraphFont"/>
    <w:rsid w:val="00C40D41"/>
    <w:rPr>
      <w:rFonts w:ascii="Arial" w:hAnsi="Arial" w:cs="Arial" w:hint="default"/>
      <w:b w:val="0"/>
      <w:bCs w:val="0"/>
      <w:i w:val="0"/>
      <w:iCs w:val="0"/>
      <w:color w:val="112277"/>
      <w:sz w:val="20"/>
      <w:szCs w:val="20"/>
      <w:shd w:val="clear" w:color="auto" w:fill="FAFBFE"/>
    </w:rPr>
  </w:style>
  <w:style w:type="character" w:customStyle="1" w:styleId="email">
    <w:name w:val="email"/>
    <w:basedOn w:val="DefaultParagraphFont"/>
    <w:rsid w:val="00C40D41"/>
  </w:style>
  <w:style w:type="character" w:customStyle="1" w:styleId="NormalWebChar">
    <w:name w:val="Normal (Web) Char"/>
    <w:link w:val="NormalWeb"/>
    <w:rsid w:val="00C40D41"/>
    <w:rPr>
      <w:rFonts w:ascii="Times New Roman" w:eastAsia="Times New Roman" w:hAnsi="Times New Roman" w:cs="Times New Roman"/>
      <w:sz w:val="24"/>
      <w:szCs w:val="24"/>
      <w:lang w:val="en-US"/>
    </w:rPr>
  </w:style>
  <w:style w:type="paragraph" w:customStyle="1" w:styleId="TableContentsCentered">
    <w:name w:val="Table Contents Centered"/>
    <w:basedOn w:val="Normal"/>
    <w:rsid w:val="00C40D41"/>
    <w:pPr>
      <w:spacing w:after="0" w:line="240" w:lineRule="auto"/>
      <w:jc w:val="center"/>
    </w:pPr>
    <w:rPr>
      <w:rFonts w:ascii="Times New Roman" w:eastAsia="PMingLiU" w:hAnsi="Times New Roman" w:cs="Times New Roman"/>
      <w:szCs w:val="20"/>
      <w:lang w:val="en-US"/>
    </w:rPr>
  </w:style>
  <w:style w:type="character" w:customStyle="1" w:styleId="doi">
    <w:name w:val="doi"/>
    <w:basedOn w:val="DefaultParagraphFont"/>
    <w:rsid w:val="00C40D41"/>
  </w:style>
  <w:style w:type="character" w:customStyle="1" w:styleId="pagination">
    <w:name w:val="pagination"/>
    <w:basedOn w:val="DefaultParagraphFont"/>
    <w:rsid w:val="00C40D41"/>
  </w:style>
  <w:style w:type="character" w:customStyle="1" w:styleId="referencetext1">
    <w:name w:val="referencetext1"/>
    <w:rsid w:val="00C40D41"/>
    <w:rPr>
      <w:vanish w:val="0"/>
      <w:webHidden w:val="0"/>
      <w:specVanish w:val="0"/>
    </w:rPr>
  </w:style>
  <w:style w:type="table" w:customStyle="1" w:styleId="TableGrid2">
    <w:name w:val="Table Grid2"/>
    <w:basedOn w:val="TableNormal"/>
    <w:next w:val="TableGrid"/>
    <w:uiPriority w:val="59"/>
    <w:rsid w:val="00C40D41"/>
    <w:pPr>
      <w:spacing w:after="0" w:line="240" w:lineRule="auto"/>
    </w:pPr>
    <w:rPr>
      <w:rFonts w:ascii="Calibri" w:eastAsia="SimSun"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40D41"/>
    <w:rPr>
      <w:rFonts w:ascii="Calibri" w:eastAsia="SimSun" w:hAnsi="Calibri" w:cs="Arial"/>
      <w:lang w:val="en-US" w:eastAsia="zh-CN"/>
    </w:rPr>
  </w:style>
  <w:style w:type="character" w:customStyle="1" w:styleId="WW8Num6z0">
    <w:name w:val="WW8Num6z0"/>
    <w:rsid w:val="00F55344"/>
    <w:rPr>
      <w:u w:val="none"/>
    </w:rPr>
  </w:style>
  <w:style w:type="character" w:customStyle="1" w:styleId="WW8Num7z0">
    <w:name w:val="WW8Num7z0"/>
    <w:rsid w:val="00F55344"/>
    <w:rPr>
      <w:rFonts w:ascii="Symbol" w:hAnsi="Symbol"/>
    </w:rPr>
  </w:style>
  <w:style w:type="character" w:customStyle="1" w:styleId="WW8Num7z1">
    <w:name w:val="WW8Num7z1"/>
    <w:rsid w:val="00F55344"/>
    <w:rPr>
      <w:rFonts w:ascii="Courier New" w:hAnsi="Courier New" w:cs="Courier New"/>
    </w:rPr>
  </w:style>
  <w:style w:type="character" w:customStyle="1" w:styleId="WW8Num7z2">
    <w:name w:val="WW8Num7z2"/>
    <w:rsid w:val="00F55344"/>
    <w:rPr>
      <w:rFonts w:ascii="Wingdings" w:hAnsi="Wingdings"/>
    </w:rPr>
  </w:style>
  <w:style w:type="character" w:customStyle="1" w:styleId="WW8Num9z0">
    <w:name w:val="WW8Num9z0"/>
    <w:rsid w:val="00F55344"/>
    <w:rPr>
      <w:u w:val="none"/>
    </w:rPr>
  </w:style>
  <w:style w:type="character" w:customStyle="1" w:styleId="WW8Num11z0">
    <w:name w:val="WW8Num11z0"/>
    <w:rsid w:val="00F55344"/>
    <w:rPr>
      <w:u w:val="none"/>
    </w:rPr>
  </w:style>
  <w:style w:type="character" w:customStyle="1" w:styleId="WW8Num15z0">
    <w:name w:val="WW8Num15z0"/>
    <w:rsid w:val="00F55344"/>
    <w:rPr>
      <w:rFonts w:ascii="Symbol" w:hAnsi="Symbol"/>
    </w:rPr>
  </w:style>
  <w:style w:type="character" w:customStyle="1" w:styleId="WW8Num15z1">
    <w:name w:val="WW8Num15z1"/>
    <w:rsid w:val="00F55344"/>
    <w:rPr>
      <w:rFonts w:ascii="Courier New" w:hAnsi="Courier New" w:cs="Courier New"/>
    </w:rPr>
  </w:style>
  <w:style w:type="character" w:customStyle="1" w:styleId="WW8Num15z2">
    <w:name w:val="WW8Num15z2"/>
    <w:rsid w:val="00F55344"/>
    <w:rPr>
      <w:rFonts w:ascii="Wingdings" w:hAnsi="Wingdings"/>
    </w:rPr>
  </w:style>
  <w:style w:type="character" w:customStyle="1" w:styleId="WW8Num16z1">
    <w:name w:val="WW8Num16z1"/>
    <w:rsid w:val="00F55344"/>
    <w:rPr>
      <w:u w:val="none"/>
    </w:rPr>
  </w:style>
  <w:style w:type="character" w:customStyle="1" w:styleId="WW8Num17z1">
    <w:name w:val="WW8Num17z1"/>
    <w:rsid w:val="00F55344"/>
    <w:rPr>
      <w:u w:val="none"/>
    </w:rPr>
  </w:style>
  <w:style w:type="character" w:customStyle="1" w:styleId="WW8Num24z0">
    <w:name w:val="WW8Num24z0"/>
    <w:rsid w:val="00F55344"/>
    <w:rPr>
      <w:rFonts w:ascii="Wingdings" w:hAnsi="Wingdings"/>
    </w:rPr>
  </w:style>
  <w:style w:type="character" w:customStyle="1" w:styleId="WW8Num24z1">
    <w:name w:val="WW8Num24z1"/>
    <w:rsid w:val="00F55344"/>
    <w:rPr>
      <w:rFonts w:ascii="Courier New" w:hAnsi="Courier New" w:cs="Courier New"/>
    </w:rPr>
  </w:style>
  <w:style w:type="character" w:customStyle="1" w:styleId="WW8Num24z3">
    <w:name w:val="WW8Num24z3"/>
    <w:rsid w:val="00F55344"/>
    <w:rPr>
      <w:rFonts w:ascii="Symbol" w:hAnsi="Symbol"/>
    </w:rPr>
  </w:style>
  <w:style w:type="character" w:customStyle="1" w:styleId="WW8Num25z0">
    <w:name w:val="WW8Num25z0"/>
    <w:rsid w:val="00F55344"/>
    <w:rPr>
      <w:rFonts w:ascii="Symbol" w:hAnsi="Symbol"/>
    </w:rPr>
  </w:style>
  <w:style w:type="character" w:customStyle="1" w:styleId="WW8Num25z1">
    <w:name w:val="WW8Num25z1"/>
    <w:rsid w:val="00F55344"/>
    <w:rPr>
      <w:rFonts w:ascii="Courier New" w:hAnsi="Courier New" w:cs="Courier New"/>
    </w:rPr>
  </w:style>
  <w:style w:type="character" w:customStyle="1" w:styleId="WW8Num25z2">
    <w:name w:val="WW8Num25z2"/>
    <w:rsid w:val="00F55344"/>
    <w:rPr>
      <w:rFonts w:ascii="Wingdings" w:hAnsi="Wingdings"/>
    </w:rPr>
  </w:style>
  <w:style w:type="character" w:customStyle="1" w:styleId="WW8Num47z0">
    <w:name w:val="WW8Num47z0"/>
    <w:rsid w:val="00F55344"/>
    <w:rPr>
      <w:rFonts w:ascii="Symbol" w:hAnsi="Symbol"/>
    </w:rPr>
  </w:style>
  <w:style w:type="character" w:customStyle="1" w:styleId="WW8Num47z1">
    <w:name w:val="WW8Num47z1"/>
    <w:rsid w:val="00F55344"/>
    <w:rPr>
      <w:rFonts w:ascii="Courier New" w:hAnsi="Courier New" w:cs="Courier New"/>
    </w:rPr>
  </w:style>
  <w:style w:type="character" w:customStyle="1" w:styleId="WW8Num47z2">
    <w:name w:val="WW8Num47z2"/>
    <w:rsid w:val="00F55344"/>
    <w:rPr>
      <w:rFonts w:ascii="Wingdings" w:hAnsi="Wingdings"/>
    </w:rPr>
  </w:style>
  <w:style w:type="character" w:customStyle="1" w:styleId="WW8Num49z1">
    <w:name w:val="WW8Num49z1"/>
    <w:rsid w:val="00F55344"/>
    <w:rPr>
      <w:u w:val="none"/>
    </w:rPr>
  </w:style>
  <w:style w:type="character" w:customStyle="1" w:styleId="msoins0">
    <w:name w:val="msoins"/>
    <w:basedOn w:val="DefaultParagraphFont"/>
    <w:rsid w:val="00F55344"/>
  </w:style>
  <w:style w:type="character" w:customStyle="1" w:styleId="calhead">
    <w:name w:val="calhead"/>
    <w:basedOn w:val="DefaultParagraphFont"/>
    <w:rsid w:val="00F55344"/>
  </w:style>
  <w:style w:type="character" w:customStyle="1" w:styleId="calweekname">
    <w:name w:val="calweekname"/>
    <w:basedOn w:val="DefaultParagraphFont"/>
    <w:rsid w:val="00F55344"/>
  </w:style>
  <w:style w:type="character" w:customStyle="1" w:styleId="calbody">
    <w:name w:val="calbody"/>
    <w:basedOn w:val="DefaultParagraphFont"/>
    <w:rsid w:val="00F55344"/>
  </w:style>
  <w:style w:type="character" w:customStyle="1" w:styleId="NumberingSymbols">
    <w:name w:val="Numbering Symbols"/>
    <w:rsid w:val="00F55344"/>
  </w:style>
  <w:style w:type="paragraph" w:customStyle="1" w:styleId="Heading">
    <w:name w:val="Heading"/>
    <w:basedOn w:val="Normal"/>
    <w:next w:val="BodyText"/>
    <w:rsid w:val="00F55344"/>
    <w:pPr>
      <w:keepNext/>
      <w:suppressAutoHyphens/>
      <w:spacing w:before="240" w:after="120" w:line="240" w:lineRule="auto"/>
    </w:pPr>
    <w:rPr>
      <w:rFonts w:ascii="Arial" w:eastAsia="Lucida Sans Unicode" w:hAnsi="Arial" w:cs="Tahoma"/>
      <w:sz w:val="28"/>
      <w:szCs w:val="28"/>
      <w:lang w:val="en-US" w:eastAsia="ar-SA"/>
    </w:rPr>
  </w:style>
  <w:style w:type="paragraph" w:styleId="List">
    <w:name w:val="List"/>
    <w:basedOn w:val="BodyText"/>
    <w:uiPriority w:val="99"/>
    <w:rsid w:val="00F55344"/>
    <w:pPr>
      <w:suppressAutoHyphens/>
      <w:spacing w:line="240" w:lineRule="auto"/>
    </w:pPr>
    <w:rPr>
      <w:rFonts w:ascii="Times New Roman" w:eastAsia="Times New Roman" w:hAnsi="Times New Roman" w:cs="Tahoma"/>
      <w:sz w:val="24"/>
      <w:szCs w:val="24"/>
      <w:lang w:val="en-US" w:eastAsia="ar-SA"/>
    </w:rPr>
  </w:style>
  <w:style w:type="paragraph" w:customStyle="1" w:styleId="Index">
    <w:name w:val="Index"/>
    <w:basedOn w:val="Normal"/>
    <w:rsid w:val="00F55344"/>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1stparagraph01">
    <w:name w:val="1stparagraph01"/>
    <w:basedOn w:val="Normal"/>
    <w:rsid w:val="00F55344"/>
    <w:pPr>
      <w:suppressAutoHyphens/>
      <w:spacing w:before="280" w:after="280" w:line="240" w:lineRule="auto"/>
      <w:ind w:right="288"/>
    </w:pPr>
    <w:rPr>
      <w:rFonts w:ascii="Arial" w:eastAsia="Times New Roman" w:hAnsi="Arial" w:cs="Arial"/>
      <w:color w:val="333333"/>
      <w:sz w:val="24"/>
      <w:szCs w:val="24"/>
      <w:lang w:val="en-US" w:eastAsia="ar-SA"/>
    </w:rPr>
  </w:style>
  <w:style w:type="paragraph" w:customStyle="1" w:styleId="tabletitle01">
    <w:name w:val="tabletitle01"/>
    <w:basedOn w:val="Normal"/>
    <w:rsid w:val="00F55344"/>
    <w:pPr>
      <w:suppressAutoHyphens/>
      <w:spacing w:before="280" w:after="280" w:line="240" w:lineRule="auto"/>
      <w:ind w:left="360"/>
    </w:pPr>
    <w:rPr>
      <w:rFonts w:ascii="Tahoma" w:eastAsia="Times New Roman" w:hAnsi="Tahoma" w:cs="Tahoma"/>
      <w:color w:val="FFFFFF"/>
      <w:lang w:val="en-US" w:eastAsia="ar-SA"/>
    </w:rPr>
  </w:style>
  <w:style w:type="paragraph" w:styleId="BodyTextIndent3">
    <w:name w:val="Body Text Indent 3"/>
    <w:basedOn w:val="Normal"/>
    <w:link w:val="BodyTextIndent3Char"/>
    <w:rsid w:val="00F55344"/>
    <w:pPr>
      <w:suppressAutoHyphens/>
      <w:spacing w:after="120" w:line="240" w:lineRule="auto"/>
      <w:ind w:left="360"/>
    </w:pPr>
    <w:rPr>
      <w:rFonts w:ascii="Times New Roman" w:eastAsia="Times New Roman" w:hAnsi="Times New Roman" w:cs="Times New Roman"/>
      <w:sz w:val="16"/>
      <w:szCs w:val="16"/>
      <w:lang w:val="en-US" w:eastAsia="ar-SA"/>
    </w:rPr>
  </w:style>
  <w:style w:type="character" w:customStyle="1" w:styleId="BodyTextIndent3Char">
    <w:name w:val="Body Text Indent 3 Char"/>
    <w:basedOn w:val="DefaultParagraphFont"/>
    <w:link w:val="BodyTextIndent3"/>
    <w:uiPriority w:val="99"/>
    <w:rsid w:val="00F55344"/>
    <w:rPr>
      <w:rFonts w:ascii="Times New Roman" w:eastAsia="Times New Roman" w:hAnsi="Times New Roman" w:cs="Times New Roman"/>
      <w:sz w:val="16"/>
      <w:szCs w:val="16"/>
      <w:lang w:val="en-US" w:eastAsia="ar-SA"/>
    </w:rPr>
  </w:style>
  <w:style w:type="paragraph" w:customStyle="1" w:styleId="TableContents">
    <w:name w:val="Table Contents"/>
    <w:basedOn w:val="Normal"/>
    <w:rsid w:val="00F55344"/>
    <w:pPr>
      <w:suppressLineNumbers/>
      <w:suppressAutoHyphens/>
      <w:spacing w:after="0" w:line="240" w:lineRule="auto"/>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F55344"/>
    <w:pPr>
      <w:jc w:val="center"/>
    </w:pPr>
    <w:rPr>
      <w:b/>
      <w:bCs/>
      <w:i/>
      <w:iCs/>
    </w:rPr>
  </w:style>
  <w:style w:type="paragraph" w:customStyle="1" w:styleId="Framecontents">
    <w:name w:val="Frame contents"/>
    <w:basedOn w:val="BodyText"/>
    <w:rsid w:val="00F55344"/>
    <w:pPr>
      <w:suppressAutoHyphens/>
      <w:spacing w:line="240" w:lineRule="auto"/>
    </w:pPr>
    <w:rPr>
      <w:rFonts w:ascii="Times New Roman" w:eastAsia="Times New Roman" w:hAnsi="Times New Roman" w:cs="Times New Roman"/>
      <w:sz w:val="24"/>
      <w:szCs w:val="24"/>
      <w:lang w:val="en-US" w:eastAsia="ar-SA"/>
    </w:rPr>
  </w:style>
  <w:style w:type="character" w:customStyle="1" w:styleId="A9">
    <w:name w:val="A9"/>
    <w:uiPriority w:val="99"/>
    <w:rsid w:val="007C0D03"/>
    <w:rPr>
      <w:color w:val="000000"/>
      <w:sz w:val="20"/>
      <w:szCs w:val="20"/>
    </w:rPr>
  </w:style>
  <w:style w:type="character" w:customStyle="1" w:styleId="a">
    <w:name w:val="a"/>
    <w:basedOn w:val="DefaultParagraphFont"/>
    <w:uiPriority w:val="99"/>
    <w:rsid w:val="007C0D03"/>
  </w:style>
  <w:style w:type="paragraph" w:customStyle="1" w:styleId="dark1">
    <w:name w:val="dark1"/>
    <w:basedOn w:val="Normal"/>
    <w:rsid w:val="009A12FF"/>
    <w:pPr>
      <w:spacing w:before="100" w:beforeAutospacing="1" w:after="100" w:afterAutospacing="1" w:line="195" w:lineRule="atLeast"/>
    </w:pPr>
    <w:rPr>
      <w:rFonts w:ascii="Tahoma" w:eastAsia="Times New Roman" w:hAnsi="Tahoma" w:cs="Tahoma"/>
      <w:color w:val="424242"/>
      <w:sz w:val="17"/>
      <w:szCs w:val="17"/>
      <w:lang w:val="en-GB" w:eastAsia="en-GB"/>
    </w:rPr>
  </w:style>
  <w:style w:type="character" w:customStyle="1" w:styleId="dark11">
    <w:name w:val="dark11"/>
    <w:basedOn w:val="DefaultParagraphFont"/>
    <w:rsid w:val="009A12FF"/>
    <w:rPr>
      <w:rFonts w:ascii="Tahoma" w:hAnsi="Tahoma" w:cs="Tahoma" w:hint="default"/>
      <w:color w:val="424242"/>
      <w:sz w:val="17"/>
      <w:szCs w:val="17"/>
    </w:rPr>
  </w:style>
  <w:style w:type="character" w:customStyle="1" w:styleId="nlmstring-name">
    <w:name w:val="nlm_string-name"/>
    <w:basedOn w:val="DefaultParagraphFont"/>
    <w:rsid w:val="008D54AC"/>
  </w:style>
  <w:style w:type="character" w:customStyle="1" w:styleId="nlmyear">
    <w:name w:val="nlm_year"/>
    <w:basedOn w:val="DefaultParagraphFont"/>
    <w:rsid w:val="008D54AC"/>
  </w:style>
  <w:style w:type="character" w:customStyle="1" w:styleId="nlmarticle-title">
    <w:name w:val="nlm_article-title"/>
    <w:basedOn w:val="DefaultParagraphFont"/>
    <w:rsid w:val="008D54AC"/>
  </w:style>
  <w:style w:type="character" w:customStyle="1" w:styleId="nlmpublisher-name">
    <w:name w:val="nlm_publisher-name"/>
    <w:basedOn w:val="DefaultParagraphFont"/>
    <w:rsid w:val="008D54AC"/>
  </w:style>
  <w:style w:type="character" w:customStyle="1" w:styleId="nlmpublisher-loc">
    <w:name w:val="nlm_publisher-loc"/>
    <w:basedOn w:val="DefaultParagraphFont"/>
    <w:rsid w:val="008D54AC"/>
  </w:style>
  <w:style w:type="character" w:customStyle="1" w:styleId="nlmfpage">
    <w:name w:val="nlm_fpage"/>
    <w:basedOn w:val="DefaultParagraphFont"/>
    <w:rsid w:val="008D54AC"/>
  </w:style>
  <w:style w:type="character" w:customStyle="1" w:styleId="nlmlpage">
    <w:name w:val="nlm_lpage"/>
    <w:basedOn w:val="DefaultParagraphFont"/>
    <w:rsid w:val="008D54AC"/>
  </w:style>
  <w:style w:type="character" w:customStyle="1" w:styleId="l9">
    <w:name w:val="l9"/>
    <w:basedOn w:val="DefaultParagraphFont"/>
    <w:rsid w:val="008D54AC"/>
  </w:style>
  <w:style w:type="character" w:customStyle="1" w:styleId="l8">
    <w:name w:val="l8"/>
    <w:basedOn w:val="DefaultParagraphFont"/>
    <w:rsid w:val="008D54AC"/>
  </w:style>
  <w:style w:type="character" w:customStyle="1" w:styleId="l6">
    <w:name w:val="l6"/>
    <w:basedOn w:val="DefaultParagraphFont"/>
    <w:rsid w:val="008D54AC"/>
  </w:style>
  <w:style w:type="character" w:customStyle="1" w:styleId="l7">
    <w:name w:val="l7"/>
    <w:basedOn w:val="DefaultParagraphFont"/>
    <w:rsid w:val="008D54AC"/>
  </w:style>
  <w:style w:type="paragraph" w:customStyle="1" w:styleId="2DecimalName">
    <w:name w:val="2 Decimal Name"/>
    <w:basedOn w:val="Heading2"/>
    <w:autoRedefine/>
    <w:qFormat/>
    <w:rsid w:val="008D54AC"/>
    <w:pPr>
      <w:spacing w:before="0" w:line="240" w:lineRule="auto"/>
      <w:jc w:val="both"/>
    </w:pPr>
    <w:rPr>
      <w:rFonts w:asciiTheme="minorHAnsi" w:hAnsiTheme="minorHAnsi" w:cs="Times New Roman"/>
      <w:color w:val="auto"/>
      <w:sz w:val="20"/>
      <w:szCs w:val="20"/>
      <w:lang w:val="en-GB" w:eastAsia="zh-CN"/>
    </w:rPr>
  </w:style>
  <w:style w:type="character" w:customStyle="1" w:styleId="BodyTextIndent2Char1">
    <w:name w:val="Body Text Indent 2 Char1"/>
    <w:basedOn w:val="DefaultParagraphFont"/>
    <w:uiPriority w:val="99"/>
    <w:semiHidden/>
    <w:rsid w:val="00033EA0"/>
    <w:rPr>
      <w:sz w:val="24"/>
      <w:szCs w:val="24"/>
      <w:lang w:val="en-US" w:eastAsia="en-US"/>
    </w:rPr>
  </w:style>
  <w:style w:type="character" w:customStyle="1" w:styleId="FooterChar1">
    <w:name w:val="Footer Char1"/>
    <w:basedOn w:val="DefaultParagraphFont"/>
    <w:uiPriority w:val="99"/>
    <w:semiHidden/>
    <w:rsid w:val="00033EA0"/>
    <w:rPr>
      <w:sz w:val="24"/>
      <w:szCs w:val="24"/>
      <w:lang w:val="en-US" w:eastAsia="en-US"/>
    </w:rPr>
  </w:style>
  <w:style w:type="character" w:customStyle="1" w:styleId="gray1">
    <w:name w:val="gray1"/>
    <w:basedOn w:val="DefaultParagraphFont"/>
    <w:rsid w:val="00033EA0"/>
  </w:style>
  <w:style w:type="paragraph" w:customStyle="1" w:styleId="FR1">
    <w:name w:val="FR1"/>
    <w:rsid w:val="00033EA0"/>
    <w:pPr>
      <w:widowControl w:val="0"/>
      <w:autoSpaceDE w:val="0"/>
      <w:autoSpaceDN w:val="0"/>
      <w:adjustRightInd w:val="0"/>
      <w:spacing w:before="1240" w:after="0" w:line="240" w:lineRule="auto"/>
      <w:jc w:val="center"/>
    </w:pPr>
    <w:rPr>
      <w:rFonts w:ascii="Arial" w:eastAsia="Times New Roman" w:hAnsi="Arial" w:cs="Arial"/>
      <w:noProof/>
      <w:lang w:val="en-US"/>
    </w:rPr>
  </w:style>
  <w:style w:type="paragraph" w:styleId="BlockText">
    <w:name w:val="Block Text"/>
    <w:basedOn w:val="Normal"/>
    <w:rsid w:val="00033EA0"/>
    <w:pPr>
      <w:spacing w:after="260" w:line="240" w:lineRule="auto"/>
      <w:ind w:left="1400" w:right="1400"/>
      <w:jc w:val="center"/>
    </w:pPr>
    <w:rPr>
      <w:rFonts w:ascii="Times New Roman" w:eastAsia="Times New Roman" w:hAnsi="Times New Roman" w:cs="Times New Roman"/>
      <w:b/>
      <w:bCs/>
      <w:color w:val="000000"/>
      <w:sz w:val="24"/>
      <w:szCs w:val="24"/>
      <w:lang w:val="en-US"/>
    </w:rPr>
  </w:style>
  <w:style w:type="paragraph" w:customStyle="1" w:styleId="FR2">
    <w:name w:val="FR2"/>
    <w:rsid w:val="00033EA0"/>
    <w:pPr>
      <w:widowControl w:val="0"/>
      <w:autoSpaceDE w:val="0"/>
      <w:autoSpaceDN w:val="0"/>
      <w:adjustRightInd w:val="0"/>
      <w:spacing w:after="0" w:line="320" w:lineRule="auto"/>
      <w:ind w:left="880" w:hanging="780"/>
      <w:jc w:val="both"/>
    </w:pPr>
    <w:rPr>
      <w:rFonts w:ascii="Arial" w:eastAsia="Times New Roman" w:hAnsi="Arial" w:cs="Arial"/>
      <w:i/>
      <w:iCs/>
      <w:sz w:val="18"/>
      <w:szCs w:val="18"/>
      <w:lang w:val="en-US"/>
    </w:rPr>
  </w:style>
  <w:style w:type="paragraph" w:styleId="List2">
    <w:name w:val="List 2"/>
    <w:basedOn w:val="Normal"/>
    <w:uiPriority w:val="99"/>
    <w:rsid w:val="00033EA0"/>
    <w:pPr>
      <w:spacing w:after="0" w:line="240" w:lineRule="auto"/>
      <w:ind w:left="720" w:hanging="360"/>
    </w:pPr>
    <w:rPr>
      <w:rFonts w:ascii="Times New Roman" w:eastAsia="Times New Roman" w:hAnsi="Times New Roman" w:cs="Times New Roman"/>
      <w:sz w:val="24"/>
      <w:szCs w:val="20"/>
      <w:lang w:val="en-US"/>
    </w:rPr>
  </w:style>
  <w:style w:type="table" w:styleId="TableClassic2">
    <w:name w:val="Table Classic 2"/>
    <w:basedOn w:val="TableNormal"/>
    <w:rsid w:val="002C6129"/>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submitted">
    <w:name w:val="submitted"/>
    <w:basedOn w:val="DefaultParagraphFont"/>
    <w:rsid w:val="008D69B9"/>
  </w:style>
  <w:style w:type="character" w:customStyle="1" w:styleId="style58">
    <w:name w:val="style58"/>
    <w:basedOn w:val="DefaultParagraphFont"/>
    <w:rsid w:val="008D69B9"/>
  </w:style>
  <w:style w:type="paragraph" w:customStyle="1" w:styleId="xl22">
    <w:name w:val="xl22"/>
    <w:basedOn w:val="Normal"/>
    <w:rsid w:val="008D69B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8D69B9"/>
  </w:style>
  <w:style w:type="character" w:customStyle="1" w:styleId="ListParagraphChar">
    <w:name w:val="List Paragraph Char"/>
    <w:aliases w:val="BPList Char,Photo Char,تيتر سوم Char,لیست Char"/>
    <w:link w:val="ListParagraph"/>
    <w:uiPriority w:val="34"/>
    <w:qFormat/>
    <w:locked/>
    <w:rsid w:val="008D69B9"/>
    <w:rPr>
      <w:rFonts w:ascii="Calibri" w:eastAsia="Calibri" w:hAnsi="Calibri" w:cs="Times New Roman"/>
      <w:lang w:val="en-US"/>
    </w:rPr>
  </w:style>
  <w:style w:type="paragraph" w:customStyle="1" w:styleId="DecimalAligned">
    <w:name w:val="Decimal Aligned"/>
    <w:basedOn w:val="Normal"/>
    <w:uiPriority w:val="40"/>
    <w:qFormat/>
    <w:rsid w:val="008D69B9"/>
    <w:pPr>
      <w:tabs>
        <w:tab w:val="decimal" w:pos="360"/>
      </w:tabs>
    </w:pPr>
    <w:rPr>
      <w:rFonts w:eastAsiaTheme="minorEastAsia"/>
      <w:lang w:val="en-US"/>
    </w:rPr>
  </w:style>
  <w:style w:type="character" w:customStyle="1" w:styleId="shorttext">
    <w:name w:val="short_text"/>
    <w:basedOn w:val="DefaultParagraphFont"/>
    <w:rsid w:val="008D69B9"/>
  </w:style>
  <w:style w:type="character" w:customStyle="1" w:styleId="hoenzb">
    <w:name w:val="hoenzb"/>
    <w:basedOn w:val="DefaultParagraphFont"/>
    <w:rsid w:val="004D5D5D"/>
  </w:style>
  <w:style w:type="paragraph" w:customStyle="1" w:styleId="Els-Title">
    <w:name w:val="Els-Title"/>
    <w:next w:val="Normal"/>
    <w:autoRedefine/>
    <w:qFormat/>
    <w:rsid w:val="00351E17"/>
    <w:pPr>
      <w:suppressAutoHyphens/>
      <w:spacing w:after="0" w:line="240" w:lineRule="auto"/>
      <w:jc w:val="center"/>
    </w:pPr>
    <w:rPr>
      <w:rFonts w:asciiTheme="majorHAnsi" w:eastAsia="SimSun" w:hAnsiTheme="majorHAnsi" w:cs="Angsana New"/>
      <w:b/>
      <w:sz w:val="20"/>
      <w:szCs w:val="18"/>
      <w:lang w:val="en-US"/>
    </w:rPr>
  </w:style>
  <w:style w:type="character" w:customStyle="1" w:styleId="z3988">
    <w:name w:val="z3988"/>
    <w:basedOn w:val="DefaultParagraphFont"/>
    <w:rsid w:val="001B0C5B"/>
  </w:style>
  <w:style w:type="character" w:customStyle="1" w:styleId="reference-text">
    <w:name w:val="reference-text"/>
    <w:rsid w:val="00517DF8"/>
  </w:style>
  <w:style w:type="character" w:customStyle="1" w:styleId="mw-headline">
    <w:name w:val="mw-headline"/>
    <w:rsid w:val="00517DF8"/>
  </w:style>
  <w:style w:type="character" w:customStyle="1" w:styleId="citation">
    <w:name w:val="citation"/>
    <w:rsid w:val="00517DF8"/>
  </w:style>
  <w:style w:type="character" w:customStyle="1" w:styleId="reference-accessdate">
    <w:name w:val="reference-accessdate"/>
    <w:rsid w:val="00517DF8"/>
  </w:style>
  <w:style w:type="character" w:customStyle="1" w:styleId="hpsatn">
    <w:name w:val="hps atn"/>
    <w:basedOn w:val="DefaultParagraphFont"/>
    <w:rsid w:val="00517DF8"/>
  </w:style>
  <w:style w:type="character" w:customStyle="1" w:styleId="alt-edited">
    <w:name w:val="alt-edited"/>
    <w:basedOn w:val="DefaultParagraphFont"/>
    <w:rsid w:val="00517DF8"/>
  </w:style>
  <w:style w:type="table" w:customStyle="1" w:styleId="LightShading4">
    <w:name w:val="Light Shading4"/>
    <w:basedOn w:val="TableNormal"/>
    <w:uiPriority w:val="60"/>
    <w:rsid w:val="0093779E"/>
    <w:pPr>
      <w:spacing w:after="0" w:line="240" w:lineRule="auto"/>
    </w:pPr>
    <w:rPr>
      <w:rFonts w:eastAsiaTheme="minorEastAsia"/>
      <w:color w:val="000000" w:themeColor="text1" w:themeShade="BF"/>
      <w:lang w:val="en-US" w:eastAsia="zh-C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ls-1storder-head">
    <w:name w:val="Els-1storder-head"/>
    <w:next w:val="Els-body-text"/>
    <w:qFormat/>
    <w:rsid w:val="00517596"/>
    <w:pPr>
      <w:keepNext/>
      <w:numPr>
        <w:numId w:val="2"/>
      </w:numPr>
      <w:suppressAutoHyphens/>
      <w:spacing w:before="240" w:after="240" w:line="240" w:lineRule="exact"/>
    </w:pPr>
    <w:rPr>
      <w:rFonts w:ascii="Times New Roman" w:eastAsia="SimSun" w:hAnsi="Times New Roman" w:cs="Angsana New"/>
      <w:b/>
      <w:sz w:val="20"/>
      <w:szCs w:val="20"/>
      <w:lang w:val="en-US"/>
    </w:rPr>
  </w:style>
  <w:style w:type="paragraph" w:customStyle="1" w:styleId="Els-2ndorder-head">
    <w:name w:val="Els-2ndorder-head"/>
    <w:next w:val="Els-body-text"/>
    <w:qFormat/>
    <w:rsid w:val="00517596"/>
    <w:pPr>
      <w:keepNext/>
      <w:numPr>
        <w:ilvl w:val="1"/>
        <w:numId w:val="2"/>
      </w:numPr>
      <w:suppressAutoHyphens/>
      <w:spacing w:before="240" w:after="240" w:line="240" w:lineRule="exact"/>
    </w:pPr>
    <w:rPr>
      <w:rFonts w:ascii="Times New Roman" w:eastAsia="SimSun" w:hAnsi="Times New Roman" w:cs="Angsana New"/>
      <w:i/>
      <w:sz w:val="20"/>
      <w:szCs w:val="20"/>
      <w:lang w:val="en-US"/>
    </w:rPr>
  </w:style>
  <w:style w:type="paragraph" w:customStyle="1" w:styleId="Els-3rdorder-head">
    <w:name w:val="Els-3rdorder-head"/>
    <w:next w:val="Els-body-text"/>
    <w:rsid w:val="00517596"/>
    <w:pPr>
      <w:keepNext/>
      <w:numPr>
        <w:ilvl w:val="2"/>
        <w:numId w:val="2"/>
      </w:numPr>
      <w:suppressAutoHyphens/>
      <w:spacing w:before="240" w:after="0" w:line="240" w:lineRule="exact"/>
    </w:pPr>
    <w:rPr>
      <w:rFonts w:ascii="Times New Roman" w:eastAsia="SimSun" w:hAnsi="Times New Roman" w:cs="Angsana New"/>
      <w:i/>
      <w:sz w:val="20"/>
      <w:szCs w:val="20"/>
      <w:lang w:val="en-US"/>
    </w:rPr>
  </w:style>
  <w:style w:type="paragraph" w:customStyle="1" w:styleId="Els-4thorder-head">
    <w:name w:val="Els-4thorder-head"/>
    <w:next w:val="Els-body-text"/>
    <w:rsid w:val="00517596"/>
    <w:pPr>
      <w:keepNext/>
      <w:numPr>
        <w:ilvl w:val="3"/>
        <w:numId w:val="2"/>
      </w:numPr>
      <w:suppressAutoHyphens/>
      <w:spacing w:before="240" w:after="0" w:line="240" w:lineRule="exact"/>
    </w:pPr>
    <w:rPr>
      <w:rFonts w:ascii="Times New Roman" w:eastAsia="SimSun" w:hAnsi="Times New Roman" w:cs="Angsana New"/>
      <w:i/>
      <w:sz w:val="20"/>
      <w:szCs w:val="20"/>
      <w:lang w:val="en-US"/>
    </w:rPr>
  </w:style>
  <w:style w:type="paragraph" w:customStyle="1" w:styleId="Els-Abstract-head">
    <w:name w:val="Els-Abstract-head"/>
    <w:next w:val="Normal"/>
    <w:rsid w:val="00517596"/>
    <w:pPr>
      <w:keepNext/>
      <w:pBdr>
        <w:top w:val="single" w:sz="4" w:space="10" w:color="auto"/>
      </w:pBdr>
      <w:suppressAutoHyphens/>
      <w:spacing w:after="220" w:line="220" w:lineRule="exact"/>
    </w:pPr>
    <w:rPr>
      <w:rFonts w:ascii="Times New Roman" w:eastAsia="SimSun" w:hAnsi="Times New Roman" w:cs="Angsana New"/>
      <w:b/>
      <w:sz w:val="18"/>
      <w:szCs w:val="20"/>
      <w:lang w:val="en-US"/>
    </w:rPr>
  </w:style>
  <w:style w:type="paragraph" w:customStyle="1" w:styleId="Els-Abstract-text">
    <w:name w:val="Els-Abstract-text"/>
    <w:next w:val="Normal"/>
    <w:qFormat/>
    <w:rsid w:val="00517596"/>
    <w:pPr>
      <w:spacing w:after="0" w:line="220" w:lineRule="exact"/>
      <w:jc w:val="both"/>
    </w:pPr>
    <w:rPr>
      <w:rFonts w:ascii="Times New Roman" w:eastAsia="SimSun" w:hAnsi="Times New Roman" w:cs="Angsana New"/>
      <w:sz w:val="18"/>
      <w:szCs w:val="20"/>
      <w:lang w:val="en-US"/>
    </w:rPr>
  </w:style>
  <w:style w:type="paragraph" w:customStyle="1" w:styleId="Els-acknowledgement">
    <w:name w:val="Els-acknowledgement"/>
    <w:next w:val="Normal"/>
    <w:rsid w:val="00517596"/>
    <w:pPr>
      <w:keepNext/>
      <w:spacing w:before="480" w:after="240" w:line="220" w:lineRule="exact"/>
    </w:pPr>
    <w:rPr>
      <w:rFonts w:ascii="Times New Roman" w:eastAsia="SimSun" w:hAnsi="Times New Roman" w:cs="Angsana New"/>
      <w:b/>
      <w:sz w:val="20"/>
      <w:szCs w:val="20"/>
      <w:lang w:val="en-US"/>
    </w:rPr>
  </w:style>
  <w:style w:type="paragraph" w:customStyle="1" w:styleId="Els-aditional-article-history">
    <w:name w:val="Els-aditional-article-history"/>
    <w:basedOn w:val="Normal"/>
    <w:rsid w:val="00517596"/>
    <w:pPr>
      <w:widowControl w:val="0"/>
      <w:spacing w:after="400" w:line="200" w:lineRule="exact"/>
      <w:jc w:val="center"/>
    </w:pPr>
    <w:rPr>
      <w:rFonts w:ascii="Times New Roman" w:eastAsia="SimSun" w:hAnsi="Times New Roman" w:cs="Angsana New"/>
      <w:b/>
      <w:noProof/>
      <w:sz w:val="16"/>
      <w:szCs w:val="20"/>
      <w:lang w:val="en-US"/>
    </w:rPr>
  </w:style>
  <w:style w:type="paragraph" w:customStyle="1" w:styleId="Els-Affiliation">
    <w:name w:val="Els-Affiliation"/>
    <w:next w:val="Els-Abstract-head"/>
    <w:qFormat/>
    <w:rsid w:val="00517596"/>
    <w:pPr>
      <w:suppressAutoHyphens/>
      <w:spacing w:after="0" w:line="200" w:lineRule="exact"/>
      <w:jc w:val="center"/>
    </w:pPr>
    <w:rPr>
      <w:rFonts w:ascii="Times New Roman" w:eastAsia="SimSun" w:hAnsi="Times New Roman" w:cs="Angsana New"/>
      <w:i/>
      <w:noProof/>
      <w:sz w:val="16"/>
      <w:szCs w:val="20"/>
      <w:lang w:val="en-US"/>
    </w:rPr>
  </w:style>
  <w:style w:type="paragraph" w:customStyle="1" w:styleId="Els-appendixhead">
    <w:name w:val="Els-appendixhead"/>
    <w:next w:val="Normal"/>
    <w:rsid w:val="00517596"/>
    <w:pPr>
      <w:numPr>
        <w:numId w:val="3"/>
      </w:numPr>
      <w:spacing w:before="480" w:after="240" w:line="220" w:lineRule="exact"/>
    </w:pPr>
    <w:rPr>
      <w:rFonts w:ascii="Times New Roman" w:eastAsia="SimSun" w:hAnsi="Times New Roman" w:cs="Angsana New"/>
      <w:b/>
      <w:sz w:val="20"/>
      <w:szCs w:val="20"/>
      <w:lang w:val="en-US"/>
    </w:rPr>
  </w:style>
  <w:style w:type="paragraph" w:customStyle="1" w:styleId="Els-appendixsubhead">
    <w:name w:val="Els-appendixsubhead"/>
    <w:next w:val="Normal"/>
    <w:rsid w:val="00517596"/>
    <w:pPr>
      <w:numPr>
        <w:ilvl w:val="1"/>
        <w:numId w:val="4"/>
      </w:numPr>
      <w:spacing w:before="240" w:after="240" w:line="220" w:lineRule="exact"/>
    </w:pPr>
    <w:rPr>
      <w:rFonts w:ascii="Times New Roman" w:eastAsia="SimSun" w:hAnsi="Times New Roman" w:cs="Angsana New"/>
      <w:i/>
      <w:sz w:val="20"/>
      <w:szCs w:val="20"/>
      <w:lang w:val="en-US"/>
    </w:rPr>
  </w:style>
  <w:style w:type="paragraph" w:customStyle="1" w:styleId="Els-Author">
    <w:name w:val="Els-Author"/>
    <w:next w:val="Normal"/>
    <w:qFormat/>
    <w:rsid w:val="00517596"/>
    <w:pPr>
      <w:keepNext/>
      <w:suppressAutoHyphens/>
      <w:spacing w:after="160" w:line="300" w:lineRule="exact"/>
      <w:jc w:val="center"/>
    </w:pPr>
    <w:rPr>
      <w:rFonts w:ascii="Times New Roman" w:eastAsia="SimSun" w:hAnsi="Times New Roman" w:cs="Angsana New"/>
      <w:noProof/>
      <w:sz w:val="26"/>
      <w:szCs w:val="20"/>
      <w:lang w:val="en-US"/>
    </w:rPr>
  </w:style>
  <w:style w:type="paragraph" w:customStyle="1" w:styleId="Els-bulletlist">
    <w:name w:val="Els-bulletlist"/>
    <w:basedOn w:val="Els-body-text"/>
    <w:qFormat/>
    <w:rsid w:val="00517596"/>
    <w:pPr>
      <w:keepNext w:val="0"/>
      <w:numPr>
        <w:numId w:val="5"/>
      </w:numPr>
      <w:tabs>
        <w:tab w:val="left" w:pos="240"/>
      </w:tabs>
      <w:jc w:val="left"/>
    </w:pPr>
    <w:rPr>
      <w:rFonts w:cs="Angsana New"/>
    </w:rPr>
  </w:style>
  <w:style w:type="paragraph" w:customStyle="1" w:styleId="Els-caption">
    <w:name w:val="Els-caption"/>
    <w:qFormat/>
    <w:rsid w:val="00517596"/>
    <w:pPr>
      <w:keepLines/>
      <w:spacing w:before="200" w:after="240" w:line="200" w:lineRule="exact"/>
    </w:pPr>
    <w:rPr>
      <w:rFonts w:ascii="Times New Roman" w:eastAsia="SimSun" w:hAnsi="Times New Roman" w:cs="Angsana New"/>
      <w:sz w:val="16"/>
      <w:szCs w:val="20"/>
      <w:lang w:val="en-US"/>
    </w:rPr>
  </w:style>
  <w:style w:type="paragraph" w:customStyle="1" w:styleId="Els-chem-equation">
    <w:name w:val="Els-chem-equation"/>
    <w:next w:val="Els-body-text"/>
    <w:rsid w:val="00517596"/>
    <w:pPr>
      <w:tabs>
        <w:tab w:val="right" w:pos="4320"/>
        <w:tab w:val="right" w:pos="9120"/>
      </w:tabs>
      <w:spacing w:before="120" w:after="120" w:line="220" w:lineRule="exact"/>
    </w:pPr>
    <w:rPr>
      <w:rFonts w:ascii="Times New Roman" w:eastAsia="SimSun" w:hAnsi="Times New Roman" w:cs="Angsana New"/>
      <w:noProof/>
      <w:sz w:val="18"/>
      <w:szCs w:val="20"/>
      <w:lang w:val="en-US"/>
    </w:rPr>
  </w:style>
  <w:style w:type="paragraph" w:customStyle="1" w:styleId="Els-collaboration">
    <w:name w:val="Els-collaboration"/>
    <w:basedOn w:val="Els-Author"/>
    <w:rsid w:val="00517596"/>
    <w:pPr>
      <w:jc w:val="right"/>
    </w:pPr>
  </w:style>
  <w:style w:type="paragraph" w:customStyle="1" w:styleId="Els-collaboration-affiliation">
    <w:name w:val="Els-collaboration-affiliation"/>
    <w:basedOn w:val="Els-collaboration"/>
    <w:rsid w:val="00517596"/>
  </w:style>
  <w:style w:type="paragraph" w:customStyle="1" w:styleId="Els-presented-by">
    <w:name w:val="Els-presented-by"/>
    <w:rsid w:val="00517596"/>
    <w:pPr>
      <w:spacing w:line="240" w:lineRule="auto"/>
      <w:jc w:val="center"/>
    </w:pPr>
    <w:rPr>
      <w:rFonts w:ascii="Times New Roman" w:eastAsia="SimSun" w:hAnsi="Times New Roman" w:cs="Angsana New"/>
      <w:b/>
      <w:sz w:val="16"/>
      <w:szCs w:val="20"/>
      <w:lang w:val="en-US"/>
    </w:rPr>
  </w:style>
  <w:style w:type="paragraph" w:customStyle="1" w:styleId="Els-dedicated-to">
    <w:name w:val="Els-dedicated-to"/>
    <w:basedOn w:val="Els-presented-by"/>
    <w:rsid w:val="00517596"/>
    <w:rPr>
      <w:b w:val="0"/>
    </w:rPr>
  </w:style>
  <w:style w:type="paragraph" w:customStyle="1" w:styleId="Els-equation">
    <w:name w:val="Els-equation"/>
    <w:next w:val="Normal"/>
    <w:rsid w:val="00517596"/>
    <w:pPr>
      <w:widowControl w:val="0"/>
      <w:tabs>
        <w:tab w:val="right" w:pos="4320"/>
        <w:tab w:val="right" w:pos="9120"/>
      </w:tabs>
      <w:spacing w:before="240" w:after="240" w:line="240" w:lineRule="auto"/>
      <w:ind w:left="482"/>
    </w:pPr>
    <w:rPr>
      <w:rFonts w:ascii="Times New Roman" w:eastAsia="SimSun" w:hAnsi="Times New Roman" w:cs="Angsana New"/>
      <w:i/>
      <w:noProof/>
      <w:sz w:val="20"/>
      <w:szCs w:val="20"/>
      <w:lang w:val="en-US"/>
    </w:rPr>
  </w:style>
  <w:style w:type="paragraph" w:customStyle="1" w:styleId="Els-footnote">
    <w:name w:val="Els-footnote"/>
    <w:rsid w:val="00517596"/>
    <w:pPr>
      <w:keepLines/>
      <w:widowControl w:val="0"/>
      <w:spacing w:after="0" w:line="200" w:lineRule="exact"/>
      <w:ind w:firstLine="240"/>
      <w:jc w:val="both"/>
    </w:pPr>
    <w:rPr>
      <w:rFonts w:ascii="Times New Roman" w:eastAsia="SimSun" w:hAnsi="Times New Roman" w:cs="Angsana New"/>
      <w:sz w:val="16"/>
      <w:szCs w:val="20"/>
      <w:lang w:val="en-US"/>
    </w:rPr>
  </w:style>
  <w:style w:type="paragraph" w:customStyle="1" w:styleId="Els-history">
    <w:name w:val="Els-history"/>
    <w:next w:val="Normal"/>
    <w:rsid w:val="00517596"/>
    <w:pPr>
      <w:spacing w:before="120" w:after="400" w:line="200" w:lineRule="exact"/>
      <w:jc w:val="center"/>
    </w:pPr>
    <w:rPr>
      <w:rFonts w:ascii="Times New Roman" w:eastAsia="SimSun" w:hAnsi="Times New Roman" w:cs="Angsana New"/>
      <w:noProof/>
      <w:sz w:val="16"/>
      <w:szCs w:val="20"/>
      <w:lang w:val="en-US"/>
    </w:rPr>
  </w:style>
  <w:style w:type="paragraph" w:customStyle="1" w:styleId="Els-journal-logo">
    <w:name w:val="Els-journal-logo"/>
    <w:rsid w:val="00517596"/>
    <w:pPr>
      <w:pBdr>
        <w:top w:val="thinThickLargeGap" w:sz="12" w:space="0" w:color="auto"/>
        <w:bottom w:val="thickThinLargeGap" w:sz="12" w:space="0" w:color="auto"/>
      </w:pBdr>
      <w:spacing w:after="0" w:line="240" w:lineRule="auto"/>
    </w:pPr>
    <w:rPr>
      <w:rFonts w:ascii="Helvetica" w:eastAsia="SimSun" w:hAnsi="Helvetica" w:cs="Angsana New"/>
      <w:b/>
      <w:noProof/>
      <w:sz w:val="24"/>
      <w:szCs w:val="20"/>
      <w:lang w:val="en-US"/>
    </w:rPr>
  </w:style>
  <w:style w:type="paragraph" w:customStyle="1" w:styleId="Els-keywords">
    <w:name w:val="Els-keywords"/>
    <w:next w:val="Normal"/>
    <w:rsid w:val="00517596"/>
    <w:pPr>
      <w:pBdr>
        <w:bottom w:val="single" w:sz="4" w:space="10" w:color="auto"/>
      </w:pBdr>
      <w:spacing w:line="200" w:lineRule="exact"/>
    </w:pPr>
    <w:rPr>
      <w:rFonts w:ascii="Times New Roman" w:eastAsia="SimSun" w:hAnsi="Times New Roman" w:cs="Angsana New"/>
      <w:noProof/>
      <w:sz w:val="16"/>
      <w:szCs w:val="20"/>
      <w:lang w:val="en-US"/>
    </w:rPr>
  </w:style>
  <w:style w:type="paragraph" w:customStyle="1" w:styleId="Els-numlist">
    <w:name w:val="Els-numlist"/>
    <w:basedOn w:val="Els-body-text"/>
    <w:rsid w:val="00517596"/>
    <w:pPr>
      <w:keepNext w:val="0"/>
      <w:numPr>
        <w:numId w:val="6"/>
      </w:numPr>
      <w:tabs>
        <w:tab w:val="left" w:pos="240"/>
      </w:tabs>
      <w:ind w:left="480"/>
      <w:jc w:val="left"/>
    </w:pPr>
    <w:rPr>
      <w:rFonts w:cs="Angsana New"/>
    </w:rPr>
  </w:style>
  <w:style w:type="paragraph" w:customStyle="1" w:styleId="Els-reference">
    <w:name w:val="Els-reference"/>
    <w:rsid w:val="00517596"/>
    <w:pPr>
      <w:tabs>
        <w:tab w:val="left" w:pos="312"/>
      </w:tabs>
      <w:spacing w:after="0" w:line="200" w:lineRule="exact"/>
      <w:ind w:left="312" w:hanging="312"/>
    </w:pPr>
    <w:rPr>
      <w:rFonts w:ascii="Times New Roman" w:eastAsia="SimSun" w:hAnsi="Times New Roman" w:cs="Angsana New"/>
      <w:noProof/>
      <w:sz w:val="16"/>
      <w:szCs w:val="20"/>
      <w:lang w:val="en-US"/>
    </w:rPr>
  </w:style>
  <w:style w:type="paragraph" w:customStyle="1" w:styleId="Els-reference-head">
    <w:name w:val="Els-reference-head"/>
    <w:next w:val="Els-reference"/>
    <w:rsid w:val="00517596"/>
    <w:pPr>
      <w:keepNext/>
      <w:spacing w:before="480" w:line="220" w:lineRule="exact"/>
    </w:pPr>
    <w:rPr>
      <w:rFonts w:ascii="Times New Roman" w:eastAsia="SimSun" w:hAnsi="Times New Roman" w:cs="Angsana New"/>
      <w:b/>
      <w:sz w:val="20"/>
      <w:szCs w:val="20"/>
      <w:lang w:val="en-US"/>
    </w:rPr>
  </w:style>
  <w:style w:type="paragraph" w:customStyle="1" w:styleId="Els-reprint-line">
    <w:name w:val="Els-reprint-line"/>
    <w:basedOn w:val="Normal"/>
    <w:rsid w:val="00517596"/>
    <w:pPr>
      <w:widowControl w:val="0"/>
      <w:tabs>
        <w:tab w:val="left" w:pos="0"/>
        <w:tab w:val="center" w:pos="5443"/>
      </w:tabs>
      <w:spacing w:after="0" w:line="240" w:lineRule="auto"/>
      <w:jc w:val="center"/>
    </w:pPr>
    <w:rPr>
      <w:rFonts w:ascii="Times New Roman" w:eastAsia="SimSun" w:hAnsi="Times New Roman" w:cs="Angsana New"/>
      <w:sz w:val="16"/>
      <w:szCs w:val="20"/>
      <w:lang w:val="en-GB"/>
    </w:rPr>
  </w:style>
  <w:style w:type="paragraph" w:customStyle="1" w:styleId="Els-table-text">
    <w:name w:val="Els-table-text"/>
    <w:rsid w:val="00517596"/>
    <w:pPr>
      <w:spacing w:after="80" w:line="200" w:lineRule="exact"/>
    </w:pPr>
    <w:rPr>
      <w:rFonts w:ascii="Times New Roman" w:eastAsia="SimSun" w:hAnsi="Times New Roman" w:cs="Angsana New"/>
      <w:sz w:val="16"/>
      <w:szCs w:val="20"/>
      <w:lang w:val="en-US"/>
    </w:rPr>
  </w:style>
  <w:style w:type="character" w:customStyle="1" w:styleId="MTEquationSection">
    <w:name w:val="MTEquationSection"/>
    <w:rsid w:val="00517596"/>
    <w:rPr>
      <w:vanish/>
      <w:color w:val="FF0000"/>
    </w:rPr>
  </w:style>
  <w:style w:type="paragraph" w:customStyle="1" w:styleId="Els-5thorder-head">
    <w:name w:val="Els-5thorder-head"/>
    <w:next w:val="Els-body-text"/>
    <w:rsid w:val="00517596"/>
    <w:pPr>
      <w:keepNext/>
      <w:suppressAutoHyphens/>
      <w:spacing w:after="0" w:line="240" w:lineRule="exact"/>
    </w:pPr>
    <w:rPr>
      <w:rFonts w:ascii="Times New Roman" w:eastAsia="SimSun" w:hAnsi="Times New Roman" w:cs="Angsana New"/>
      <w:i/>
      <w:sz w:val="20"/>
      <w:szCs w:val="20"/>
      <w:lang w:val="en-US"/>
    </w:rPr>
  </w:style>
  <w:style w:type="paragraph" w:customStyle="1" w:styleId="Els-Abstract-Copyright">
    <w:name w:val="Els-Abstract-Copyright"/>
    <w:basedOn w:val="Els-Abstract-text"/>
    <w:rsid w:val="00517596"/>
    <w:pPr>
      <w:spacing w:after="220"/>
    </w:pPr>
  </w:style>
  <w:style w:type="paragraph" w:customStyle="1" w:styleId="DocHead">
    <w:name w:val="DocHead"/>
    <w:rsid w:val="00517596"/>
    <w:pPr>
      <w:spacing w:before="240" w:after="240" w:line="240" w:lineRule="auto"/>
      <w:jc w:val="center"/>
    </w:pPr>
    <w:rPr>
      <w:rFonts w:ascii="Times New Roman" w:eastAsia="SimSun" w:hAnsi="Times New Roman" w:cs="Angsana New"/>
      <w:sz w:val="24"/>
      <w:szCs w:val="20"/>
      <w:lang w:val="en-US"/>
    </w:rPr>
  </w:style>
  <w:style w:type="character" w:customStyle="1" w:styleId="Els-1storder-headChar">
    <w:name w:val="Els-1storder-head Char"/>
    <w:rsid w:val="00517596"/>
    <w:rPr>
      <w:b/>
      <w:lang w:val="en-US" w:eastAsia="en-US" w:bidi="ar-SA"/>
    </w:rPr>
  </w:style>
  <w:style w:type="paragraph" w:customStyle="1" w:styleId="1">
    <w:name w:val="正文－1"/>
    <w:basedOn w:val="Normal"/>
    <w:link w:val="1Char"/>
    <w:rsid w:val="00D873CF"/>
    <w:pPr>
      <w:widowControl w:val="0"/>
      <w:spacing w:after="0" w:line="240" w:lineRule="auto"/>
      <w:ind w:firstLineChars="200" w:firstLine="200"/>
      <w:jc w:val="both"/>
    </w:pPr>
    <w:rPr>
      <w:rFonts w:ascii="Times New Roman" w:eastAsia="方正书宋繁体" w:hAnsi="Times New Roman" w:cs="Times New Roman"/>
      <w:kern w:val="2"/>
      <w:sz w:val="21"/>
      <w:szCs w:val="20"/>
      <w:lang w:val="en-US" w:eastAsia="zh-CN"/>
    </w:rPr>
  </w:style>
  <w:style w:type="character" w:customStyle="1" w:styleId="1Char">
    <w:name w:val="正文－1 Char"/>
    <w:link w:val="1"/>
    <w:locked/>
    <w:rsid w:val="00D873CF"/>
    <w:rPr>
      <w:rFonts w:ascii="Times New Roman" w:eastAsia="方正书宋繁体" w:hAnsi="Times New Roman" w:cs="Times New Roman"/>
      <w:kern w:val="2"/>
      <w:sz w:val="21"/>
      <w:szCs w:val="20"/>
      <w:lang w:val="en-US" w:eastAsia="zh-CN"/>
    </w:rPr>
  </w:style>
  <w:style w:type="paragraph" w:customStyle="1" w:styleId="a0">
    <w:name w:val="清單段落"/>
    <w:basedOn w:val="Normal"/>
    <w:uiPriority w:val="34"/>
    <w:qFormat/>
    <w:rsid w:val="00D873CF"/>
    <w:pPr>
      <w:widowControl w:val="0"/>
      <w:spacing w:after="0" w:line="240" w:lineRule="auto"/>
      <w:ind w:leftChars="200" w:left="480"/>
    </w:pPr>
    <w:rPr>
      <w:rFonts w:ascii="Calibri" w:eastAsia="PMingLiU" w:hAnsi="Calibri" w:cs="Times New Roman"/>
      <w:kern w:val="2"/>
      <w:sz w:val="24"/>
      <w:lang w:val="en-US" w:eastAsia="zh-TW"/>
    </w:rPr>
  </w:style>
  <w:style w:type="character" w:customStyle="1" w:styleId="a-size-large">
    <w:name w:val="a-size-large"/>
    <w:basedOn w:val="DefaultParagraphFont"/>
    <w:rsid w:val="00D873CF"/>
  </w:style>
  <w:style w:type="table" w:customStyle="1" w:styleId="TableGrid15">
    <w:name w:val="Table Grid15"/>
    <w:basedOn w:val="TableNormal"/>
    <w:next w:val="TableGrid"/>
    <w:uiPriority w:val="59"/>
    <w:rsid w:val="008F5A2E"/>
    <w:pPr>
      <w:spacing w:after="0" w:line="240" w:lineRule="auto"/>
    </w:pPr>
    <w:rPr>
      <w:rFonts w:ascii="Calibri" w:eastAsia="Calibri" w:hAnsi="Calibri"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bstractLeft075Right075">
    <w:name w:val="Style Abstract + Left:  0.75&quot; Right:  0.75&quot;"/>
    <w:basedOn w:val="abstract"/>
    <w:rsid w:val="003033F6"/>
    <w:pPr>
      <w:spacing w:before="360" w:after="240"/>
      <w:ind w:left="0" w:right="0"/>
    </w:pPr>
    <w:rPr>
      <w:rFonts w:eastAsia="Times New Roman"/>
      <w:sz w:val="22"/>
      <w:lang w:eastAsia="en-US"/>
    </w:rPr>
  </w:style>
  <w:style w:type="character" w:customStyle="1" w:styleId="bf">
    <w:name w:val="bf"/>
    <w:basedOn w:val="DefaultParagraphFont"/>
    <w:rsid w:val="00941E5E"/>
  </w:style>
  <w:style w:type="character" w:customStyle="1" w:styleId="cit-first-element">
    <w:name w:val="cit-first-element"/>
    <w:basedOn w:val="DefaultParagraphFont"/>
    <w:rsid w:val="00941E5E"/>
  </w:style>
  <w:style w:type="character" w:customStyle="1" w:styleId="site-title">
    <w:name w:val="site-title"/>
    <w:basedOn w:val="DefaultParagraphFont"/>
    <w:rsid w:val="00941E5E"/>
  </w:style>
  <w:style w:type="character" w:customStyle="1" w:styleId="cit-print-date">
    <w:name w:val="cit-print-date"/>
    <w:basedOn w:val="DefaultParagraphFont"/>
    <w:rsid w:val="00941E5E"/>
  </w:style>
  <w:style w:type="character" w:customStyle="1" w:styleId="cit-vol">
    <w:name w:val="cit-vol"/>
    <w:basedOn w:val="DefaultParagraphFont"/>
    <w:rsid w:val="00941E5E"/>
  </w:style>
  <w:style w:type="character" w:customStyle="1" w:styleId="cit-sep">
    <w:name w:val="cit-sep"/>
    <w:basedOn w:val="DefaultParagraphFont"/>
    <w:rsid w:val="00941E5E"/>
  </w:style>
  <w:style w:type="character" w:customStyle="1" w:styleId="cit-first-page">
    <w:name w:val="cit-first-page"/>
    <w:basedOn w:val="DefaultParagraphFont"/>
    <w:rsid w:val="00941E5E"/>
  </w:style>
  <w:style w:type="character" w:customStyle="1" w:styleId="cit-last-page">
    <w:name w:val="cit-last-page"/>
    <w:basedOn w:val="DefaultParagraphFont"/>
    <w:rsid w:val="00941E5E"/>
  </w:style>
  <w:style w:type="character" w:customStyle="1" w:styleId="fn">
    <w:name w:val="fn"/>
    <w:basedOn w:val="DefaultParagraphFont"/>
    <w:rsid w:val="00941E5E"/>
  </w:style>
  <w:style w:type="paragraph" w:customStyle="1" w:styleId="body-text">
    <w:name w:val="body-text"/>
    <w:basedOn w:val="Normal"/>
    <w:rsid w:val="00941E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uiPriority w:val="99"/>
    <w:rsid w:val="00941E5E"/>
    <w:rPr>
      <w:rFonts w:cs="DB FongNam X"/>
      <w:color w:val="000000"/>
    </w:rPr>
  </w:style>
  <w:style w:type="paragraph" w:customStyle="1" w:styleId="Pa2">
    <w:name w:val="Pa2"/>
    <w:basedOn w:val="Default"/>
    <w:next w:val="Default"/>
    <w:uiPriority w:val="99"/>
    <w:rsid w:val="00941E5E"/>
    <w:pPr>
      <w:spacing w:line="241" w:lineRule="atLeast"/>
    </w:pPr>
    <w:rPr>
      <w:rFonts w:ascii="DB FongNam X" w:eastAsiaTheme="minorHAnsi" w:hAnsi="DB FongNam X" w:cstheme="minorBidi"/>
      <w:color w:val="auto"/>
    </w:rPr>
  </w:style>
  <w:style w:type="paragraph" w:customStyle="1" w:styleId="day">
    <w:name w:val="day"/>
    <w:basedOn w:val="Normal"/>
    <w:rsid w:val="00941E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onth">
    <w:name w:val="month"/>
    <w:basedOn w:val="Normal"/>
    <w:rsid w:val="00941E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rame">
    <w:name w:val="grame"/>
    <w:basedOn w:val="DefaultParagraphFont"/>
    <w:rsid w:val="00941E5E"/>
  </w:style>
  <w:style w:type="character" w:customStyle="1" w:styleId="lrg">
    <w:name w:val="lrg"/>
    <w:basedOn w:val="DefaultParagraphFont"/>
    <w:rsid w:val="00941E5E"/>
  </w:style>
  <w:style w:type="character" w:customStyle="1" w:styleId="med">
    <w:name w:val="med"/>
    <w:basedOn w:val="DefaultParagraphFont"/>
    <w:rsid w:val="00941E5E"/>
  </w:style>
  <w:style w:type="character" w:customStyle="1" w:styleId="gt-ft-text">
    <w:name w:val="gt-ft-text"/>
    <w:rsid w:val="00A766B9"/>
  </w:style>
  <w:style w:type="character" w:customStyle="1" w:styleId="il">
    <w:name w:val="il"/>
    <w:basedOn w:val="DefaultParagraphFont"/>
    <w:rsid w:val="000C30D0"/>
  </w:style>
  <w:style w:type="table" w:customStyle="1" w:styleId="PlainTable11">
    <w:name w:val="Plain Table 11"/>
    <w:basedOn w:val="TableNormal"/>
    <w:uiPriority w:val="41"/>
    <w:rsid w:val="000C30D0"/>
    <w:pPr>
      <w:spacing w:after="0" w:line="240" w:lineRule="auto"/>
    </w:pPr>
    <w:rPr>
      <w:lang w:val="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eld-content">
    <w:name w:val="field-content"/>
    <w:basedOn w:val="DefaultParagraphFont"/>
    <w:rsid w:val="000C30D0"/>
  </w:style>
  <w:style w:type="character" w:customStyle="1" w:styleId="tocnumber">
    <w:name w:val="tocnumber"/>
    <w:basedOn w:val="DefaultParagraphFont"/>
    <w:rsid w:val="000C30D0"/>
  </w:style>
  <w:style w:type="character" w:customStyle="1" w:styleId="toctext">
    <w:name w:val="toctext"/>
    <w:basedOn w:val="DefaultParagraphFont"/>
    <w:rsid w:val="000C30D0"/>
  </w:style>
  <w:style w:type="paragraph" w:styleId="TOC2">
    <w:name w:val="toc 2"/>
    <w:basedOn w:val="Normal"/>
    <w:next w:val="Normal"/>
    <w:autoRedefine/>
    <w:uiPriority w:val="39"/>
    <w:unhideWhenUsed/>
    <w:qFormat/>
    <w:rsid w:val="000C30D0"/>
    <w:pPr>
      <w:spacing w:after="100"/>
      <w:ind w:left="220"/>
    </w:pPr>
    <w:rPr>
      <w:rFonts w:eastAsiaTheme="minorEastAsia"/>
      <w:lang w:val="en-US"/>
    </w:rPr>
  </w:style>
  <w:style w:type="paragraph" w:styleId="TOC1">
    <w:name w:val="toc 1"/>
    <w:basedOn w:val="Normal"/>
    <w:next w:val="Normal"/>
    <w:autoRedefine/>
    <w:uiPriority w:val="39"/>
    <w:unhideWhenUsed/>
    <w:qFormat/>
    <w:rsid w:val="000C30D0"/>
    <w:pPr>
      <w:spacing w:after="100"/>
    </w:pPr>
    <w:rPr>
      <w:rFonts w:eastAsiaTheme="minorEastAsia"/>
      <w:lang w:val="en-US"/>
    </w:rPr>
  </w:style>
  <w:style w:type="paragraph" w:styleId="TOC3">
    <w:name w:val="toc 3"/>
    <w:basedOn w:val="Normal"/>
    <w:next w:val="Normal"/>
    <w:autoRedefine/>
    <w:uiPriority w:val="39"/>
    <w:unhideWhenUsed/>
    <w:qFormat/>
    <w:rsid w:val="000C30D0"/>
    <w:pPr>
      <w:spacing w:after="100"/>
      <w:ind w:left="440"/>
    </w:pPr>
    <w:rPr>
      <w:rFonts w:eastAsiaTheme="minorEastAsia"/>
      <w:lang w:val="en-US"/>
    </w:rPr>
  </w:style>
  <w:style w:type="paragraph" w:styleId="TOC4">
    <w:name w:val="toc 4"/>
    <w:basedOn w:val="Normal"/>
    <w:next w:val="Normal"/>
    <w:autoRedefine/>
    <w:uiPriority w:val="39"/>
    <w:unhideWhenUsed/>
    <w:rsid w:val="000C30D0"/>
    <w:pPr>
      <w:spacing w:after="100"/>
      <w:ind w:left="660"/>
    </w:pPr>
    <w:rPr>
      <w:rFonts w:eastAsiaTheme="minorEastAsia"/>
      <w:lang w:val="en-US"/>
    </w:rPr>
  </w:style>
  <w:style w:type="paragraph" w:styleId="TOC5">
    <w:name w:val="toc 5"/>
    <w:basedOn w:val="Normal"/>
    <w:next w:val="Normal"/>
    <w:autoRedefine/>
    <w:uiPriority w:val="39"/>
    <w:unhideWhenUsed/>
    <w:rsid w:val="000C30D0"/>
    <w:pPr>
      <w:spacing w:after="100"/>
      <w:ind w:left="880"/>
    </w:pPr>
    <w:rPr>
      <w:rFonts w:eastAsiaTheme="minorEastAsia"/>
      <w:lang w:val="en-US"/>
    </w:rPr>
  </w:style>
  <w:style w:type="paragraph" w:styleId="TOC6">
    <w:name w:val="toc 6"/>
    <w:basedOn w:val="Normal"/>
    <w:next w:val="Normal"/>
    <w:autoRedefine/>
    <w:uiPriority w:val="39"/>
    <w:unhideWhenUsed/>
    <w:rsid w:val="000C30D0"/>
    <w:pPr>
      <w:spacing w:after="100"/>
      <w:ind w:left="1100"/>
    </w:pPr>
    <w:rPr>
      <w:rFonts w:eastAsiaTheme="minorEastAsia"/>
      <w:lang w:val="en-US"/>
    </w:rPr>
  </w:style>
  <w:style w:type="paragraph" w:styleId="TOC7">
    <w:name w:val="toc 7"/>
    <w:basedOn w:val="Normal"/>
    <w:next w:val="Normal"/>
    <w:autoRedefine/>
    <w:uiPriority w:val="39"/>
    <w:unhideWhenUsed/>
    <w:rsid w:val="000C30D0"/>
    <w:pPr>
      <w:spacing w:after="100"/>
      <w:ind w:left="1320"/>
    </w:pPr>
    <w:rPr>
      <w:rFonts w:eastAsiaTheme="minorEastAsia"/>
      <w:lang w:val="en-US"/>
    </w:rPr>
  </w:style>
  <w:style w:type="paragraph" w:styleId="TOC8">
    <w:name w:val="toc 8"/>
    <w:basedOn w:val="Normal"/>
    <w:next w:val="Normal"/>
    <w:autoRedefine/>
    <w:uiPriority w:val="39"/>
    <w:unhideWhenUsed/>
    <w:rsid w:val="000C30D0"/>
    <w:pPr>
      <w:spacing w:after="100"/>
      <w:ind w:left="1540"/>
    </w:pPr>
    <w:rPr>
      <w:rFonts w:eastAsiaTheme="minorEastAsia"/>
      <w:lang w:val="en-US"/>
    </w:rPr>
  </w:style>
  <w:style w:type="paragraph" w:styleId="TOC9">
    <w:name w:val="toc 9"/>
    <w:basedOn w:val="Normal"/>
    <w:next w:val="Normal"/>
    <w:autoRedefine/>
    <w:uiPriority w:val="39"/>
    <w:unhideWhenUsed/>
    <w:rsid w:val="000C30D0"/>
    <w:pPr>
      <w:spacing w:after="100"/>
      <w:ind w:left="1760"/>
    </w:pPr>
    <w:rPr>
      <w:rFonts w:eastAsiaTheme="minorEastAsia"/>
      <w:lang w:val="en-US"/>
    </w:rPr>
  </w:style>
  <w:style w:type="paragraph" w:customStyle="1" w:styleId="Pa76">
    <w:name w:val="Pa76"/>
    <w:basedOn w:val="Normal"/>
    <w:next w:val="Normal"/>
    <w:rsid w:val="000C30D0"/>
    <w:pPr>
      <w:autoSpaceDE w:val="0"/>
      <w:autoSpaceDN w:val="0"/>
      <w:adjustRightInd w:val="0"/>
      <w:spacing w:after="0" w:line="141" w:lineRule="atLeast"/>
    </w:pPr>
    <w:rPr>
      <w:rFonts w:ascii="EC Square Sans Pro" w:eastAsia="Times New Roman" w:hAnsi="EC Square Sans Pro" w:cs="Times New Roman"/>
      <w:sz w:val="24"/>
      <w:szCs w:val="24"/>
      <w:lang w:val="pl-PL" w:eastAsia="pl-PL"/>
    </w:rPr>
  </w:style>
  <w:style w:type="paragraph" w:customStyle="1" w:styleId="Pa42">
    <w:name w:val="Pa42"/>
    <w:basedOn w:val="Normal"/>
    <w:next w:val="Normal"/>
    <w:rsid w:val="000C30D0"/>
    <w:pPr>
      <w:autoSpaceDE w:val="0"/>
      <w:autoSpaceDN w:val="0"/>
      <w:adjustRightInd w:val="0"/>
      <w:spacing w:after="0" w:line="141" w:lineRule="atLeast"/>
    </w:pPr>
    <w:rPr>
      <w:rFonts w:ascii="EC Square Sans Pro" w:eastAsia="Times New Roman" w:hAnsi="EC Square Sans Pro" w:cs="Times New Roman"/>
      <w:sz w:val="24"/>
      <w:szCs w:val="24"/>
      <w:lang w:val="pl-PL" w:eastAsia="pl-PL"/>
    </w:rPr>
  </w:style>
  <w:style w:type="paragraph" w:customStyle="1" w:styleId="Pa0">
    <w:name w:val="Pa0"/>
    <w:basedOn w:val="Default"/>
    <w:next w:val="Default"/>
    <w:rsid w:val="000C30D0"/>
    <w:pPr>
      <w:spacing w:line="241" w:lineRule="atLeast"/>
    </w:pPr>
    <w:rPr>
      <w:rFonts w:ascii="New Caledonia H" w:eastAsia="Times New Roman" w:hAnsi="New Caledonia H" w:cs="Times New Roman"/>
      <w:color w:val="auto"/>
      <w:lang w:val="pl-PL" w:eastAsia="pl-PL"/>
    </w:rPr>
  </w:style>
  <w:style w:type="character" w:customStyle="1" w:styleId="A00">
    <w:name w:val="A0"/>
    <w:rsid w:val="000C30D0"/>
    <w:rPr>
      <w:rFonts w:cs="New Caledonia H"/>
      <w:i/>
      <w:iCs/>
      <w:color w:val="000000"/>
      <w:sz w:val="18"/>
      <w:szCs w:val="18"/>
    </w:rPr>
  </w:style>
  <w:style w:type="character" w:customStyle="1" w:styleId="hpsalt-edited">
    <w:name w:val="hps alt-edited"/>
    <w:basedOn w:val="DefaultParagraphFont"/>
    <w:rsid w:val="000C30D0"/>
  </w:style>
  <w:style w:type="character" w:customStyle="1" w:styleId="alt-edited1">
    <w:name w:val="alt-edited1"/>
    <w:basedOn w:val="DefaultParagraphFont"/>
    <w:rsid w:val="000C30D0"/>
    <w:rPr>
      <w:color w:val="4D90F0"/>
    </w:rPr>
  </w:style>
  <w:style w:type="paragraph" w:styleId="HTMLPreformatted">
    <w:name w:val="HTML Preformatted"/>
    <w:basedOn w:val="Normal"/>
    <w:link w:val="HTMLPreformattedChar"/>
    <w:uiPriority w:val="99"/>
    <w:rsid w:val="000C3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l-PL" w:eastAsia="pl-PL"/>
    </w:rPr>
  </w:style>
  <w:style w:type="character" w:customStyle="1" w:styleId="HTMLPreformattedChar">
    <w:name w:val="HTML Preformatted Char"/>
    <w:basedOn w:val="DefaultParagraphFont"/>
    <w:link w:val="HTMLPreformatted"/>
    <w:uiPriority w:val="99"/>
    <w:rsid w:val="000C30D0"/>
    <w:rPr>
      <w:rFonts w:ascii="Courier New" w:eastAsia="Times New Roman" w:hAnsi="Courier New" w:cs="Courier New"/>
      <w:sz w:val="20"/>
      <w:szCs w:val="20"/>
      <w:lang w:val="pl-PL" w:eastAsia="pl-PL"/>
    </w:rPr>
  </w:style>
  <w:style w:type="character" w:customStyle="1" w:styleId="notranslate">
    <w:name w:val="notranslate"/>
    <w:basedOn w:val="DefaultParagraphFont"/>
    <w:rsid w:val="006404A8"/>
  </w:style>
  <w:style w:type="character" w:customStyle="1" w:styleId="5yl5">
    <w:name w:val="_5yl5"/>
    <w:basedOn w:val="DefaultParagraphFont"/>
    <w:rsid w:val="006404A8"/>
  </w:style>
  <w:style w:type="table" w:customStyle="1" w:styleId="Tabela-Siatka21">
    <w:name w:val="Tabela - Siatka21"/>
    <w:basedOn w:val="TableNormal"/>
    <w:next w:val="TableGrid"/>
    <w:uiPriority w:val="59"/>
    <w:rsid w:val="00271E87"/>
    <w:pPr>
      <w:spacing w:after="0" w:line="240" w:lineRule="auto"/>
    </w:pPr>
    <w:rPr>
      <w:rFonts w:ascii="Calibri" w:eastAsia="Times New Roman" w:hAnsi="Calibri" w:cs="Times New Roman"/>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basedOn w:val="TableNormal"/>
    <w:next w:val="TableGrid"/>
    <w:uiPriority w:val="59"/>
    <w:rsid w:val="00271E87"/>
    <w:pPr>
      <w:spacing w:after="0" w:line="240" w:lineRule="auto"/>
    </w:pPr>
    <w:rPr>
      <w:rFonts w:ascii="Calibri" w:eastAsia="Times New Roman" w:hAnsi="Calibri" w:cs="Times New Roman"/>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3">
    <w:name w:val="Tabela - Siatka23"/>
    <w:basedOn w:val="TableNormal"/>
    <w:next w:val="TableGrid"/>
    <w:uiPriority w:val="59"/>
    <w:rsid w:val="00271E87"/>
    <w:pPr>
      <w:spacing w:after="0" w:line="240" w:lineRule="auto"/>
    </w:pPr>
    <w:rPr>
      <w:rFonts w:ascii="Calibri" w:eastAsia="Times New Roman" w:hAnsi="Calibri" w:cs="Times New Roman"/>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TableNormal"/>
    <w:next w:val="TableGrid"/>
    <w:uiPriority w:val="59"/>
    <w:rsid w:val="00271E87"/>
    <w:pPr>
      <w:spacing w:after="0" w:line="240" w:lineRule="auto"/>
    </w:pPr>
    <w:rPr>
      <w:rFonts w:ascii="Calibri" w:eastAsia="Times New Roman" w:hAnsi="Calibri" w:cs="Times New Roman"/>
      <w:lang w:val="pl-PL"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7852826279">
    <w:name w:val="yiv7852826279"/>
    <w:basedOn w:val="DefaultParagraphFont"/>
    <w:rsid w:val="00271E87"/>
  </w:style>
  <w:style w:type="character" w:customStyle="1" w:styleId="04-MetinlerChar">
    <w:name w:val="04-Metinler Char"/>
    <w:link w:val="04-Metinler"/>
    <w:locked/>
    <w:rsid w:val="00271E87"/>
    <w:rPr>
      <w:rFonts w:eastAsia="Calibri" w:cs="Times New Roman"/>
    </w:rPr>
  </w:style>
  <w:style w:type="paragraph" w:customStyle="1" w:styleId="04-Metinler">
    <w:name w:val="04-Metinler"/>
    <w:basedOn w:val="Normal"/>
    <w:link w:val="04-MetinlerChar"/>
    <w:rsid w:val="00271E87"/>
    <w:pPr>
      <w:spacing w:before="120" w:after="120" w:line="240" w:lineRule="auto"/>
      <w:ind w:firstLine="562"/>
      <w:jc w:val="both"/>
    </w:pPr>
    <w:rPr>
      <w:rFonts w:eastAsia="Calibri" w:cs="Times New Roman"/>
    </w:rPr>
  </w:style>
  <w:style w:type="paragraph" w:customStyle="1" w:styleId="Normal1">
    <w:name w:val="Normal1"/>
    <w:rsid w:val="00220A92"/>
    <w:rPr>
      <w:rFonts w:ascii="Calibri" w:eastAsia="Calibri" w:hAnsi="Calibri" w:cs="Calibri"/>
      <w:color w:val="000000"/>
      <w:lang w:val="en-US"/>
    </w:rPr>
  </w:style>
  <w:style w:type="character" w:customStyle="1" w:styleId="Bodytext4">
    <w:name w:val="Body text (4)_"/>
    <w:basedOn w:val="DefaultParagraphFont"/>
    <w:link w:val="Bodytext40"/>
    <w:rsid w:val="00A9316D"/>
    <w:rPr>
      <w:rFonts w:ascii="Arial" w:eastAsia="Arial" w:hAnsi="Arial" w:cs="Arial"/>
      <w:b/>
      <w:bCs/>
      <w:shd w:val="clear" w:color="auto" w:fill="FFFFFF"/>
    </w:rPr>
  </w:style>
  <w:style w:type="character" w:customStyle="1" w:styleId="Bodytext5">
    <w:name w:val="Body text (5)_"/>
    <w:basedOn w:val="DefaultParagraphFont"/>
    <w:link w:val="Bodytext50"/>
    <w:rsid w:val="00A9316D"/>
    <w:rPr>
      <w:rFonts w:ascii="Arial" w:eastAsia="Arial" w:hAnsi="Arial" w:cs="Arial"/>
      <w:i/>
      <w:iCs/>
      <w:shd w:val="clear" w:color="auto" w:fill="FFFFFF"/>
    </w:rPr>
  </w:style>
  <w:style w:type="character" w:customStyle="1" w:styleId="Bodytext5115pt">
    <w:name w:val="Body text (5) + 11.5 pt"/>
    <w:aliases w:val="Bold"/>
    <w:basedOn w:val="Bodytext5"/>
    <w:rsid w:val="00A9316D"/>
    <w:rPr>
      <w:rFonts w:ascii="Arial" w:eastAsia="Arial" w:hAnsi="Arial" w:cs="Arial"/>
      <w:b/>
      <w:bCs/>
      <w:i/>
      <w:iCs/>
      <w:color w:val="000000"/>
      <w:spacing w:val="0"/>
      <w:w w:val="100"/>
      <w:position w:val="0"/>
      <w:sz w:val="23"/>
      <w:szCs w:val="23"/>
      <w:shd w:val="clear" w:color="auto" w:fill="FFFFFF"/>
      <w:lang w:val="en-US"/>
    </w:rPr>
  </w:style>
  <w:style w:type="paragraph" w:customStyle="1" w:styleId="Bodytext40">
    <w:name w:val="Body text (4)"/>
    <w:basedOn w:val="Normal"/>
    <w:link w:val="Bodytext4"/>
    <w:rsid w:val="00A9316D"/>
    <w:pPr>
      <w:widowControl w:val="0"/>
      <w:shd w:val="clear" w:color="auto" w:fill="FFFFFF"/>
      <w:spacing w:before="1260" w:after="180" w:line="0" w:lineRule="atLeast"/>
      <w:jc w:val="center"/>
    </w:pPr>
    <w:rPr>
      <w:rFonts w:ascii="Arial" w:eastAsia="Arial" w:hAnsi="Arial" w:cs="Arial"/>
      <w:b/>
      <w:bCs/>
    </w:rPr>
  </w:style>
  <w:style w:type="paragraph" w:customStyle="1" w:styleId="Bodytext50">
    <w:name w:val="Body text (5)"/>
    <w:basedOn w:val="Normal"/>
    <w:link w:val="Bodytext5"/>
    <w:rsid w:val="00A9316D"/>
    <w:pPr>
      <w:widowControl w:val="0"/>
      <w:shd w:val="clear" w:color="auto" w:fill="FFFFFF"/>
      <w:spacing w:before="300" w:after="0" w:line="274" w:lineRule="exact"/>
      <w:ind w:hanging="1420"/>
      <w:jc w:val="both"/>
    </w:pPr>
    <w:rPr>
      <w:rFonts w:ascii="Arial" w:eastAsia="Arial" w:hAnsi="Arial" w:cs="Arial"/>
      <w:i/>
      <w:iCs/>
    </w:rPr>
  </w:style>
  <w:style w:type="paragraph" w:styleId="ListBullet">
    <w:name w:val="List Bullet"/>
    <w:basedOn w:val="Normal"/>
    <w:unhideWhenUsed/>
    <w:rsid w:val="00A9316D"/>
    <w:pPr>
      <w:numPr>
        <w:numId w:val="7"/>
      </w:numPr>
      <w:spacing w:after="0" w:line="240" w:lineRule="auto"/>
      <w:contextualSpacing/>
    </w:pPr>
    <w:rPr>
      <w:rFonts w:eastAsiaTheme="minorEastAsia"/>
      <w:sz w:val="24"/>
      <w:szCs w:val="24"/>
      <w:lang w:val="en-US"/>
    </w:rPr>
  </w:style>
  <w:style w:type="paragraph" w:styleId="ListContinue">
    <w:name w:val="List Continue"/>
    <w:basedOn w:val="Normal"/>
    <w:uiPriority w:val="99"/>
    <w:unhideWhenUsed/>
    <w:rsid w:val="00A9316D"/>
    <w:pPr>
      <w:spacing w:after="120" w:line="240" w:lineRule="auto"/>
      <w:ind w:left="283"/>
      <w:contextualSpacing/>
    </w:pPr>
    <w:rPr>
      <w:rFonts w:eastAsiaTheme="minorEastAsia"/>
      <w:sz w:val="24"/>
      <w:szCs w:val="24"/>
      <w:lang w:val="en-US"/>
    </w:rPr>
  </w:style>
  <w:style w:type="table" w:customStyle="1" w:styleId="LightShading-Accent12">
    <w:name w:val="Light Shading - Accent 12"/>
    <w:basedOn w:val="TableNormal"/>
    <w:uiPriority w:val="60"/>
    <w:rsid w:val="00A9316D"/>
    <w:pPr>
      <w:spacing w:after="0" w:line="240" w:lineRule="auto"/>
    </w:pPr>
    <w:rPr>
      <w:color w:val="365F91" w:themeColor="accent1" w:themeShade="BF"/>
      <w:szCs w:val="28"/>
      <w:lang w:val="en-US" w:bidi="th-TH"/>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5">
    <w:name w:val="Light Shading5"/>
    <w:basedOn w:val="TableNormal"/>
    <w:uiPriority w:val="60"/>
    <w:rsid w:val="00D65FF8"/>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alineaCharRight-002cm">
    <w:name w:val="Style alinea Char + Right:  -0.02 cm"/>
    <w:basedOn w:val="Normal"/>
    <w:link w:val="StylealineaCharRight-002cmChar"/>
    <w:rsid w:val="00D65FF8"/>
    <w:pPr>
      <w:tabs>
        <w:tab w:val="center" w:pos="0"/>
      </w:tabs>
      <w:spacing w:before="100" w:beforeAutospacing="1" w:after="100" w:afterAutospacing="1" w:line="240" w:lineRule="auto"/>
      <w:ind w:right="-11" w:firstLine="851"/>
      <w:jc w:val="both"/>
      <w:outlineLvl w:val="0"/>
    </w:pPr>
    <w:rPr>
      <w:rFonts w:ascii="Times New Roman" w:eastAsia="Times New Roman" w:hAnsi="Times New Roman" w:cs="Times New Roman"/>
      <w:bCs/>
      <w:kern w:val="36"/>
      <w:sz w:val="24"/>
      <w:szCs w:val="20"/>
      <w:lang w:eastAsia="id-ID"/>
    </w:rPr>
  </w:style>
  <w:style w:type="character" w:customStyle="1" w:styleId="StylealineaCharRight-002cmChar">
    <w:name w:val="Style alinea Char + Right:  -0.02 cm Char"/>
    <w:basedOn w:val="DefaultParagraphFont"/>
    <w:link w:val="StylealineaCharRight-002cm"/>
    <w:rsid w:val="00D65FF8"/>
    <w:rPr>
      <w:rFonts w:ascii="Times New Roman" w:eastAsia="Times New Roman" w:hAnsi="Times New Roman" w:cs="Times New Roman"/>
      <w:bCs/>
      <w:kern w:val="36"/>
      <w:sz w:val="24"/>
      <w:szCs w:val="20"/>
      <w:lang w:eastAsia="id-ID"/>
    </w:rPr>
  </w:style>
  <w:style w:type="paragraph" w:customStyle="1" w:styleId="StylealineaCharBold">
    <w:name w:val="Style alinea Char + Bold"/>
    <w:basedOn w:val="Normal"/>
    <w:link w:val="StylealineaCharBoldChar"/>
    <w:autoRedefine/>
    <w:rsid w:val="00D65FF8"/>
    <w:pPr>
      <w:tabs>
        <w:tab w:val="center" w:pos="0"/>
      </w:tabs>
      <w:spacing w:after="0"/>
      <w:ind w:left="851" w:right="-11" w:hanging="851"/>
      <w:outlineLvl w:val="0"/>
    </w:pPr>
    <w:rPr>
      <w:rFonts w:ascii="Times New Roman" w:eastAsia="Times New Roman" w:hAnsi="Times New Roman" w:cs="Times New Roman"/>
      <w:bCs/>
      <w:kern w:val="36"/>
      <w:sz w:val="24"/>
      <w:szCs w:val="24"/>
      <w:lang w:eastAsia="id-ID"/>
    </w:rPr>
  </w:style>
  <w:style w:type="character" w:customStyle="1" w:styleId="StylealineaCharBoldChar">
    <w:name w:val="Style alinea Char + Bold Char"/>
    <w:basedOn w:val="DefaultParagraphFont"/>
    <w:link w:val="StylealineaCharBold"/>
    <w:rsid w:val="00D65FF8"/>
    <w:rPr>
      <w:rFonts w:ascii="Times New Roman" w:eastAsia="Times New Roman" w:hAnsi="Times New Roman" w:cs="Times New Roman"/>
      <w:bCs/>
      <w:kern w:val="36"/>
      <w:sz w:val="24"/>
      <w:szCs w:val="24"/>
      <w:lang w:eastAsia="id-ID"/>
    </w:rPr>
  </w:style>
  <w:style w:type="table" w:customStyle="1" w:styleId="MediumList11">
    <w:name w:val="Medium List 11"/>
    <w:basedOn w:val="TableNormal"/>
    <w:uiPriority w:val="65"/>
    <w:rsid w:val="00D65FF8"/>
    <w:pPr>
      <w:spacing w:after="0" w:line="240" w:lineRule="auto"/>
    </w:pPr>
    <w:rPr>
      <w:rFonts w:ascii="Times New Roman" w:eastAsia="Times New Roman" w:hAnsi="Times New Roman" w:cs="Times New Roman"/>
      <w:color w:val="000000" w:themeColor="text1"/>
      <w:sz w:val="20"/>
      <w:szCs w:val="20"/>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StyleJustifiedLeft063cmFirstline127cmLinespacing1">
    <w:name w:val="Style Justified Left:  0.63 cm First line:  1.27 cm Line spacing...1"/>
    <w:basedOn w:val="Normal"/>
    <w:rsid w:val="00D65FF8"/>
    <w:pPr>
      <w:spacing w:before="120" w:beforeAutospacing="1" w:after="120" w:afterAutospacing="1" w:line="360" w:lineRule="auto"/>
      <w:ind w:firstLine="720"/>
      <w:jc w:val="both"/>
      <w:outlineLvl w:val="0"/>
    </w:pPr>
    <w:rPr>
      <w:rFonts w:ascii="Times New Roman" w:eastAsia="Times New Roman" w:hAnsi="Times New Roman" w:cs="Times New Roman"/>
      <w:bCs/>
      <w:kern w:val="36"/>
      <w:sz w:val="24"/>
      <w:szCs w:val="20"/>
      <w:lang w:eastAsia="id-ID"/>
    </w:rPr>
  </w:style>
  <w:style w:type="numbering" w:customStyle="1" w:styleId="b1">
    <w:name w:val="b1"/>
    <w:uiPriority w:val="99"/>
    <w:rsid w:val="00A37B35"/>
    <w:pPr>
      <w:numPr>
        <w:numId w:val="8"/>
      </w:numPr>
    </w:pPr>
  </w:style>
  <w:style w:type="numbering" w:customStyle="1" w:styleId="b2">
    <w:name w:val="b2"/>
    <w:uiPriority w:val="99"/>
    <w:rsid w:val="00A37B35"/>
    <w:pPr>
      <w:numPr>
        <w:numId w:val="9"/>
      </w:numPr>
    </w:pPr>
  </w:style>
  <w:style w:type="character" w:customStyle="1" w:styleId="A2">
    <w:name w:val="A2"/>
    <w:uiPriority w:val="99"/>
    <w:rsid w:val="00FB6184"/>
    <w:rPr>
      <w:rFonts w:cs="Times New Roman"/>
      <w:b/>
      <w:bCs/>
      <w:color w:val="000000"/>
      <w:sz w:val="18"/>
      <w:szCs w:val="18"/>
    </w:rPr>
  </w:style>
  <w:style w:type="character" w:customStyle="1" w:styleId="hlfld-title">
    <w:name w:val="hlfld-title"/>
    <w:basedOn w:val="DefaultParagraphFont"/>
    <w:rsid w:val="004F295C"/>
  </w:style>
  <w:style w:type="character" w:customStyle="1" w:styleId="singlehighlightclass">
    <w:name w:val="single_highlight_class"/>
    <w:basedOn w:val="DefaultParagraphFont"/>
    <w:rsid w:val="004F295C"/>
  </w:style>
  <w:style w:type="character" w:customStyle="1" w:styleId="completeauthorentry">
    <w:name w:val="completeauthorentry"/>
    <w:basedOn w:val="DefaultParagraphFont"/>
    <w:rsid w:val="004F295C"/>
  </w:style>
  <w:style w:type="character" w:customStyle="1" w:styleId="publicationinfo">
    <w:name w:val="publicationinfo"/>
    <w:basedOn w:val="DefaultParagraphFont"/>
    <w:rsid w:val="004F295C"/>
  </w:style>
  <w:style w:type="character" w:customStyle="1" w:styleId="notrecommendedinfo">
    <w:name w:val="notrecommendedinfo"/>
    <w:basedOn w:val="DefaultParagraphFont"/>
    <w:rsid w:val="004F295C"/>
  </w:style>
  <w:style w:type="paragraph" w:customStyle="1" w:styleId="volissue">
    <w:name w:val="volissue"/>
    <w:basedOn w:val="Normal"/>
    <w:rsid w:val="004F295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ppendbottom">
    <w:name w:val="append_bottom"/>
    <w:basedOn w:val="Normal"/>
    <w:rsid w:val="004F295C"/>
    <w:pPr>
      <w:spacing w:before="100" w:beforeAutospacing="1" w:after="100" w:afterAutospacing="1" w:line="240" w:lineRule="auto"/>
    </w:pPr>
    <w:rPr>
      <w:rFonts w:ascii="Times New Roman" w:eastAsia="Times New Roman" w:hAnsi="Times New Roman" w:cs="Times New Roman"/>
      <w:sz w:val="24"/>
      <w:szCs w:val="24"/>
      <w:lang w:val="en-US" w:bidi="gu-IN"/>
    </w:rPr>
  </w:style>
  <w:style w:type="paragraph" w:customStyle="1" w:styleId="appendbottomhalf">
    <w:name w:val="append_bottomhalf"/>
    <w:basedOn w:val="Normal"/>
    <w:rsid w:val="004F295C"/>
    <w:pPr>
      <w:spacing w:before="100" w:beforeAutospacing="1" w:after="100" w:afterAutospacing="1" w:line="240" w:lineRule="auto"/>
    </w:pPr>
    <w:rPr>
      <w:rFonts w:ascii="Times New Roman" w:eastAsia="Times New Roman" w:hAnsi="Times New Roman" w:cs="Times New Roman"/>
      <w:sz w:val="24"/>
      <w:szCs w:val="24"/>
      <w:lang w:val="en-US" w:bidi="gu-IN"/>
    </w:rPr>
  </w:style>
  <w:style w:type="character" w:customStyle="1" w:styleId="titleauthoretc">
    <w:name w:val="titleauthoretc"/>
    <w:basedOn w:val="DefaultParagraphFont"/>
    <w:rsid w:val="004F295C"/>
  </w:style>
  <w:style w:type="character" w:customStyle="1" w:styleId="name">
    <w:name w:val="name"/>
    <w:basedOn w:val="DefaultParagraphFont"/>
    <w:rsid w:val="004F295C"/>
  </w:style>
  <w:style w:type="character" w:customStyle="1" w:styleId="abstract-sub-heading">
    <w:name w:val="abstract-sub-heading"/>
    <w:basedOn w:val="DefaultParagraphFont"/>
    <w:rsid w:val="004F295C"/>
  </w:style>
  <w:style w:type="table" w:customStyle="1" w:styleId="TableGrid0">
    <w:name w:val="TableGrid"/>
    <w:rsid w:val="004F295C"/>
    <w:pPr>
      <w:spacing w:after="0" w:line="240" w:lineRule="auto"/>
    </w:pPr>
    <w:rPr>
      <w:rFonts w:eastAsiaTheme="minorEastAsia"/>
      <w:szCs w:val="20"/>
      <w:lang w:val="en-US" w:bidi="ne-NP"/>
    </w:rPr>
    <w:tblPr>
      <w:tblCellMar>
        <w:top w:w="0" w:type="dxa"/>
        <w:left w:w="0" w:type="dxa"/>
        <w:bottom w:w="0" w:type="dxa"/>
        <w:right w:w="0" w:type="dxa"/>
      </w:tblCellMar>
    </w:tblPr>
  </w:style>
  <w:style w:type="paragraph" w:customStyle="1" w:styleId="CM6">
    <w:name w:val="CM6"/>
    <w:basedOn w:val="Default"/>
    <w:next w:val="Default"/>
    <w:uiPriority w:val="99"/>
    <w:rsid w:val="0012496D"/>
    <w:pPr>
      <w:widowControl w:val="0"/>
      <w:spacing w:line="373" w:lineRule="atLeast"/>
    </w:pPr>
    <w:rPr>
      <w:rFonts w:ascii="Times New Roman" w:eastAsia="Times New Roman" w:hAnsi="Times New Roman" w:cs="Angsana New"/>
      <w:color w:val="auto"/>
      <w:lang w:bidi="th-TH"/>
    </w:rPr>
  </w:style>
  <w:style w:type="character" w:customStyle="1" w:styleId="selectable">
    <w:name w:val="selectable"/>
    <w:rsid w:val="00747F0C"/>
  </w:style>
  <w:style w:type="character" w:customStyle="1" w:styleId="small">
    <w:name w:val="small"/>
    <w:rsid w:val="00747F0C"/>
  </w:style>
  <w:style w:type="character" w:customStyle="1" w:styleId="cit-title">
    <w:name w:val="cit-title"/>
    <w:rsid w:val="00747F0C"/>
  </w:style>
  <w:style w:type="character" w:customStyle="1" w:styleId="highlight">
    <w:name w:val="highlight"/>
    <w:basedOn w:val="DefaultParagraphFont"/>
    <w:rsid w:val="00D3488C"/>
  </w:style>
  <w:style w:type="paragraph" w:customStyle="1" w:styleId="bibliografia">
    <w:name w:val="bibliografia"/>
    <w:basedOn w:val="Normal"/>
    <w:link w:val="bibliografiaChar"/>
    <w:qFormat/>
    <w:rsid w:val="00D3488C"/>
    <w:pPr>
      <w:spacing w:after="0" w:line="360" w:lineRule="auto"/>
      <w:ind w:left="709" w:hanging="709"/>
      <w:jc w:val="both"/>
    </w:pPr>
    <w:rPr>
      <w:rFonts w:ascii="Arial" w:eastAsia="Calibri" w:hAnsi="Arial" w:cs="Arial"/>
      <w:sz w:val="24"/>
      <w:szCs w:val="24"/>
      <w:lang w:val="es-MX" w:eastAsia="es-ES"/>
    </w:rPr>
  </w:style>
  <w:style w:type="character" w:customStyle="1" w:styleId="bibliografiaChar">
    <w:name w:val="bibliografia Char"/>
    <w:basedOn w:val="DefaultParagraphFont"/>
    <w:link w:val="bibliografia"/>
    <w:rsid w:val="00D3488C"/>
    <w:rPr>
      <w:rFonts w:ascii="Arial" w:eastAsia="Calibri" w:hAnsi="Arial" w:cs="Arial"/>
      <w:sz w:val="24"/>
      <w:szCs w:val="24"/>
      <w:lang w:val="es-MX" w:eastAsia="es-ES"/>
    </w:rPr>
  </w:style>
  <w:style w:type="table" w:customStyle="1" w:styleId="ListTable6Colorful1">
    <w:name w:val="List Table 6 Colorful1"/>
    <w:basedOn w:val="TableNormal"/>
    <w:uiPriority w:val="51"/>
    <w:rsid w:val="00B34968"/>
    <w:pPr>
      <w:spacing w:after="0" w:line="240" w:lineRule="auto"/>
    </w:pPr>
    <w:rPr>
      <w:color w:val="000000" w:themeColor="text1"/>
      <w:lang w:val="en-MY"/>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FO">
    <w:name w:val="INFO"/>
    <w:basedOn w:val="Normal"/>
    <w:qFormat/>
    <w:rsid w:val="00EB10FD"/>
    <w:pPr>
      <w:spacing w:after="0" w:line="240" w:lineRule="auto"/>
      <w:jc w:val="center"/>
    </w:pPr>
    <w:rPr>
      <w:rFonts w:ascii="Times New Roman" w:eastAsia="Calibri" w:hAnsi="Times New Roman" w:cs="Times New Roman"/>
      <w:i/>
      <w:sz w:val="16"/>
      <w:szCs w:val="16"/>
      <w:lang w:val="tr-TR"/>
    </w:rPr>
  </w:style>
  <w:style w:type="character" w:customStyle="1" w:styleId="desc">
    <w:name w:val="desc"/>
    <w:basedOn w:val="DefaultParagraphFont"/>
    <w:rsid w:val="009F544B"/>
  </w:style>
  <w:style w:type="paragraph" w:customStyle="1" w:styleId="Normal10">
    <w:name w:val="Normal1"/>
    <w:rsid w:val="00EE4BFB"/>
    <w:pPr>
      <w:spacing w:after="0"/>
    </w:pPr>
    <w:rPr>
      <w:rFonts w:ascii="Arial" w:eastAsia="Arial" w:hAnsi="Arial" w:cs="Arial"/>
      <w:color w:val="000000"/>
      <w:lang w:val="en-US"/>
    </w:rPr>
  </w:style>
  <w:style w:type="character" w:styleId="LineNumber">
    <w:name w:val="line number"/>
    <w:basedOn w:val="DefaultParagraphFont"/>
    <w:uiPriority w:val="99"/>
    <w:semiHidden/>
    <w:unhideWhenUsed/>
    <w:rsid w:val="000B17E9"/>
  </w:style>
  <w:style w:type="table" w:customStyle="1" w:styleId="GridTable4-Accent51">
    <w:name w:val="Grid Table 4 - Accent 51"/>
    <w:basedOn w:val="TableNormal"/>
    <w:uiPriority w:val="49"/>
    <w:rsid w:val="000B17E9"/>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0B17E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1">
    <w:name w:val="Grid Table 5 Dark - Accent 11"/>
    <w:basedOn w:val="TableNormal"/>
    <w:uiPriority w:val="50"/>
    <w:rsid w:val="000B17E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31">
    <w:name w:val="Grid Table 5 Dark - Accent 31"/>
    <w:basedOn w:val="TableNormal"/>
    <w:uiPriority w:val="50"/>
    <w:rsid w:val="000B17E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1">
    <w:name w:val="Grid Table 4 - Accent 31"/>
    <w:basedOn w:val="TableNormal"/>
    <w:uiPriority w:val="49"/>
    <w:rsid w:val="000B17E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sonormal0">
    <w:name w:val="msonormal"/>
    <w:basedOn w:val="Normal"/>
    <w:rsid w:val="000B17E9"/>
    <w:pPr>
      <w:spacing w:before="100" w:beforeAutospacing="1" w:after="100" w:afterAutospacing="1" w:line="240" w:lineRule="auto"/>
    </w:pPr>
    <w:rPr>
      <w:rFonts w:ascii="Times New Roman" w:eastAsia="Times New Roman" w:hAnsi="Times New Roman" w:cs="Times New Roman"/>
      <w:sz w:val="24"/>
      <w:szCs w:val="24"/>
      <w:lang w:val="en-US" w:eastAsia="id-ID"/>
    </w:rPr>
  </w:style>
  <w:style w:type="paragraph" w:customStyle="1" w:styleId="xl75">
    <w:name w:val="xl75"/>
    <w:basedOn w:val="Normal"/>
    <w:rsid w:val="000B1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id-ID"/>
    </w:rPr>
  </w:style>
  <w:style w:type="paragraph" w:customStyle="1" w:styleId="xl76">
    <w:name w:val="xl76"/>
    <w:basedOn w:val="Normal"/>
    <w:rsid w:val="000B1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eastAsia="id-ID"/>
    </w:rPr>
  </w:style>
  <w:style w:type="paragraph" w:customStyle="1" w:styleId="xl77">
    <w:name w:val="xl77"/>
    <w:basedOn w:val="Normal"/>
    <w:rsid w:val="000B17E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val="en-US" w:eastAsia="id-ID"/>
    </w:rPr>
  </w:style>
  <w:style w:type="paragraph" w:customStyle="1" w:styleId="xl78">
    <w:name w:val="xl78"/>
    <w:basedOn w:val="Normal"/>
    <w:rsid w:val="000B17E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val="en-US" w:eastAsia="id-ID"/>
    </w:rPr>
  </w:style>
  <w:style w:type="paragraph" w:customStyle="1" w:styleId="xl79">
    <w:name w:val="xl79"/>
    <w:basedOn w:val="Normal"/>
    <w:rsid w:val="000B17E9"/>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eastAsia="id-ID"/>
    </w:rPr>
  </w:style>
  <w:style w:type="table" w:customStyle="1" w:styleId="PlainTable21">
    <w:name w:val="Plain Table 21"/>
    <w:basedOn w:val="TableNormal"/>
    <w:uiPriority w:val="42"/>
    <w:rsid w:val="000B17E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0B17E9"/>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31">
    <w:name w:val="List Table 4 - Accent 31"/>
    <w:basedOn w:val="TableNormal"/>
    <w:uiPriority w:val="49"/>
    <w:rsid w:val="00081E54"/>
    <w:pPr>
      <w:spacing w:before="120" w:after="0" w:line="240" w:lineRule="auto"/>
      <w:ind w:left="360" w:hanging="360"/>
      <w:jc w:val="both"/>
    </w:pPr>
    <w:rPr>
      <w:rFonts w:ascii="Arial" w:hAnsi="Arial" w:cs="Arial"/>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ColorfulList-Accent6">
    <w:name w:val="Colorful List Accent 6"/>
    <w:basedOn w:val="TableNormal"/>
    <w:uiPriority w:val="72"/>
    <w:rsid w:val="00081E54"/>
    <w:pPr>
      <w:spacing w:after="0" w:line="240" w:lineRule="auto"/>
      <w:ind w:left="360" w:hanging="360"/>
      <w:jc w:val="both"/>
    </w:pPr>
    <w:rPr>
      <w:rFonts w:ascii="Arial" w:hAnsi="Arial" w:cs="Arial"/>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GridTable4-Accent11">
    <w:name w:val="Grid Table 4 - Accent 11"/>
    <w:basedOn w:val="TableNormal"/>
    <w:uiPriority w:val="49"/>
    <w:rsid w:val="00081E54"/>
    <w:pPr>
      <w:spacing w:before="120" w:after="0" w:line="240" w:lineRule="auto"/>
      <w:ind w:left="360" w:hanging="360"/>
      <w:jc w:val="both"/>
    </w:pPr>
    <w:rPr>
      <w:rFonts w:ascii="Arial" w:hAnsi="Arial" w:cs="Arial"/>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ColorfulList-Accent4">
    <w:name w:val="Colorful List Accent 4"/>
    <w:basedOn w:val="TableNormal"/>
    <w:uiPriority w:val="72"/>
    <w:rsid w:val="00081E54"/>
    <w:pPr>
      <w:spacing w:after="0" w:line="240" w:lineRule="auto"/>
      <w:ind w:left="360" w:hanging="360"/>
      <w:jc w:val="both"/>
    </w:pPr>
    <w:rPr>
      <w:rFonts w:ascii="Arial" w:hAnsi="Arial" w:cs="Arial"/>
      <w:color w:val="000000" w:themeColor="text1"/>
      <w:lang w:val="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fontstyle01">
    <w:name w:val="fontstyle01"/>
    <w:basedOn w:val="DefaultParagraphFont"/>
    <w:rsid w:val="00081E54"/>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081E54"/>
    <w:rPr>
      <w:rFonts w:ascii="TimesNewRomanPS-BoldItalicMT" w:hAnsi="TimesNewRomanPS-BoldItalicMT" w:hint="default"/>
      <w:b/>
      <w:bCs/>
      <w:i/>
      <w:iCs/>
      <w:color w:val="000000"/>
      <w:sz w:val="28"/>
      <w:szCs w:val="28"/>
    </w:rPr>
  </w:style>
  <w:style w:type="paragraph" w:customStyle="1" w:styleId="LightGrid-Accent31">
    <w:name w:val="Light Grid - Accent 31"/>
    <w:basedOn w:val="Normal"/>
    <w:uiPriority w:val="34"/>
    <w:qFormat/>
    <w:rsid w:val="00DB1488"/>
    <w:pPr>
      <w:spacing w:after="0" w:line="240" w:lineRule="auto"/>
      <w:ind w:left="720"/>
    </w:pPr>
    <w:rPr>
      <w:rFonts w:ascii="Times New Roman" w:eastAsia="Times New Roman" w:hAnsi="Times New Roman" w:cs="Times New Roman"/>
      <w:sz w:val="20"/>
      <w:szCs w:val="20"/>
      <w:lang w:val="en-AU"/>
    </w:rPr>
  </w:style>
  <w:style w:type="paragraph" w:customStyle="1" w:styleId="GridTable31">
    <w:name w:val="Grid Table 31"/>
    <w:basedOn w:val="Heading1"/>
    <w:next w:val="Normal"/>
    <w:uiPriority w:val="39"/>
    <w:unhideWhenUsed/>
    <w:qFormat/>
    <w:rsid w:val="00DB1488"/>
    <w:pPr>
      <w:spacing w:before="240" w:line="259" w:lineRule="auto"/>
      <w:outlineLvl w:val="9"/>
    </w:pPr>
    <w:rPr>
      <w:rFonts w:ascii="Calibri Light" w:eastAsia="Times New Roman" w:hAnsi="Calibri Light" w:cs="Times New Roman"/>
      <w:b w:val="0"/>
      <w:bCs w:val="0"/>
      <w:color w:val="2E74B5"/>
      <w:sz w:val="32"/>
      <w:szCs w:val="32"/>
    </w:rPr>
  </w:style>
  <w:style w:type="table" w:customStyle="1" w:styleId="LightGrid1">
    <w:name w:val="Light Grid1"/>
    <w:basedOn w:val="TableNormal"/>
    <w:uiPriority w:val="62"/>
    <w:rsid w:val="002054E6"/>
    <w:pPr>
      <w:spacing w:after="0"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Accent3">
    <w:name w:val="Medium List 1 Accent 3"/>
    <w:basedOn w:val="TableNormal"/>
    <w:uiPriority w:val="65"/>
    <w:rsid w:val="002054E6"/>
    <w:pPr>
      <w:spacing w:after="0" w:line="240" w:lineRule="auto"/>
    </w:pPr>
    <w:rPr>
      <w:color w:val="000000" w:themeColor="text1"/>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11">
    <w:name w:val="Medium List 1 - Accent 11"/>
    <w:basedOn w:val="TableNormal"/>
    <w:uiPriority w:val="65"/>
    <w:rsid w:val="002054E6"/>
    <w:pPr>
      <w:spacing w:after="0" w:line="240" w:lineRule="auto"/>
    </w:pPr>
    <w:rPr>
      <w:color w:val="000000" w:themeColor="text1"/>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at">
    <w:name w:val="at"/>
    <w:basedOn w:val="DefaultParagraphFont"/>
    <w:rsid w:val="009E49EF"/>
  </w:style>
  <w:style w:type="table" w:customStyle="1" w:styleId="APA">
    <w:name w:val="APA"/>
    <w:basedOn w:val="TableNormal"/>
    <w:qFormat/>
    <w:rsid w:val="00CF6A35"/>
    <w:pPr>
      <w:spacing w:after="0" w:line="240" w:lineRule="auto"/>
      <w:jc w:val="center"/>
    </w:pPr>
    <w:rPr>
      <w:rFonts w:ascii="Times New Roman" w:eastAsia="Times New Roman" w:hAnsi="Times New Roman" w:cs="Times New Roman"/>
      <w:sz w:val="24"/>
      <w:szCs w:val="20"/>
      <w:lang w:val="en-MY" w:eastAsia="en-MY"/>
    </w:rPr>
    <w:tblPr>
      <w:tblInd w:w="0" w:type="dxa"/>
      <w:tblBorders>
        <w:bottom w:val="single" w:sz="8" w:space="0" w:color="auto"/>
      </w:tblBorders>
      <w:tblCellMar>
        <w:top w:w="0" w:type="dxa"/>
        <w:left w:w="108" w:type="dxa"/>
        <w:bottom w:w="0" w:type="dxa"/>
        <w:right w:w="108" w:type="dxa"/>
      </w:tblCellMar>
    </w:tblPr>
    <w:tcPr>
      <w:vAlign w:val="center"/>
    </w:tcPr>
    <w:tblStylePr w:type="firstRow">
      <w:tblPr/>
      <w:tcPr>
        <w:tcBorders>
          <w:top w:val="single" w:sz="8" w:space="0" w:color="auto"/>
          <w:bottom w:val="single" w:sz="8" w:space="0" w:color="auto"/>
        </w:tcBorders>
      </w:tcPr>
    </w:tblStylePr>
    <w:tblStylePr w:type="lastRow">
      <w:rPr>
        <w:rFonts w:ascii="Times New Roman" w:hAnsi="Times New Roman"/>
        <w:sz w:val="24"/>
      </w:rPr>
    </w:tblStylePr>
  </w:style>
  <w:style w:type="table" w:customStyle="1" w:styleId="LightGrid4">
    <w:name w:val="Light Grid4"/>
    <w:basedOn w:val="TableNormal"/>
    <w:uiPriority w:val="62"/>
    <w:rsid w:val="00161517"/>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opiright2">
    <w:name w:val="copiright2"/>
    <w:rsid w:val="00161517"/>
    <w:rPr>
      <w:vanish w:val="0"/>
      <w:webHidden w:val="0"/>
      <w:sz w:val="13"/>
      <w:szCs w:val="13"/>
      <w:specVanish w:val="0"/>
    </w:rPr>
  </w:style>
  <w:style w:type="character" w:customStyle="1" w:styleId="highlighter1">
    <w:name w:val="highlighter1"/>
    <w:rsid w:val="00161517"/>
    <w:rPr>
      <w:color w:val="FF0000"/>
    </w:rPr>
  </w:style>
  <w:style w:type="character" w:customStyle="1" w:styleId="WW8Num3z6">
    <w:name w:val="WW8Num3z6"/>
    <w:qFormat/>
    <w:rsid w:val="0084746B"/>
  </w:style>
  <w:style w:type="character" w:customStyle="1" w:styleId="InternetLink">
    <w:name w:val="Internet Link"/>
    <w:basedOn w:val="DefaultParagraphFont"/>
    <w:rsid w:val="0084746B"/>
    <w:rPr>
      <w:color w:val="0563C1"/>
      <w:u w:val="single"/>
    </w:rPr>
  </w:style>
  <w:style w:type="paragraph" w:customStyle="1" w:styleId="TableParagraph">
    <w:name w:val="Table Paragraph"/>
    <w:basedOn w:val="Normal"/>
    <w:uiPriority w:val="1"/>
    <w:qFormat/>
    <w:rsid w:val="0037527B"/>
    <w:pPr>
      <w:widowControl w:val="0"/>
      <w:spacing w:after="0" w:line="240" w:lineRule="auto"/>
    </w:pPr>
    <w:rPr>
      <w:lang w:val="en-US"/>
    </w:rPr>
  </w:style>
  <w:style w:type="paragraph" w:customStyle="1" w:styleId="Pa10">
    <w:name w:val="Pa10"/>
    <w:basedOn w:val="Default"/>
    <w:next w:val="Default"/>
    <w:uiPriority w:val="99"/>
    <w:rsid w:val="0037527B"/>
    <w:pPr>
      <w:spacing w:line="201" w:lineRule="atLeast"/>
    </w:pPr>
    <w:rPr>
      <w:rFonts w:ascii="Times New Roman" w:eastAsiaTheme="minorHAnsi" w:hAnsi="Times New Roman" w:cs="Times New Roman"/>
      <w:color w:val="auto"/>
    </w:rPr>
  </w:style>
  <w:style w:type="paragraph" w:customStyle="1" w:styleId="xmsolistparagraph">
    <w:name w:val="x_msolistparagraph"/>
    <w:basedOn w:val="Normal"/>
    <w:rsid w:val="00375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normal">
    <w:name w:val="x_msonormal"/>
    <w:basedOn w:val="Normal"/>
    <w:rsid w:val="00375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PIHeading1">
    <w:name w:val="CPI Heading 1"/>
    <w:next w:val="Normal"/>
    <w:qFormat/>
    <w:rsid w:val="005B34B1"/>
    <w:pPr>
      <w:pageBreakBefore/>
      <w:numPr>
        <w:numId w:val="10"/>
      </w:numPr>
      <w:spacing w:before="240" w:after="120" w:line="240" w:lineRule="auto"/>
      <w:outlineLvl w:val="0"/>
    </w:pPr>
    <w:rPr>
      <w:rFonts w:asciiTheme="majorHAnsi" w:eastAsiaTheme="majorEastAsia" w:hAnsiTheme="majorHAnsi" w:cstheme="majorBidi"/>
      <w:b/>
      <w:bCs/>
      <w:color w:val="C0504D" w:themeColor="accent2"/>
      <w:sz w:val="28"/>
      <w:szCs w:val="28"/>
      <w:lang w:val="en-US"/>
    </w:rPr>
  </w:style>
  <w:style w:type="paragraph" w:customStyle="1" w:styleId="CPIHeading2">
    <w:name w:val="CPI Heading 2"/>
    <w:basedOn w:val="CPIHeading1"/>
    <w:next w:val="Normal"/>
    <w:qFormat/>
    <w:rsid w:val="005B34B1"/>
    <w:pPr>
      <w:keepNext/>
      <w:keepLines/>
      <w:pageBreakBefore w:val="0"/>
      <w:numPr>
        <w:ilvl w:val="1"/>
      </w:numPr>
      <w:spacing w:before="120"/>
      <w:outlineLvl w:val="1"/>
    </w:pPr>
    <w:rPr>
      <w:rFonts w:ascii="Century Gothic" w:hAnsi="Century Gothic"/>
      <w:color w:val="404040" w:themeColor="text1" w:themeTint="BF"/>
      <w:spacing w:val="-20"/>
      <w:kern w:val="16"/>
      <w:sz w:val="26"/>
      <w:szCs w:val="24"/>
    </w:rPr>
  </w:style>
  <w:style w:type="paragraph" w:customStyle="1" w:styleId="CPIHeading3">
    <w:name w:val="CPI Heading 3"/>
    <w:next w:val="Normal"/>
    <w:qFormat/>
    <w:rsid w:val="005B34B1"/>
    <w:pPr>
      <w:numPr>
        <w:ilvl w:val="2"/>
        <w:numId w:val="10"/>
      </w:numPr>
      <w:spacing w:line="240" w:lineRule="auto"/>
      <w:ind w:left="0" w:firstLine="0"/>
      <w:outlineLvl w:val="2"/>
    </w:pPr>
    <w:rPr>
      <w:rFonts w:ascii="Century Gothic" w:hAnsi="Century Gothic"/>
      <w:caps/>
      <w:color w:val="595959" w:themeColor="text1" w:themeTint="A6"/>
      <w:spacing w:val="-20"/>
      <w:kern w:val="16"/>
      <w:sz w:val="20"/>
      <w:szCs w:val="20"/>
      <w:lang w:val="en-US"/>
    </w:rPr>
  </w:style>
  <w:style w:type="numbering" w:customStyle="1" w:styleId="CPIHeadings">
    <w:name w:val="CPI Headings"/>
    <w:uiPriority w:val="99"/>
    <w:rsid w:val="005B34B1"/>
    <w:pPr>
      <w:numPr>
        <w:numId w:val="11"/>
      </w:numPr>
    </w:pPr>
  </w:style>
  <w:style w:type="paragraph" w:customStyle="1" w:styleId="Pa3">
    <w:name w:val="Pa3"/>
    <w:basedOn w:val="Default"/>
    <w:next w:val="Default"/>
    <w:uiPriority w:val="99"/>
    <w:rsid w:val="005B34B1"/>
    <w:pPr>
      <w:spacing w:line="211" w:lineRule="atLeast"/>
    </w:pPr>
    <w:rPr>
      <w:rFonts w:ascii="Bembo" w:eastAsiaTheme="minorHAnsi" w:hAnsi="Bembo" w:cstheme="minorBidi"/>
      <w:color w:val="auto"/>
    </w:rPr>
  </w:style>
  <w:style w:type="character" w:customStyle="1" w:styleId="A12">
    <w:name w:val="A12"/>
    <w:uiPriority w:val="99"/>
    <w:rsid w:val="005B34B1"/>
    <w:rPr>
      <w:rFonts w:cs="Bembo"/>
      <w:b/>
      <w:bCs/>
      <w:color w:val="000000"/>
      <w:sz w:val="44"/>
      <w:szCs w:val="44"/>
    </w:rPr>
  </w:style>
  <w:style w:type="paragraph" w:customStyle="1" w:styleId="p15">
    <w:name w:val="p15"/>
    <w:basedOn w:val="Normal"/>
    <w:rsid w:val="005B34B1"/>
    <w:pPr>
      <w:spacing w:after="160" w:line="259" w:lineRule="auto"/>
    </w:pPr>
    <w:rPr>
      <w:rFonts w:ascii="Times New Roman" w:eastAsia="Times New Roman" w:hAnsi="Times New Roman" w:cs="Times New Roman"/>
      <w:sz w:val="20"/>
      <w:szCs w:val="20"/>
      <w:lang w:val="en-US" w:eastAsia="zh-CN"/>
    </w:rPr>
  </w:style>
  <w:style w:type="character" w:customStyle="1" w:styleId="Date1">
    <w:name w:val="Date1"/>
    <w:basedOn w:val="DefaultParagraphFont"/>
    <w:rsid w:val="00493223"/>
  </w:style>
  <w:style w:type="paragraph" w:customStyle="1" w:styleId="Style1">
    <w:name w:val="Style1"/>
    <w:basedOn w:val="FootnoteText"/>
    <w:autoRedefine/>
    <w:uiPriority w:val="99"/>
    <w:rsid w:val="00334C7B"/>
    <w:pPr>
      <w:ind w:left="720"/>
      <w:jc w:val="right"/>
    </w:pPr>
    <w:rPr>
      <w:rFonts w:ascii="Times New Roman" w:eastAsia="Times New Roman" w:hAnsi="Times New Roman" w:cs="Times New Roman"/>
    </w:rPr>
  </w:style>
  <w:style w:type="paragraph" w:customStyle="1" w:styleId="sidebar">
    <w:name w:val="sidebar"/>
    <w:basedOn w:val="Default"/>
    <w:next w:val="Default"/>
    <w:uiPriority w:val="99"/>
    <w:rsid w:val="00334C7B"/>
    <w:rPr>
      <w:rFonts w:ascii="Arial" w:eastAsia="Times New Roman" w:hAnsi="Arial" w:cs="Arial"/>
      <w:color w:val="auto"/>
      <w:lang w:bidi="fa-IR"/>
    </w:rPr>
  </w:style>
  <w:style w:type="paragraph" w:customStyle="1" w:styleId="HeadingB">
    <w:name w:val="Heading B"/>
    <w:basedOn w:val="Default"/>
    <w:next w:val="Default"/>
    <w:uiPriority w:val="99"/>
    <w:rsid w:val="00334C7B"/>
    <w:rPr>
      <w:rFonts w:ascii="Times New Roman" w:eastAsia="Times New Roman" w:hAnsi="Times New Roman" w:cs="Times New Roman"/>
      <w:color w:val="auto"/>
      <w:lang w:bidi="fa-IR"/>
    </w:rPr>
  </w:style>
  <w:style w:type="character" w:customStyle="1" w:styleId="shorttext1">
    <w:name w:val="short_text1"/>
    <w:basedOn w:val="DefaultParagraphFont"/>
    <w:rsid w:val="00334C7B"/>
    <w:rPr>
      <w:sz w:val="32"/>
      <w:szCs w:val="32"/>
    </w:rPr>
  </w:style>
  <w:style w:type="character" w:customStyle="1" w:styleId="hit">
    <w:name w:val="hit"/>
    <w:basedOn w:val="DefaultParagraphFont"/>
    <w:rsid w:val="00334C7B"/>
    <w:rPr>
      <w:shd w:val="clear" w:color="auto" w:fill="FFFF99"/>
    </w:rPr>
  </w:style>
  <w:style w:type="paragraph" w:styleId="Date">
    <w:name w:val="Date"/>
    <w:basedOn w:val="Normal"/>
    <w:next w:val="Normal"/>
    <w:link w:val="DateChar"/>
    <w:rsid w:val="00334C7B"/>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334C7B"/>
    <w:rPr>
      <w:rFonts w:ascii="Times New Roman" w:eastAsia="Times New Roman" w:hAnsi="Times New Roman" w:cs="Times New Roman"/>
      <w:sz w:val="24"/>
      <w:szCs w:val="24"/>
      <w:lang w:val="en-US"/>
    </w:rPr>
  </w:style>
  <w:style w:type="character" w:customStyle="1" w:styleId="equationvariables">
    <w:name w:val="equationvariables"/>
    <w:rsid w:val="00F21FFF"/>
  </w:style>
  <w:style w:type="character" w:customStyle="1" w:styleId="superscript">
    <w:name w:val="superscript"/>
    <w:rsid w:val="00F21FFF"/>
  </w:style>
  <w:style w:type="character" w:customStyle="1" w:styleId="command">
    <w:name w:val="command"/>
    <w:rsid w:val="00F21FFF"/>
  </w:style>
  <w:style w:type="character" w:customStyle="1" w:styleId="mi">
    <w:name w:val="mi"/>
    <w:basedOn w:val="DefaultParagraphFont"/>
    <w:rsid w:val="00F21FFF"/>
  </w:style>
  <w:style w:type="character" w:customStyle="1" w:styleId="mn">
    <w:name w:val="mn"/>
    <w:basedOn w:val="DefaultParagraphFont"/>
    <w:rsid w:val="00F21FFF"/>
  </w:style>
  <w:style w:type="character" w:customStyle="1" w:styleId="mo">
    <w:name w:val="mo"/>
    <w:basedOn w:val="DefaultParagraphFont"/>
    <w:rsid w:val="00F21FFF"/>
  </w:style>
  <w:style w:type="character" w:customStyle="1" w:styleId="mjxassistivemathml">
    <w:name w:val="mjx_assistive_mathml"/>
    <w:basedOn w:val="DefaultParagraphFont"/>
    <w:rsid w:val="00F21FFF"/>
  </w:style>
  <w:style w:type="paragraph" w:customStyle="1" w:styleId="style10">
    <w:name w:val="style10"/>
    <w:basedOn w:val="Normal"/>
    <w:rsid w:val="001508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tyle17">
    <w:name w:val="style17"/>
    <w:basedOn w:val="DefaultParagraphFont"/>
    <w:rsid w:val="001508DE"/>
  </w:style>
  <w:style w:type="character" w:customStyle="1" w:styleId="style11">
    <w:name w:val="style11"/>
    <w:basedOn w:val="DefaultParagraphFont"/>
    <w:rsid w:val="001508DE"/>
  </w:style>
  <w:style w:type="paragraph" w:customStyle="1" w:styleId="style5">
    <w:name w:val="style5"/>
    <w:basedOn w:val="Normal"/>
    <w:rsid w:val="001508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umber">
    <w:name w:val="number"/>
    <w:basedOn w:val="DefaultParagraphFont"/>
    <w:rsid w:val="001508DE"/>
  </w:style>
  <w:style w:type="paragraph" w:styleId="z-TopofForm">
    <w:name w:val="HTML Top of Form"/>
    <w:basedOn w:val="Normal"/>
    <w:next w:val="Normal"/>
    <w:link w:val="z-TopofFormChar"/>
    <w:hidden/>
    <w:uiPriority w:val="99"/>
    <w:semiHidden/>
    <w:unhideWhenUsed/>
    <w:rsid w:val="001508DE"/>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508DE"/>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1508DE"/>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1508DE"/>
    <w:rPr>
      <w:rFonts w:ascii="Arial" w:eastAsia="Times New Roman" w:hAnsi="Arial" w:cs="Arial"/>
      <w:vanish/>
      <w:sz w:val="16"/>
      <w:szCs w:val="16"/>
      <w:lang w:val="en-US"/>
    </w:rPr>
  </w:style>
  <w:style w:type="character" w:customStyle="1" w:styleId="timediff">
    <w:name w:val="time_diff"/>
    <w:basedOn w:val="DefaultParagraphFont"/>
    <w:rsid w:val="001508DE"/>
  </w:style>
  <w:style w:type="paragraph" w:customStyle="1" w:styleId="nocomments">
    <w:name w:val="nocomments"/>
    <w:basedOn w:val="Normal"/>
    <w:rsid w:val="001508D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198328513msonospacing">
    <w:name w:val="yiv5198328513msonospacing"/>
    <w:basedOn w:val="Normal"/>
    <w:rsid w:val="00075A0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MediumList2-Accent1">
    <w:name w:val="Medium List 2 Accent 1"/>
    <w:basedOn w:val="TableNormal"/>
    <w:uiPriority w:val="66"/>
    <w:rsid w:val="00075A06"/>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UnresolvedMention">
    <w:name w:val="Unresolved Mention"/>
    <w:basedOn w:val="DefaultParagraphFont"/>
    <w:uiPriority w:val="99"/>
    <w:semiHidden/>
    <w:unhideWhenUsed/>
    <w:rsid w:val="00075A06"/>
    <w:rPr>
      <w:color w:val="605E5C"/>
      <w:shd w:val="clear" w:color="auto" w:fill="E1DFDD"/>
    </w:rPr>
  </w:style>
  <w:style w:type="character" w:customStyle="1" w:styleId="date-lien">
    <w:name w:val="date-lien"/>
    <w:rsid w:val="008B3740"/>
  </w:style>
  <w:style w:type="character" w:customStyle="1" w:styleId="gd">
    <w:name w:val="gd"/>
    <w:basedOn w:val="DefaultParagraphFont"/>
    <w:rsid w:val="008B3740"/>
  </w:style>
  <w:style w:type="paragraph" w:customStyle="1" w:styleId="Body">
    <w:name w:val="Body"/>
    <w:rsid w:val="00F80CA1"/>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kern w:val="2"/>
      <w:sz w:val="24"/>
      <w:szCs w:val="24"/>
      <w:u w:color="000000"/>
      <w:bdr w:val="nil"/>
      <w:lang w:val="en-US"/>
    </w:rPr>
  </w:style>
  <w:style w:type="table" w:styleId="LightShading-Accent3">
    <w:name w:val="Light Shading Accent 3"/>
    <w:basedOn w:val="TableNormal"/>
    <w:uiPriority w:val="60"/>
    <w:rsid w:val="002704A9"/>
    <w:pPr>
      <w:spacing w:after="0" w:line="240" w:lineRule="auto"/>
    </w:pPr>
    <w:rPr>
      <w:rFonts w:eastAsiaTheme="minorEastAsia"/>
      <w:color w:val="76923C" w:themeColor="accent3" w:themeShade="BF"/>
      <w:szCs w:val="28"/>
      <w:lang w:val="en-US" w:bidi="bn-BD"/>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2704A9"/>
    <w:pPr>
      <w:spacing w:after="0" w:line="240" w:lineRule="auto"/>
    </w:pPr>
    <w:rPr>
      <w:rFonts w:eastAsiaTheme="minorEastAsia"/>
      <w:color w:val="943634" w:themeColor="accent2" w:themeShade="BF"/>
      <w:szCs w:val="28"/>
      <w:lang w:val="en-US" w:bidi="bn-B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2">
    <w:name w:val="Light Grid Accent 2"/>
    <w:basedOn w:val="TableNormal"/>
    <w:uiPriority w:val="62"/>
    <w:rsid w:val="002704A9"/>
    <w:pPr>
      <w:spacing w:after="0" w:line="240" w:lineRule="auto"/>
    </w:pPr>
    <w:rPr>
      <w:rFonts w:eastAsiaTheme="minorEastAsia"/>
      <w:szCs w:val="28"/>
      <w:lang w:val="en-US" w:bidi="bn-B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5">
    <w:name w:val="Medium Shading 2 Accent 5"/>
    <w:basedOn w:val="TableNormal"/>
    <w:uiPriority w:val="64"/>
    <w:rsid w:val="002704A9"/>
    <w:pPr>
      <w:spacing w:after="0" w:line="240" w:lineRule="auto"/>
    </w:pPr>
    <w:rPr>
      <w:rFonts w:eastAsiaTheme="minorEastAsia"/>
      <w:szCs w:val="28"/>
      <w:lang w:val="en-US" w:bidi="bn-B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2704A9"/>
    <w:pPr>
      <w:spacing w:after="0" w:line="240" w:lineRule="auto"/>
    </w:pPr>
    <w:rPr>
      <w:rFonts w:eastAsiaTheme="minorEastAsia"/>
      <w:szCs w:val="28"/>
      <w:lang w:val="en-US" w:bidi="bn-B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6">
    <w:name w:val="Medium Shading 1 Accent 6"/>
    <w:basedOn w:val="TableNormal"/>
    <w:uiPriority w:val="63"/>
    <w:rsid w:val="002704A9"/>
    <w:pPr>
      <w:spacing w:after="0" w:line="240" w:lineRule="auto"/>
    </w:pPr>
    <w:rPr>
      <w:rFonts w:eastAsiaTheme="minorEastAsia"/>
      <w:szCs w:val="28"/>
      <w:lang w:val="en-US" w:bidi="bn-BD"/>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rsid w:val="002704A9"/>
    <w:pPr>
      <w:spacing w:after="0" w:line="240" w:lineRule="auto"/>
    </w:pPr>
    <w:rPr>
      <w:rFonts w:eastAsiaTheme="minorEastAsia"/>
      <w:color w:val="000000" w:themeColor="text1"/>
      <w:szCs w:val="28"/>
      <w:lang w:val="en-US" w:bidi="bn-BD"/>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customStyle="1" w:styleId="fjupudkqvu">
    <w:name w:val="fjupudkqvu"/>
    <w:basedOn w:val="DefaultParagraphFont"/>
    <w:rsid w:val="00C653CC"/>
  </w:style>
  <w:style w:type="character" w:customStyle="1" w:styleId="ukquxjwwwb">
    <w:name w:val="ukquxjwwwb"/>
    <w:basedOn w:val="DefaultParagraphFont"/>
    <w:rsid w:val="00C653CC"/>
  </w:style>
  <w:style w:type="character" w:customStyle="1" w:styleId="hvr">
    <w:name w:val="hvr"/>
    <w:basedOn w:val="DefaultParagraphFont"/>
    <w:rsid w:val="00C653CC"/>
  </w:style>
  <w:style w:type="character" w:customStyle="1" w:styleId="icuxpmudhz">
    <w:name w:val="icuxpmudhz"/>
    <w:basedOn w:val="DefaultParagraphFont"/>
    <w:rsid w:val="00C653CC"/>
  </w:style>
  <w:style w:type="character" w:customStyle="1" w:styleId="ukagkquipf">
    <w:name w:val="ukagkquipf"/>
    <w:basedOn w:val="DefaultParagraphFont"/>
    <w:rsid w:val="00C653CC"/>
  </w:style>
  <w:style w:type="character" w:customStyle="1" w:styleId="vqxjvxldfi">
    <w:name w:val="vqxjvxldfi"/>
    <w:basedOn w:val="DefaultParagraphFont"/>
    <w:rsid w:val="00C653CC"/>
  </w:style>
  <w:style w:type="character" w:customStyle="1" w:styleId="osytlupjkk">
    <w:name w:val="osytlupjkk"/>
    <w:basedOn w:val="DefaultParagraphFont"/>
    <w:rsid w:val="00C653CC"/>
  </w:style>
  <w:style w:type="character" w:customStyle="1" w:styleId="afvzlgyzej">
    <w:name w:val="afvzlgyzej"/>
    <w:basedOn w:val="DefaultParagraphFont"/>
    <w:rsid w:val="00C653CC"/>
  </w:style>
  <w:style w:type="character" w:customStyle="1" w:styleId="mxmpnuofil">
    <w:name w:val="mxmpnuofil"/>
    <w:basedOn w:val="DefaultParagraphFont"/>
    <w:rsid w:val="00C653CC"/>
  </w:style>
  <w:style w:type="paragraph" w:customStyle="1" w:styleId="Hypothsis">
    <w:name w:val="Hypothsis"/>
    <w:basedOn w:val="Normal"/>
    <w:qFormat/>
    <w:rsid w:val="00360F18"/>
    <w:pPr>
      <w:tabs>
        <w:tab w:val="left" w:pos="1890"/>
      </w:tabs>
      <w:spacing w:after="120" w:line="240" w:lineRule="auto"/>
      <w:ind w:left="1530" w:hanging="810"/>
    </w:pPr>
    <w:rPr>
      <w:i/>
      <w:sz w:val="24"/>
      <w:lang w:val="en-US"/>
    </w:rPr>
  </w:style>
  <w:style w:type="character" w:customStyle="1" w:styleId="UnresolvedMention1">
    <w:name w:val="Unresolved Mention1"/>
    <w:basedOn w:val="DefaultParagraphFont"/>
    <w:uiPriority w:val="99"/>
    <w:semiHidden/>
    <w:unhideWhenUsed/>
    <w:rsid w:val="00360F18"/>
    <w:rPr>
      <w:color w:val="605E5C"/>
      <w:shd w:val="clear" w:color="auto" w:fill="E1DFDD"/>
    </w:rPr>
  </w:style>
  <w:style w:type="numbering" w:customStyle="1" w:styleId="Appendix">
    <w:name w:val="Appendix"/>
    <w:basedOn w:val="NoList"/>
    <w:uiPriority w:val="99"/>
    <w:rsid w:val="00360F18"/>
    <w:pPr>
      <w:numPr>
        <w:numId w:val="12"/>
      </w:numPr>
    </w:pPr>
  </w:style>
  <w:style w:type="paragraph" w:customStyle="1" w:styleId="FigTitle">
    <w:name w:val="FigTitle"/>
    <w:basedOn w:val="Normal"/>
    <w:rsid w:val="006410B4"/>
    <w:pPr>
      <w:keepNext/>
      <w:keepLines/>
      <w:widowControl w:val="0"/>
      <w:autoSpaceDE w:val="0"/>
      <w:autoSpaceDN w:val="0"/>
      <w:spacing w:before="40" w:after="100" w:line="240" w:lineRule="auto"/>
      <w:jc w:val="center"/>
    </w:pPr>
    <w:rPr>
      <w:rFonts w:ascii="Arial" w:eastAsia="Times New Roman" w:hAnsi="Arial" w:cs="Arial"/>
      <w:b/>
      <w:bCs/>
      <w:sz w:val="20"/>
      <w:szCs w:val="20"/>
      <w:lang w:val="en-US"/>
    </w:rPr>
  </w:style>
  <w:style w:type="paragraph" w:customStyle="1" w:styleId="Equation">
    <w:name w:val="Equation"/>
    <w:basedOn w:val="Normal"/>
    <w:next w:val="Normal"/>
    <w:rsid w:val="006410B4"/>
    <w:pPr>
      <w:widowControl w:val="0"/>
      <w:tabs>
        <w:tab w:val="left" w:pos="540"/>
        <w:tab w:val="right" w:pos="9200"/>
      </w:tabs>
      <w:autoSpaceDE w:val="0"/>
      <w:autoSpaceDN w:val="0"/>
      <w:spacing w:before="60" w:after="60" w:line="240" w:lineRule="auto"/>
    </w:pPr>
    <w:rPr>
      <w:rFonts w:ascii="Times New Roman" w:eastAsia="Times New Roman" w:hAnsi="Times New Roman" w:cs="Times New Roman"/>
      <w:sz w:val="20"/>
      <w:szCs w:val="20"/>
      <w:lang w:val="en-US"/>
    </w:rPr>
  </w:style>
  <w:style w:type="paragraph" w:customStyle="1" w:styleId="Picture">
    <w:name w:val="Picture"/>
    <w:basedOn w:val="Normal"/>
    <w:next w:val="Normal"/>
    <w:rsid w:val="006410B4"/>
    <w:pPr>
      <w:keepNext/>
      <w:widowControl w:val="0"/>
      <w:autoSpaceDE w:val="0"/>
      <w:autoSpaceDN w:val="0"/>
      <w:spacing w:before="120" w:after="120" w:line="240" w:lineRule="auto"/>
      <w:jc w:val="center"/>
    </w:pPr>
    <w:rPr>
      <w:rFonts w:ascii="Times New Roman" w:eastAsia="Times New Roman" w:hAnsi="Times New Roman" w:cs="Times New Roman"/>
      <w:sz w:val="20"/>
      <w:szCs w:val="20"/>
      <w:lang w:val="en-US"/>
    </w:rPr>
  </w:style>
  <w:style w:type="paragraph" w:customStyle="1" w:styleId="Excerpt">
    <w:name w:val="Excerpt"/>
    <w:basedOn w:val="Normal"/>
    <w:rsid w:val="006410B4"/>
    <w:pPr>
      <w:keepNext/>
      <w:keepLines/>
      <w:widowControl w:val="0"/>
      <w:suppressAutoHyphens/>
      <w:autoSpaceDE w:val="0"/>
      <w:autoSpaceDN w:val="0"/>
      <w:spacing w:after="0" w:line="-220" w:lineRule="auto"/>
      <w:ind w:left="397"/>
    </w:pPr>
    <w:rPr>
      <w:rFonts w:ascii="Monospace821" w:eastAsia="Times New Roman" w:hAnsi="Monospace821" w:cs="Monospace821"/>
      <w:sz w:val="18"/>
      <w:szCs w:val="18"/>
      <w:lang w:val="en-US"/>
    </w:rPr>
  </w:style>
  <w:style w:type="paragraph" w:customStyle="1" w:styleId="xl23">
    <w:name w:val="xl23"/>
    <w:basedOn w:val="Normal"/>
    <w:rsid w:val="006410B4"/>
    <w:pP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25">
    <w:name w:val="xl25"/>
    <w:basedOn w:val="Normal"/>
    <w:rsid w:val="006410B4"/>
    <w:pP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26">
    <w:name w:val="xl26"/>
    <w:basedOn w:val="Normal"/>
    <w:rsid w:val="006410B4"/>
    <w:pPr>
      <w:pBdr>
        <w:lef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27">
    <w:name w:val="xl27"/>
    <w:basedOn w:val="Normal"/>
    <w:rsid w:val="006410B4"/>
    <w:pPr>
      <w:pBdr>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28">
    <w:name w:val="xl28"/>
    <w:basedOn w:val="Normal"/>
    <w:rsid w:val="006410B4"/>
    <w:pPr>
      <w:pBdr>
        <w:bottom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29">
    <w:name w:val="xl29"/>
    <w:basedOn w:val="Normal"/>
    <w:rsid w:val="006410B4"/>
    <w:pPr>
      <w:pBdr>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30">
    <w:name w:val="xl30"/>
    <w:basedOn w:val="Normal"/>
    <w:rsid w:val="006410B4"/>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31">
    <w:name w:val="xl31"/>
    <w:basedOn w:val="Normal"/>
    <w:rsid w:val="006410B4"/>
    <w:pPr>
      <w:pBdr>
        <w:left w:val="single" w:sz="4" w:space="0" w:color="auto"/>
        <w:right w:val="single" w:sz="4" w:space="0" w:color="auto"/>
      </w:pBdr>
      <w:autoSpaceDE w:val="0"/>
      <w:autoSpaceDN w:val="0"/>
      <w:spacing w:before="100" w:after="100" w:line="240" w:lineRule="auto"/>
      <w:jc w:val="right"/>
    </w:pPr>
    <w:rPr>
      <w:rFonts w:ascii="Times New Roman" w:eastAsia="Times New Roman" w:hAnsi="Times New Roman" w:cs="Times New Roman"/>
      <w:sz w:val="24"/>
      <w:szCs w:val="24"/>
      <w:lang w:val="en-US"/>
    </w:rPr>
  </w:style>
  <w:style w:type="paragraph" w:customStyle="1" w:styleId="xl32">
    <w:name w:val="xl32"/>
    <w:basedOn w:val="Normal"/>
    <w:rsid w:val="006410B4"/>
    <w:pPr>
      <w:pBdr>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33">
    <w:name w:val="xl33"/>
    <w:basedOn w:val="Normal"/>
    <w:rsid w:val="006410B4"/>
    <w:pPr>
      <w:pBdr>
        <w:left w:val="single" w:sz="4" w:space="0" w:color="auto"/>
        <w:bottom w:val="single" w:sz="4" w:space="0" w:color="auto"/>
        <w:right w:val="single" w:sz="4" w:space="0" w:color="auto"/>
      </w:pBdr>
      <w:autoSpaceDE w:val="0"/>
      <w:autoSpaceDN w:val="0"/>
      <w:spacing w:before="100" w:after="100" w:line="240" w:lineRule="auto"/>
      <w:jc w:val="right"/>
    </w:pPr>
    <w:rPr>
      <w:rFonts w:ascii="Times New Roman" w:eastAsia="Times New Roman" w:hAnsi="Times New Roman" w:cs="Times New Roman"/>
      <w:sz w:val="24"/>
      <w:szCs w:val="24"/>
      <w:lang w:val="en-US"/>
    </w:rPr>
  </w:style>
  <w:style w:type="paragraph" w:customStyle="1" w:styleId="xl34">
    <w:name w:val="xl34"/>
    <w:basedOn w:val="Normal"/>
    <w:rsid w:val="006410B4"/>
    <w:pPr>
      <w:pBdr>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35">
    <w:name w:val="xl35"/>
    <w:basedOn w:val="Normal"/>
    <w:rsid w:val="006410B4"/>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36">
    <w:name w:val="xl36"/>
    <w:basedOn w:val="Normal"/>
    <w:rsid w:val="006410B4"/>
    <w:pPr>
      <w:pBdr>
        <w:top w:val="single" w:sz="4" w:space="0" w:color="auto"/>
        <w:lef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37">
    <w:name w:val="xl37"/>
    <w:basedOn w:val="Normal"/>
    <w:rsid w:val="006410B4"/>
    <w:pPr>
      <w:pBdr>
        <w:top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38">
    <w:name w:val="xl38"/>
    <w:basedOn w:val="Normal"/>
    <w:rsid w:val="006410B4"/>
    <w:pPr>
      <w:pBdr>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39">
    <w:name w:val="xl39"/>
    <w:basedOn w:val="Normal"/>
    <w:rsid w:val="006410B4"/>
    <w:pPr>
      <w:pBdr>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40">
    <w:name w:val="xl40"/>
    <w:basedOn w:val="Normal"/>
    <w:rsid w:val="006410B4"/>
    <w:pPr>
      <w:pBdr>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41">
    <w:name w:val="xl41"/>
    <w:basedOn w:val="Normal"/>
    <w:rsid w:val="006410B4"/>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42">
    <w:name w:val="xl42"/>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43">
    <w:name w:val="xl43"/>
    <w:basedOn w:val="Normal"/>
    <w:rsid w:val="006410B4"/>
    <w:pPr>
      <w:pBdr>
        <w:top w:val="single" w:sz="4" w:space="0" w:color="auto"/>
        <w:lef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44">
    <w:name w:val="xl44"/>
    <w:basedOn w:val="Normal"/>
    <w:rsid w:val="006410B4"/>
    <w:pPr>
      <w:pBdr>
        <w:top w:val="single" w:sz="4" w:space="0" w:color="auto"/>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45">
    <w:name w:val="xl45"/>
    <w:basedOn w:val="Normal"/>
    <w:rsid w:val="006410B4"/>
    <w:pPr>
      <w:pBdr>
        <w:top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46">
    <w:name w:val="xl46"/>
    <w:basedOn w:val="Normal"/>
    <w:rsid w:val="006410B4"/>
    <w:pPr>
      <w:pBdr>
        <w:top w:val="single" w:sz="4" w:space="0" w:color="auto"/>
        <w:left w:val="single" w:sz="4" w:space="0" w:color="auto"/>
        <w:right w:val="single" w:sz="4" w:space="0" w:color="auto"/>
      </w:pBdr>
      <w:autoSpaceDE w:val="0"/>
      <w:autoSpaceDN w:val="0"/>
      <w:spacing w:before="100" w:after="100" w:line="240" w:lineRule="auto"/>
      <w:jc w:val="right"/>
    </w:pPr>
    <w:rPr>
      <w:rFonts w:ascii="Times New Roman" w:eastAsia="Times New Roman" w:hAnsi="Times New Roman" w:cs="Times New Roman"/>
      <w:sz w:val="24"/>
      <w:szCs w:val="24"/>
      <w:lang w:val="en-US"/>
    </w:rPr>
  </w:style>
  <w:style w:type="paragraph" w:customStyle="1" w:styleId="xl47">
    <w:name w:val="xl47"/>
    <w:basedOn w:val="Normal"/>
    <w:rsid w:val="006410B4"/>
    <w:pPr>
      <w:autoSpaceDE w:val="0"/>
      <w:autoSpaceDN w:val="0"/>
      <w:spacing w:before="100" w:after="100" w:line="240" w:lineRule="auto"/>
    </w:pPr>
    <w:rPr>
      <w:rFonts w:ascii="Times New Roman" w:eastAsia="Times New Roman" w:hAnsi="Times New Roman" w:cs="Times New Roman"/>
      <w:sz w:val="18"/>
      <w:szCs w:val="18"/>
      <w:lang w:val="en-US"/>
    </w:rPr>
  </w:style>
  <w:style w:type="paragraph" w:customStyle="1" w:styleId="xl48">
    <w:name w:val="xl48"/>
    <w:basedOn w:val="Normal"/>
    <w:rsid w:val="006410B4"/>
    <w:pPr>
      <w:pBdr>
        <w:top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49">
    <w:name w:val="xl49"/>
    <w:basedOn w:val="Normal"/>
    <w:rsid w:val="006410B4"/>
    <w:pPr>
      <w:pBdr>
        <w:lef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50">
    <w:name w:val="xl50"/>
    <w:basedOn w:val="Normal"/>
    <w:rsid w:val="006410B4"/>
    <w:pP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51">
    <w:name w:val="xl51"/>
    <w:basedOn w:val="Normal"/>
    <w:rsid w:val="006410B4"/>
    <w:pPr>
      <w:pBdr>
        <w:right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6410B4"/>
    <w:pPr>
      <w:pBdr>
        <w:bottom w:val="single" w:sz="4" w:space="0" w:color="auto"/>
      </w:pBdr>
      <w:autoSpaceDE w:val="0"/>
      <w:autoSpaceDN w:val="0"/>
      <w:spacing w:before="100" w:after="100"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6410B4"/>
    <w:pPr>
      <w:pBdr>
        <w:top w:val="single" w:sz="4" w:space="0" w:color="auto"/>
        <w:left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54">
    <w:name w:val="xl54"/>
    <w:basedOn w:val="Normal"/>
    <w:rsid w:val="006410B4"/>
    <w:pPr>
      <w:pBdr>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6410B4"/>
    <w:pPr>
      <w:pBdr>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56">
    <w:name w:val="xl56"/>
    <w:basedOn w:val="Normal"/>
    <w:rsid w:val="006410B4"/>
    <w:pPr>
      <w:pBdr>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57">
    <w:name w:val="xl57"/>
    <w:basedOn w:val="Normal"/>
    <w:rsid w:val="006410B4"/>
    <w:pPr>
      <w:pBdr>
        <w:top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58">
    <w:name w:val="xl58"/>
    <w:basedOn w:val="Normal"/>
    <w:rsid w:val="006410B4"/>
    <w:pPr>
      <w:pBdr>
        <w:top w:val="single" w:sz="4" w:space="0" w:color="auto"/>
        <w:left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59">
    <w:name w:val="xl59"/>
    <w:basedOn w:val="Normal"/>
    <w:rsid w:val="006410B4"/>
    <w:pPr>
      <w:pBdr>
        <w:top w:val="single" w:sz="4" w:space="0" w:color="auto"/>
        <w:bottom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0">
    <w:name w:val="xl60"/>
    <w:basedOn w:val="Normal"/>
    <w:rsid w:val="006410B4"/>
    <w:pPr>
      <w:pBdr>
        <w:top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1">
    <w:name w:val="xl61"/>
    <w:basedOn w:val="Normal"/>
    <w:rsid w:val="006410B4"/>
    <w:pPr>
      <w:pBdr>
        <w:left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2">
    <w:name w:val="xl62"/>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3">
    <w:name w:val="xl63"/>
    <w:basedOn w:val="Normal"/>
    <w:rsid w:val="006410B4"/>
    <w:pPr>
      <w:pBdr>
        <w:left w:val="single" w:sz="4" w:space="0" w:color="auto"/>
        <w:bottom w:val="single" w:sz="4" w:space="0" w:color="auto"/>
        <w:right w:val="single" w:sz="4" w:space="0" w:color="auto"/>
      </w:pBd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4">
    <w:name w:val="xl64"/>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65">
    <w:name w:val="xl65"/>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right"/>
    </w:pPr>
    <w:rPr>
      <w:rFonts w:ascii="Times New Roman" w:eastAsia="Times New Roman" w:hAnsi="Times New Roman" w:cs="Times New Roman"/>
      <w:sz w:val="24"/>
      <w:szCs w:val="24"/>
      <w:lang w:val="en-US"/>
    </w:rPr>
  </w:style>
  <w:style w:type="paragraph" w:customStyle="1" w:styleId="xl24">
    <w:name w:val="xl24"/>
    <w:basedOn w:val="Normal"/>
    <w:rsid w:val="006410B4"/>
    <w:pPr>
      <w:autoSpaceDE w:val="0"/>
      <w:autoSpaceDN w:val="0"/>
      <w:spacing w:before="100" w:after="100" w:line="240" w:lineRule="auto"/>
      <w:jc w:val="center"/>
    </w:pPr>
    <w:rPr>
      <w:rFonts w:ascii="Times New Roman" w:eastAsia="Times New Roman" w:hAnsi="Times New Roman" w:cs="Times New Roman"/>
      <w:sz w:val="24"/>
      <w:szCs w:val="24"/>
      <w:lang w:val="en-US"/>
    </w:rPr>
  </w:style>
  <w:style w:type="paragraph" w:customStyle="1" w:styleId="xl66">
    <w:name w:val="xl66"/>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pPr>
    <w:rPr>
      <w:rFonts w:ascii="Times New Roman" w:eastAsia="Times New Roman" w:hAnsi="Times New Roman" w:cs="Times New Roman"/>
      <w:sz w:val="24"/>
      <w:szCs w:val="24"/>
      <w:lang w:val="en-US"/>
    </w:rPr>
  </w:style>
  <w:style w:type="paragraph" w:customStyle="1" w:styleId="xl67">
    <w:name w:val="xl67"/>
    <w:basedOn w:val="Normal"/>
    <w:rsid w:val="006410B4"/>
    <w:pPr>
      <w:pBdr>
        <w:top w:val="single" w:sz="4" w:space="0" w:color="auto"/>
        <w:left w:val="single" w:sz="4" w:space="0" w:color="auto"/>
        <w:bottom w:val="single" w:sz="4" w:space="0" w:color="auto"/>
        <w:right w:val="single" w:sz="4" w:space="0" w:color="auto"/>
      </w:pBdr>
      <w:autoSpaceDE w:val="0"/>
      <w:autoSpaceDN w:val="0"/>
      <w:spacing w:before="100" w:after="100" w:line="240" w:lineRule="auto"/>
      <w:jc w:val="right"/>
    </w:pPr>
    <w:rPr>
      <w:rFonts w:ascii="Times New Roman" w:eastAsia="Times New Roman" w:hAnsi="Times New Roman" w:cs="Times New Roman"/>
      <w:sz w:val="24"/>
      <w:szCs w:val="24"/>
      <w:lang w:val="en-US"/>
    </w:rPr>
  </w:style>
  <w:style w:type="table" w:styleId="TableList7">
    <w:name w:val="Table List 7"/>
    <w:basedOn w:val="TableNormal"/>
    <w:rsid w:val="006410B4"/>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o">
    <w:name w:val="o"/>
    <w:basedOn w:val="Normal"/>
    <w:rsid w:val="006410B4"/>
    <w:pPr>
      <w:spacing w:before="100" w:beforeAutospacing="1" w:after="100" w:afterAutospacing="1" w:line="240" w:lineRule="auto"/>
    </w:pPr>
    <w:rPr>
      <w:rFonts w:ascii="Times New Roman" w:eastAsia="Times New Roman" w:hAnsi="Times New Roman" w:cs="Times New Roman"/>
      <w:color w:val="000000"/>
      <w:sz w:val="36"/>
      <w:szCs w:val="36"/>
      <w:lang w:val="en-US"/>
    </w:rPr>
  </w:style>
  <w:style w:type="character" w:customStyle="1" w:styleId="longtext0">
    <w:name w:val="longtext"/>
    <w:rsid w:val="006410B4"/>
  </w:style>
  <w:style w:type="character" w:customStyle="1" w:styleId="subheader">
    <w:name w:val="subheader"/>
    <w:basedOn w:val="DefaultParagraphFont"/>
    <w:rsid w:val="006410B4"/>
  </w:style>
  <w:style w:type="paragraph" w:customStyle="1" w:styleId="ReferenceFinal">
    <w:name w:val="Reference Final"/>
    <w:basedOn w:val="Normal"/>
    <w:rsid w:val="002C4475"/>
    <w:pPr>
      <w:keepLines/>
      <w:tabs>
        <w:tab w:val="left" w:pos="432"/>
        <w:tab w:val="left" w:pos="576"/>
      </w:tabs>
      <w:overflowPunct w:val="0"/>
      <w:autoSpaceDE w:val="0"/>
      <w:autoSpaceDN w:val="0"/>
      <w:adjustRightInd w:val="0"/>
      <w:spacing w:after="0" w:line="480" w:lineRule="atLeast"/>
      <w:ind w:left="720" w:hanging="720"/>
      <w:textAlignment w:val="baseline"/>
    </w:pPr>
    <w:rPr>
      <w:rFonts w:ascii="Times New Roman" w:eastAsia="Times New Roman" w:hAnsi="Times New Roman" w:cs="Times New Roman"/>
      <w:sz w:val="24"/>
      <w:szCs w:val="20"/>
      <w:lang w:val="en-US"/>
    </w:rPr>
  </w:style>
  <w:style w:type="character" w:customStyle="1" w:styleId="Heading2Char3">
    <w:name w:val="Heading 2 Char3"/>
    <w:aliases w:val="Heading 2 Char2 Char,Heading 2 Char1 Char Char,Heading 2 Char Char1 Char,Heading 2 Char1 Char1,Heading 2 Char Char Char"/>
    <w:rsid w:val="002C4475"/>
    <w:rPr>
      <w:rFonts w:ascii="Arial" w:hAnsi="Arial" w:cs="Arial"/>
      <w:b/>
      <w:bCs/>
      <w:i/>
      <w:iCs/>
      <w:sz w:val="28"/>
      <w:szCs w:val="28"/>
    </w:rPr>
  </w:style>
  <w:style w:type="character" w:customStyle="1" w:styleId="value">
    <w:name w:val="value"/>
    <w:rsid w:val="002C4475"/>
  </w:style>
  <w:style w:type="character" w:customStyle="1" w:styleId="label1">
    <w:name w:val="label1"/>
    <w:rsid w:val="002C4475"/>
  </w:style>
  <w:style w:type="character" w:customStyle="1" w:styleId="textexposedshow">
    <w:name w:val="text_exposed_show"/>
    <w:basedOn w:val="DefaultParagraphFont"/>
    <w:rsid w:val="002C4475"/>
  </w:style>
  <w:style w:type="character" w:customStyle="1" w:styleId="3l3x">
    <w:name w:val="_3l3x"/>
    <w:basedOn w:val="DefaultParagraphFont"/>
    <w:rsid w:val="002C4475"/>
  </w:style>
  <w:style w:type="paragraph" w:customStyle="1" w:styleId="10">
    <w:name w:val="行間詰め1"/>
    <w:qFormat/>
    <w:rsid w:val="002C4475"/>
    <w:pPr>
      <w:spacing w:after="0" w:line="240" w:lineRule="auto"/>
    </w:pPr>
    <w:rPr>
      <w:rFonts w:ascii="Calibri" w:eastAsia="MS Mincho" w:hAnsi="Calibri" w:cs="Times New Roman"/>
      <w:lang w:val="en-US"/>
    </w:rPr>
  </w:style>
  <w:style w:type="character" w:customStyle="1" w:styleId="normalchar">
    <w:name w:val="normal__char"/>
    <w:basedOn w:val="DefaultParagraphFont"/>
    <w:rsid w:val="009033AC"/>
  </w:style>
  <w:style w:type="character" w:customStyle="1" w:styleId="affiliation0">
    <w:name w:val="affiliation"/>
    <w:basedOn w:val="DefaultParagraphFont"/>
    <w:rsid w:val="00A642F6"/>
  </w:style>
  <w:style w:type="table" w:customStyle="1" w:styleId="Style3">
    <w:name w:val="Style3"/>
    <w:basedOn w:val="TableClassic1"/>
    <w:uiPriority w:val="99"/>
    <w:rsid w:val="00A642F6"/>
    <w:pPr>
      <w:spacing w:after="0" w:line="24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642F6"/>
    <w:rPr>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ix">
    <w:name w:val="stix"/>
    <w:basedOn w:val="DefaultParagraphFont"/>
    <w:rsid w:val="00A048FF"/>
  </w:style>
  <w:style w:type="character" w:customStyle="1" w:styleId="xref-sep">
    <w:name w:val="xref-sep"/>
    <w:basedOn w:val="DefaultParagraphFont"/>
    <w:rsid w:val="00A048FF"/>
  </w:style>
  <w:style w:type="paragraph" w:customStyle="1" w:styleId="contributor-listreveal">
    <w:name w:val="contributor-list__reveal"/>
    <w:basedOn w:val="Normal"/>
    <w:rsid w:val="00A048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ntributor-listtoggler">
    <w:name w:val="contributor-list__toggler"/>
    <w:basedOn w:val="DefaultParagraphFont"/>
    <w:rsid w:val="00A048FF"/>
  </w:style>
  <w:style w:type="character" w:customStyle="1" w:styleId="collapsed-text">
    <w:name w:val="collapsed-text"/>
    <w:basedOn w:val="DefaultParagraphFont"/>
    <w:rsid w:val="00A048FF"/>
  </w:style>
  <w:style w:type="character" w:customStyle="1" w:styleId="contribdegrees">
    <w:name w:val="contribdegrees"/>
    <w:basedOn w:val="DefaultParagraphFont"/>
    <w:rsid w:val="00A048FF"/>
  </w:style>
  <w:style w:type="character" w:customStyle="1" w:styleId="epub-sectionitem">
    <w:name w:val="epub-section__item"/>
    <w:basedOn w:val="DefaultParagraphFont"/>
    <w:rsid w:val="00A048FF"/>
  </w:style>
  <w:style w:type="character" w:customStyle="1" w:styleId="epub-sectiondate">
    <w:name w:val="epub-section__date"/>
    <w:basedOn w:val="DefaultParagraphFont"/>
    <w:rsid w:val="00A048FF"/>
  </w:style>
  <w:style w:type="paragraph" w:customStyle="1" w:styleId="c-article-info-details">
    <w:name w:val="c-article-info-details"/>
    <w:basedOn w:val="Normal"/>
    <w:rsid w:val="00A048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visually-hidden">
    <w:name w:val="u-visually-hidden"/>
    <w:basedOn w:val="DefaultParagraphFont"/>
    <w:rsid w:val="00A048FF"/>
  </w:style>
  <w:style w:type="character" w:customStyle="1" w:styleId="publicationcontentepubdate">
    <w:name w:val="publicationcontentepubdate"/>
    <w:basedOn w:val="DefaultParagraphFont"/>
    <w:rsid w:val="00A048FF"/>
  </w:style>
  <w:style w:type="character" w:customStyle="1" w:styleId="articletype">
    <w:name w:val="articletype"/>
    <w:basedOn w:val="DefaultParagraphFont"/>
    <w:rsid w:val="00A048FF"/>
  </w:style>
  <w:style w:type="character" w:customStyle="1" w:styleId="epub-sectionstate">
    <w:name w:val="epub-section__state"/>
    <w:basedOn w:val="DefaultParagraphFont"/>
    <w:rsid w:val="00A048FF"/>
  </w:style>
  <w:style w:type="character" w:customStyle="1" w:styleId="refpreview">
    <w:name w:val="refpreview"/>
    <w:basedOn w:val="DefaultParagraphFont"/>
    <w:rsid w:val="00940FBB"/>
  </w:style>
  <w:style w:type="character" w:customStyle="1" w:styleId="klink">
    <w:name w:val="klink"/>
    <w:basedOn w:val="DefaultParagraphFont"/>
    <w:rsid w:val="00940FBB"/>
  </w:style>
  <w:style w:type="paragraph" w:customStyle="1" w:styleId="question">
    <w:name w:val="question"/>
    <w:basedOn w:val="Normal"/>
    <w:rsid w:val="00940FBB"/>
    <w:pPr>
      <w:spacing w:before="100" w:beforeAutospacing="1" w:after="100" w:afterAutospacing="1" w:line="240" w:lineRule="auto"/>
    </w:pPr>
    <w:rPr>
      <w:rFonts w:ascii="Times New Roman" w:eastAsia="SimSun" w:hAnsi="Times New Roman" w:cs="Times New Roman"/>
      <w:sz w:val="24"/>
      <w:szCs w:val="24"/>
      <w:lang w:val="en-US" w:eastAsia="zh-CN" w:bidi="hi-IN"/>
    </w:rPr>
  </w:style>
  <w:style w:type="character" w:customStyle="1" w:styleId="maintitletext">
    <w:name w:val="maintitletext"/>
    <w:basedOn w:val="DefaultParagraphFont"/>
    <w:rsid w:val="00940FBB"/>
  </w:style>
  <w:style w:type="character" w:customStyle="1" w:styleId="paramv">
    <w:name w:val="paramv"/>
    <w:basedOn w:val="DefaultParagraphFont"/>
    <w:rsid w:val="00940FBB"/>
  </w:style>
  <w:style w:type="character" w:customStyle="1" w:styleId="metadatatime">
    <w:name w:val="metadata_time"/>
    <w:basedOn w:val="DefaultParagraphFont"/>
    <w:rsid w:val="00940FBB"/>
  </w:style>
  <w:style w:type="paragraph" w:customStyle="1" w:styleId="Pa24">
    <w:name w:val="Pa24"/>
    <w:basedOn w:val="Default"/>
    <w:next w:val="Default"/>
    <w:uiPriority w:val="99"/>
    <w:rsid w:val="00940FBB"/>
    <w:pPr>
      <w:spacing w:line="241" w:lineRule="atLeast"/>
    </w:pPr>
    <w:rPr>
      <w:rFonts w:ascii="Times New Roman" w:eastAsia="Times New Roman" w:hAnsi="Times New Roman" w:cs="Times New Roman"/>
      <w:color w:val="auto"/>
    </w:rPr>
  </w:style>
  <w:style w:type="paragraph" w:customStyle="1" w:styleId="Pa19">
    <w:name w:val="Pa19"/>
    <w:basedOn w:val="Default"/>
    <w:next w:val="Default"/>
    <w:uiPriority w:val="99"/>
    <w:rsid w:val="00940FBB"/>
    <w:pPr>
      <w:spacing w:line="241" w:lineRule="atLeast"/>
    </w:pPr>
    <w:rPr>
      <w:rFonts w:ascii="Cambria" w:eastAsia="Times New Roman" w:hAnsi="Cambria" w:cs="Times New Roman"/>
      <w:color w:val="auto"/>
    </w:rPr>
  </w:style>
  <w:style w:type="paragraph" w:customStyle="1" w:styleId="Pa18">
    <w:name w:val="Pa18"/>
    <w:basedOn w:val="Default"/>
    <w:next w:val="Default"/>
    <w:uiPriority w:val="99"/>
    <w:rsid w:val="00940FBB"/>
    <w:pPr>
      <w:spacing w:line="221" w:lineRule="atLeast"/>
    </w:pPr>
    <w:rPr>
      <w:rFonts w:ascii="Cambria" w:eastAsia="Times New Roman" w:hAnsi="Cambria" w:cs="Times New Roman"/>
      <w:color w:val="auto"/>
    </w:rPr>
  </w:style>
  <w:style w:type="character" w:customStyle="1" w:styleId="notecaption">
    <w:name w:val="note caption"/>
    <w:basedOn w:val="DefaultParagraphFont"/>
    <w:rsid w:val="00940FBB"/>
  </w:style>
  <w:style w:type="character" w:customStyle="1" w:styleId="BalloonTextChar1">
    <w:name w:val="Balloon Text Char1"/>
    <w:basedOn w:val="DefaultParagraphFont"/>
    <w:uiPriority w:val="99"/>
    <w:semiHidden/>
    <w:rsid w:val="00DA0422"/>
    <w:rPr>
      <w:rFonts w:ascii="Segoe UI" w:hAnsi="Segoe UI" w:cs="Segoe UI"/>
      <w:sz w:val="18"/>
      <w:szCs w:val="18"/>
    </w:rPr>
  </w:style>
  <w:style w:type="character" w:customStyle="1" w:styleId="ilfuvd">
    <w:name w:val="ilfuvd"/>
    <w:basedOn w:val="DefaultParagraphFont"/>
    <w:rsid w:val="00DA0422"/>
  </w:style>
  <w:style w:type="paragraph" w:customStyle="1" w:styleId="bodydiss">
    <w:name w:val="body_diss"/>
    <w:basedOn w:val="Normal"/>
    <w:link w:val="bodydissChar"/>
    <w:qFormat/>
    <w:rsid w:val="00263A66"/>
    <w:pPr>
      <w:spacing w:before="240" w:after="160" w:line="360" w:lineRule="auto"/>
      <w:jc w:val="both"/>
    </w:pPr>
    <w:rPr>
      <w:rFonts w:ascii="Times New Roman" w:eastAsiaTheme="minorEastAsia" w:hAnsi="Times New Roman" w:cs="Times New Roman"/>
      <w:sz w:val="24"/>
      <w:szCs w:val="24"/>
      <w:lang w:val="en-US" w:eastAsia="zh-CN"/>
    </w:rPr>
  </w:style>
  <w:style w:type="character" w:customStyle="1" w:styleId="bodydissChar">
    <w:name w:val="body_diss Char"/>
    <w:basedOn w:val="DefaultParagraphFont"/>
    <w:link w:val="bodydiss"/>
    <w:rsid w:val="00263A66"/>
    <w:rPr>
      <w:rFonts w:ascii="Times New Roman" w:eastAsiaTheme="minorEastAsia" w:hAnsi="Times New Roman" w:cs="Times New Roman"/>
      <w:sz w:val="24"/>
      <w:szCs w:val="24"/>
      <w:lang w:val="en-US" w:eastAsia="zh-CN"/>
    </w:rPr>
  </w:style>
  <w:style w:type="paragraph" w:customStyle="1" w:styleId="H-3diss">
    <w:name w:val="H-3_diss"/>
    <w:basedOn w:val="Normal"/>
    <w:next w:val="Normal"/>
    <w:link w:val="H-3dissChar"/>
    <w:qFormat/>
    <w:rsid w:val="00263A66"/>
    <w:pPr>
      <w:keepNext/>
      <w:keepLines/>
      <w:spacing w:before="40" w:after="0" w:line="259" w:lineRule="auto"/>
      <w:outlineLvl w:val="2"/>
    </w:pPr>
    <w:rPr>
      <w:rFonts w:ascii="Arial" w:eastAsiaTheme="majorEastAsia" w:hAnsi="Arial" w:cs="Arial"/>
      <w:color w:val="243F60" w:themeColor="accent1" w:themeShade="7F"/>
      <w:lang w:val="en-US" w:eastAsia="zh-CN"/>
    </w:rPr>
  </w:style>
  <w:style w:type="character" w:customStyle="1" w:styleId="H-3dissChar">
    <w:name w:val="H-3_diss Char"/>
    <w:basedOn w:val="DefaultParagraphFont"/>
    <w:link w:val="H-3diss"/>
    <w:rsid w:val="00263A66"/>
    <w:rPr>
      <w:rFonts w:ascii="Arial" w:eastAsiaTheme="majorEastAsia" w:hAnsi="Arial" w:cs="Arial"/>
      <w:color w:val="243F60" w:themeColor="accent1" w:themeShade="7F"/>
      <w:lang w:val="en-US" w:eastAsia="zh-CN"/>
    </w:rPr>
  </w:style>
  <w:style w:type="paragraph" w:customStyle="1" w:styleId="bulletptdiss">
    <w:name w:val="bulletpt_diss"/>
    <w:basedOn w:val="bodydiss"/>
    <w:qFormat/>
    <w:rsid w:val="00263A66"/>
    <w:pPr>
      <w:numPr>
        <w:numId w:val="24"/>
      </w:numPr>
      <w:tabs>
        <w:tab w:val="num" w:pos="360"/>
        <w:tab w:val="num" w:pos="1440"/>
      </w:tabs>
      <w:ind w:left="0" w:firstLine="720"/>
    </w:pPr>
  </w:style>
  <w:style w:type="table" w:styleId="TableSubtle2">
    <w:name w:val="Table Subtle 2"/>
    <w:basedOn w:val="TableNormal"/>
    <w:uiPriority w:val="99"/>
    <w:rsid w:val="00263A66"/>
    <w:pPr>
      <w:spacing w:after="160" w:line="259" w:lineRule="auto"/>
    </w:pPr>
    <w:rPr>
      <w:rFonts w:eastAsiaTheme="minorEastAsia"/>
      <w:lang w:val="en-US" w:eastAsia="zh-C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263A66"/>
    <w:pPr>
      <w:spacing w:after="0" w:line="240" w:lineRule="auto"/>
    </w:pPr>
    <w:rPr>
      <w:rFonts w:eastAsiaTheme="minorEastAsia"/>
      <w:lang w:val="en-US" w:eastAsia="zh-C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263A66"/>
    <w:pPr>
      <w:spacing w:after="0" w:line="240" w:lineRule="auto"/>
    </w:pPr>
    <w:rPr>
      <w:rFonts w:eastAsiaTheme="minorEastAsia"/>
      <w:lang w:val="en-US" w:eastAsia="zh-C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263A66"/>
    <w:rPr>
      <w:color w:val="808080"/>
      <w:shd w:val="clear" w:color="auto" w:fill="E6E6E6"/>
    </w:rPr>
  </w:style>
  <w:style w:type="character" w:customStyle="1" w:styleId="UnresolvedMention3">
    <w:name w:val="Unresolved Mention3"/>
    <w:basedOn w:val="DefaultParagraphFont"/>
    <w:uiPriority w:val="99"/>
    <w:semiHidden/>
    <w:unhideWhenUsed/>
    <w:rsid w:val="00263A66"/>
    <w:rPr>
      <w:color w:val="605E5C"/>
      <w:shd w:val="clear" w:color="auto" w:fill="E1DFDD"/>
    </w:rPr>
  </w:style>
  <w:style w:type="character" w:customStyle="1" w:styleId="apple-tab-span">
    <w:name w:val="apple-tab-span"/>
    <w:basedOn w:val="DefaultParagraphFont"/>
    <w:rsid w:val="00544D28"/>
  </w:style>
  <w:style w:type="table" w:customStyle="1" w:styleId="GridTable6Colorful1">
    <w:name w:val="Grid Table 6 Colorful1"/>
    <w:basedOn w:val="TableNormal"/>
    <w:uiPriority w:val="51"/>
    <w:rsid w:val="008C48FA"/>
    <w:pPr>
      <w:spacing w:after="0" w:line="240" w:lineRule="auto"/>
    </w:pPr>
    <w:rPr>
      <w:rFonts w:ascii="Calibri" w:eastAsia="Calibri" w:hAnsi="Calibri" w:cs="SimSun"/>
      <w:color w:val="000000"/>
      <w:lang w:val="en-US"/>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7Colorful1">
    <w:name w:val="Grid Table 7 Colorful1"/>
    <w:basedOn w:val="TableNormal"/>
    <w:uiPriority w:val="52"/>
    <w:rsid w:val="008C48FA"/>
    <w:pPr>
      <w:spacing w:after="0" w:line="240" w:lineRule="auto"/>
    </w:pPr>
    <w:rPr>
      <w:rFonts w:ascii="Calibri" w:eastAsia="Calibri" w:hAnsi="Calibri" w:cs="SimSun"/>
      <w:color w:val="000000"/>
      <w:lang w:val="en-US"/>
    </w:rPr>
    <w:tblP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ContactInfo">
    <w:name w:val="Contact Info"/>
    <w:basedOn w:val="Normal"/>
    <w:uiPriority w:val="4"/>
    <w:qFormat/>
    <w:rsid w:val="00F34474"/>
    <w:pPr>
      <w:spacing w:after="0" w:line="264" w:lineRule="auto"/>
      <w:jc w:val="center"/>
    </w:pPr>
    <w:rPr>
      <w:color w:val="595959" w:themeColor="text1" w:themeTint="A6"/>
      <w:lang w:val="en-US"/>
    </w:rPr>
  </w:style>
  <w:style w:type="table" w:customStyle="1" w:styleId="TableGrid3">
    <w:name w:val="Table Grid3"/>
    <w:basedOn w:val="TableNormal"/>
    <w:next w:val="TableGrid"/>
    <w:uiPriority w:val="59"/>
    <w:rsid w:val="00F34474"/>
    <w:pPr>
      <w:spacing w:after="0" w:line="240" w:lineRule="auto"/>
    </w:pPr>
    <w:rPr>
      <w:rFonts w:ascii="Times New Roman" w:hAnsi="Times New Roman" w:cs="Times New Roman"/>
      <w:sz w:val="32"/>
      <w:szCs w:val="28"/>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basedOn w:val="Normal"/>
    <w:next w:val="Normal"/>
    <w:uiPriority w:val="9"/>
    <w:qFormat/>
    <w:rsid w:val="00F34474"/>
    <w:pPr>
      <w:widowControl w:val="0"/>
      <w:autoSpaceDE w:val="0"/>
      <w:autoSpaceDN w:val="0"/>
      <w:adjustRightInd w:val="0"/>
      <w:spacing w:after="0" w:line="240" w:lineRule="auto"/>
      <w:outlineLvl w:val="1"/>
    </w:pPr>
    <w:rPr>
      <w:rFonts w:ascii="Courier New" w:eastAsia="Times New Roman" w:hAnsi="Courier New" w:cs="Courier New"/>
      <w:b/>
      <w:bCs/>
      <w:i/>
      <w:iCs/>
      <w:color w:val="000000"/>
      <w:sz w:val="28"/>
      <w:szCs w:val="28"/>
      <w:lang w:val="en-US"/>
    </w:rPr>
  </w:style>
  <w:style w:type="numbering" w:customStyle="1" w:styleId="NoList2">
    <w:name w:val="No List2"/>
    <w:next w:val="NoList"/>
    <w:uiPriority w:val="99"/>
    <w:semiHidden/>
    <w:unhideWhenUsed/>
    <w:rsid w:val="00F34474"/>
  </w:style>
  <w:style w:type="character" w:customStyle="1" w:styleId="tlid-translation">
    <w:name w:val="tlid-translation"/>
    <w:basedOn w:val="DefaultParagraphFont"/>
    <w:rsid w:val="003242F3"/>
  </w:style>
  <w:style w:type="table" w:customStyle="1" w:styleId="GridTable1Light-Accent11">
    <w:name w:val="Grid Table 1 Light - Accent 11"/>
    <w:basedOn w:val="TableNormal"/>
    <w:uiPriority w:val="46"/>
    <w:rsid w:val="00252571"/>
    <w:pPr>
      <w:spacing w:after="0" w:line="240" w:lineRule="auto"/>
    </w:pPr>
    <w:rPr>
      <w:lang w:val="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252571"/>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3">
    <w:name w:val="A3"/>
    <w:uiPriority w:val="99"/>
    <w:rsid w:val="0037575E"/>
    <w:rPr>
      <w:rFonts w:cs="FatFrank Heavy"/>
      <w:b/>
      <w:bCs/>
      <w:color w:val="000000"/>
    </w:rPr>
  </w:style>
  <w:style w:type="paragraph" w:customStyle="1" w:styleId="Pa7">
    <w:name w:val="Pa7"/>
    <w:basedOn w:val="Normal"/>
    <w:next w:val="Normal"/>
    <w:uiPriority w:val="99"/>
    <w:rsid w:val="0037575E"/>
    <w:pPr>
      <w:autoSpaceDE w:val="0"/>
      <w:autoSpaceDN w:val="0"/>
      <w:adjustRightInd w:val="0"/>
      <w:spacing w:after="0" w:line="181" w:lineRule="atLeast"/>
    </w:pPr>
    <w:rPr>
      <w:rFonts w:ascii="Myriad Pro Light" w:hAnsi="Myriad Pro Light"/>
      <w:sz w:val="24"/>
      <w:szCs w:val="24"/>
      <w:lang w:val="en-US"/>
    </w:rPr>
  </w:style>
  <w:style w:type="paragraph" w:customStyle="1" w:styleId="Pa9">
    <w:name w:val="Pa9"/>
    <w:basedOn w:val="Normal"/>
    <w:next w:val="Normal"/>
    <w:uiPriority w:val="99"/>
    <w:rsid w:val="0037575E"/>
    <w:pPr>
      <w:autoSpaceDE w:val="0"/>
      <w:autoSpaceDN w:val="0"/>
      <w:adjustRightInd w:val="0"/>
      <w:spacing w:after="0" w:line="181" w:lineRule="atLeast"/>
    </w:pPr>
    <w:rPr>
      <w:rFonts w:ascii="Myriad Pro Light" w:hAnsi="Myriad Pro Light"/>
      <w:sz w:val="24"/>
      <w:szCs w:val="24"/>
      <w:lang w:val="en-US"/>
    </w:rPr>
  </w:style>
  <w:style w:type="paragraph" w:customStyle="1" w:styleId="Pa16">
    <w:name w:val="Pa16"/>
    <w:basedOn w:val="Normal"/>
    <w:next w:val="Normal"/>
    <w:uiPriority w:val="99"/>
    <w:rsid w:val="0037575E"/>
    <w:pPr>
      <w:autoSpaceDE w:val="0"/>
      <w:autoSpaceDN w:val="0"/>
      <w:adjustRightInd w:val="0"/>
      <w:spacing w:after="0" w:line="241" w:lineRule="atLeast"/>
    </w:pPr>
    <w:rPr>
      <w:rFonts w:ascii="Myriad Pro Light" w:hAnsi="Myriad Pro Light"/>
      <w:sz w:val="24"/>
      <w:szCs w:val="24"/>
      <w:lang w:val="en-US"/>
    </w:rPr>
  </w:style>
  <w:style w:type="paragraph" w:customStyle="1" w:styleId="Pa11">
    <w:name w:val="Pa11"/>
    <w:basedOn w:val="Normal"/>
    <w:next w:val="Normal"/>
    <w:uiPriority w:val="99"/>
    <w:rsid w:val="0037575E"/>
    <w:pPr>
      <w:autoSpaceDE w:val="0"/>
      <w:autoSpaceDN w:val="0"/>
      <w:adjustRightInd w:val="0"/>
      <w:spacing w:after="0" w:line="261" w:lineRule="atLeast"/>
    </w:pPr>
    <w:rPr>
      <w:rFonts w:ascii="Myriad Pro Light" w:hAnsi="Myriad Pro Light"/>
      <w:sz w:val="24"/>
      <w:szCs w:val="24"/>
      <w:lang w:val="en-US"/>
    </w:rPr>
  </w:style>
  <w:style w:type="character" w:customStyle="1" w:styleId="A13">
    <w:name w:val="A13"/>
    <w:uiPriority w:val="99"/>
    <w:rsid w:val="0037575E"/>
    <w:rPr>
      <w:rFonts w:cs="Myriad Pro Light"/>
      <w:color w:val="000000"/>
      <w:sz w:val="10"/>
      <w:szCs w:val="10"/>
    </w:rPr>
  </w:style>
  <w:style w:type="paragraph" w:customStyle="1" w:styleId="11">
    <w:name w:val="样式1"/>
    <w:basedOn w:val="Normal"/>
    <w:rsid w:val="009A1D34"/>
    <w:pPr>
      <w:widowControl w:val="0"/>
      <w:spacing w:after="0" w:line="240" w:lineRule="exact"/>
      <w:ind w:left="199" w:hanging="199"/>
      <w:jc w:val="both"/>
    </w:pPr>
    <w:rPr>
      <w:rFonts w:ascii="Arial" w:eastAsia="SimSun" w:hAnsi="Arial" w:cs="Times New Roman"/>
      <w:kern w:val="2"/>
      <w:sz w:val="16"/>
      <w:szCs w:val="20"/>
      <w:lang w:val="en-US" w:eastAsia="zh-CN"/>
    </w:rPr>
  </w:style>
  <w:style w:type="paragraph" w:styleId="NormalIndent">
    <w:name w:val="Normal Indent"/>
    <w:basedOn w:val="Normal"/>
    <w:rsid w:val="009A1D34"/>
    <w:pPr>
      <w:widowControl w:val="0"/>
      <w:snapToGrid w:val="0"/>
      <w:spacing w:after="0" w:line="312" w:lineRule="auto"/>
      <w:ind w:firstLine="420"/>
      <w:jc w:val="both"/>
    </w:pPr>
    <w:rPr>
      <w:rFonts w:ascii="Times New Roman" w:eastAsia="SimSun" w:hAnsi="Times New Roman" w:cs="Times New Roman"/>
      <w:kern w:val="2"/>
      <w:sz w:val="21"/>
      <w:szCs w:val="20"/>
      <w:lang w:val="en-US" w:eastAsia="zh-CN"/>
    </w:rPr>
  </w:style>
  <w:style w:type="paragraph" w:customStyle="1" w:styleId="2">
    <w:name w:val="样式2"/>
    <w:basedOn w:val="Header"/>
    <w:rsid w:val="009A1D34"/>
    <w:pPr>
      <w:widowControl w:val="0"/>
      <w:tabs>
        <w:tab w:val="clear" w:pos="4680"/>
        <w:tab w:val="clear" w:pos="9360"/>
        <w:tab w:val="center" w:pos="4153"/>
        <w:tab w:val="right" w:pos="8306"/>
      </w:tabs>
      <w:snapToGrid w:val="0"/>
      <w:spacing w:before="120" w:after="120" w:line="240" w:lineRule="exact"/>
      <w:jc w:val="both"/>
    </w:pPr>
    <w:rPr>
      <w:rFonts w:ascii="Arial" w:eastAsia="SimSun" w:hAnsi="Arial" w:cs="Times New Roman"/>
      <w:noProof/>
      <w:kern w:val="2"/>
      <w:sz w:val="16"/>
      <w:szCs w:val="20"/>
      <w:lang w:val="en-US" w:eastAsia="zh-CN"/>
    </w:rPr>
  </w:style>
  <w:style w:type="paragraph" w:customStyle="1" w:styleId="3">
    <w:name w:val="样式3"/>
    <w:basedOn w:val="Normal"/>
    <w:rsid w:val="009A1D34"/>
    <w:pPr>
      <w:widowControl w:val="0"/>
      <w:snapToGrid w:val="0"/>
      <w:spacing w:after="0" w:line="269" w:lineRule="auto"/>
      <w:jc w:val="both"/>
    </w:pPr>
    <w:rPr>
      <w:rFonts w:ascii="Arial" w:eastAsia="SimSun" w:hAnsi="Arial" w:cs="Times New Roman"/>
      <w:kern w:val="2"/>
      <w:sz w:val="19"/>
      <w:szCs w:val="20"/>
      <w:lang w:val="en-US" w:eastAsia="zh-CN"/>
    </w:rPr>
  </w:style>
  <w:style w:type="paragraph" w:customStyle="1" w:styleId="4">
    <w:name w:val="样式4"/>
    <w:basedOn w:val="Normal"/>
    <w:rsid w:val="009A1D34"/>
    <w:pPr>
      <w:widowControl w:val="0"/>
      <w:snapToGrid w:val="0"/>
      <w:spacing w:before="120" w:after="0" w:line="271" w:lineRule="auto"/>
      <w:jc w:val="both"/>
    </w:pPr>
    <w:rPr>
      <w:rFonts w:ascii="Times New Roman" w:eastAsia="SimSun" w:hAnsi="Times New Roman" w:cs="Times New Roman"/>
      <w:kern w:val="2"/>
      <w:sz w:val="16"/>
      <w:szCs w:val="20"/>
      <w:lang w:val="en-US" w:eastAsia="zh-CN"/>
    </w:rPr>
  </w:style>
  <w:style w:type="paragraph" w:customStyle="1" w:styleId="5">
    <w:name w:val="样式5"/>
    <w:basedOn w:val="Normal"/>
    <w:rsid w:val="009A1D34"/>
    <w:pPr>
      <w:widowControl w:val="0"/>
      <w:snapToGrid w:val="0"/>
      <w:spacing w:after="0" w:line="0" w:lineRule="atLeast"/>
      <w:ind w:left="454" w:right="454"/>
      <w:jc w:val="both"/>
    </w:pPr>
    <w:rPr>
      <w:rFonts w:ascii="Times New Roman" w:eastAsia="SimSun" w:hAnsi="Times New Roman" w:cs="Times New Roman"/>
      <w:kern w:val="2"/>
      <w:sz w:val="18"/>
      <w:szCs w:val="20"/>
      <w:lang w:val="en-US" w:eastAsia="zh-CN"/>
    </w:rPr>
  </w:style>
  <w:style w:type="paragraph" w:customStyle="1" w:styleId="40">
    <w:name w:val="标题4"/>
    <w:basedOn w:val="Normal"/>
    <w:rsid w:val="009A1D34"/>
    <w:pPr>
      <w:widowControl w:val="0"/>
      <w:snapToGrid w:val="0"/>
      <w:spacing w:before="60" w:after="40" w:line="259" w:lineRule="auto"/>
      <w:outlineLvl w:val="3"/>
    </w:pPr>
    <w:rPr>
      <w:rFonts w:ascii="Times New Roman" w:eastAsia="方正小标宋简体" w:hAnsi="Times New Roman" w:cs="Times New Roman"/>
      <w:spacing w:val="4"/>
      <w:kern w:val="2"/>
      <w:sz w:val="24"/>
      <w:szCs w:val="20"/>
      <w:lang w:val="en-US" w:eastAsia="zh-CN"/>
    </w:rPr>
  </w:style>
  <w:style w:type="paragraph" w:customStyle="1" w:styleId="ART">
    <w:name w:val="ART"/>
    <w:basedOn w:val="Normal"/>
    <w:next w:val="Normal"/>
    <w:rsid w:val="009A1D34"/>
    <w:pPr>
      <w:keepNext/>
      <w:widowControl w:val="0"/>
      <w:spacing w:before="240" w:after="160" w:line="220" w:lineRule="atLeast"/>
      <w:jc w:val="center"/>
    </w:pPr>
    <w:rPr>
      <w:rFonts w:ascii="Palatino" w:eastAsia="SimSun" w:hAnsi="Palatino" w:cs="Times New Roman"/>
      <w:kern w:val="16"/>
      <w:sz w:val="19"/>
      <w:szCs w:val="20"/>
      <w:lang w:val="en-US"/>
    </w:rPr>
  </w:style>
  <w:style w:type="paragraph" w:customStyle="1" w:styleId="TABLETITLE">
    <w:name w:val="TABLE TITLE"/>
    <w:basedOn w:val="Normal"/>
    <w:next w:val="Normal"/>
    <w:rsid w:val="009A1D34"/>
    <w:pPr>
      <w:keepNext/>
      <w:widowControl w:val="0"/>
      <w:spacing w:before="160" w:after="80" w:line="200" w:lineRule="exact"/>
      <w:jc w:val="center"/>
    </w:pPr>
    <w:rPr>
      <w:rFonts w:ascii="Helvetica" w:eastAsia="SimSun" w:hAnsi="Helvetica" w:cs="Times New Roman"/>
      <w:smallCaps/>
      <w:kern w:val="16"/>
      <w:sz w:val="19"/>
      <w:szCs w:val="20"/>
      <w:lang w:val="en-US"/>
    </w:rPr>
  </w:style>
  <w:style w:type="character" w:customStyle="1" w:styleId="ls16">
    <w:name w:val="ls16"/>
    <w:basedOn w:val="DefaultParagraphFont"/>
    <w:rsid w:val="008868B5"/>
  </w:style>
  <w:style w:type="character" w:customStyle="1" w:styleId="ls27">
    <w:name w:val="ls27"/>
    <w:basedOn w:val="DefaultParagraphFont"/>
    <w:rsid w:val="008868B5"/>
  </w:style>
  <w:style w:type="character" w:customStyle="1" w:styleId="ls1b">
    <w:name w:val="ls1b"/>
    <w:basedOn w:val="DefaultParagraphFont"/>
    <w:rsid w:val="008868B5"/>
  </w:style>
  <w:style w:type="character" w:customStyle="1" w:styleId="ls1c">
    <w:name w:val="ls1c"/>
    <w:basedOn w:val="DefaultParagraphFont"/>
    <w:rsid w:val="008868B5"/>
  </w:style>
  <w:style w:type="character" w:customStyle="1" w:styleId="ls20">
    <w:name w:val="ls20"/>
    <w:basedOn w:val="DefaultParagraphFont"/>
    <w:rsid w:val="008868B5"/>
  </w:style>
  <w:style w:type="character" w:customStyle="1" w:styleId="ls12">
    <w:name w:val="ls12"/>
    <w:basedOn w:val="DefaultParagraphFont"/>
    <w:rsid w:val="008868B5"/>
  </w:style>
  <w:style w:type="character" w:customStyle="1" w:styleId="s1">
    <w:name w:val="s1"/>
    <w:basedOn w:val="DefaultParagraphFont"/>
    <w:rsid w:val="008868B5"/>
  </w:style>
  <w:style w:type="paragraph" w:customStyle="1" w:styleId="Heading31">
    <w:name w:val="Heading 31"/>
    <w:basedOn w:val="Normal"/>
    <w:next w:val="Normal"/>
    <w:uiPriority w:val="9"/>
    <w:unhideWhenUsed/>
    <w:qFormat/>
    <w:rsid w:val="009C0781"/>
    <w:pPr>
      <w:keepNext/>
      <w:keepLines/>
      <w:spacing w:before="40" w:after="0" w:line="259" w:lineRule="auto"/>
      <w:outlineLvl w:val="2"/>
    </w:pPr>
    <w:rPr>
      <w:rFonts w:ascii="Calibri Light" w:eastAsia="Times New Roman" w:hAnsi="Calibri Light" w:cs="Times New Roman"/>
      <w:color w:val="1F4D78"/>
      <w:sz w:val="24"/>
      <w:szCs w:val="24"/>
      <w:lang w:val="en-US"/>
    </w:rPr>
  </w:style>
  <w:style w:type="paragraph" w:customStyle="1" w:styleId="Heading41">
    <w:name w:val="Heading 41"/>
    <w:basedOn w:val="Normal"/>
    <w:next w:val="Normal"/>
    <w:uiPriority w:val="9"/>
    <w:unhideWhenUsed/>
    <w:qFormat/>
    <w:rsid w:val="009C0781"/>
    <w:pPr>
      <w:keepNext/>
      <w:keepLines/>
      <w:spacing w:before="40" w:after="0" w:line="259" w:lineRule="auto"/>
      <w:outlineLvl w:val="3"/>
    </w:pPr>
    <w:rPr>
      <w:rFonts w:ascii="Calibri Light" w:eastAsia="Times New Roman" w:hAnsi="Calibri Light" w:cs="Times New Roman"/>
      <w:i/>
      <w:iCs/>
      <w:color w:val="2E74B5"/>
      <w:lang w:val="en-US"/>
    </w:rPr>
  </w:style>
  <w:style w:type="paragraph" w:customStyle="1" w:styleId="Heading51">
    <w:name w:val="Heading 51"/>
    <w:basedOn w:val="Normal"/>
    <w:next w:val="Normal"/>
    <w:uiPriority w:val="9"/>
    <w:unhideWhenUsed/>
    <w:qFormat/>
    <w:rsid w:val="009C0781"/>
    <w:pPr>
      <w:keepNext/>
      <w:keepLines/>
      <w:spacing w:before="40" w:after="0" w:line="259" w:lineRule="auto"/>
      <w:outlineLvl w:val="4"/>
    </w:pPr>
    <w:rPr>
      <w:rFonts w:ascii="Calibri Light" w:eastAsia="Times New Roman" w:hAnsi="Calibri Light" w:cs="Times New Roman"/>
      <w:color w:val="2E74B5"/>
      <w:lang w:val="en-US"/>
    </w:rPr>
  </w:style>
  <w:style w:type="paragraph" w:customStyle="1" w:styleId="Heading61">
    <w:name w:val="Heading 61"/>
    <w:basedOn w:val="Normal"/>
    <w:next w:val="Normal"/>
    <w:uiPriority w:val="9"/>
    <w:unhideWhenUsed/>
    <w:qFormat/>
    <w:rsid w:val="009C0781"/>
    <w:pPr>
      <w:keepNext/>
      <w:keepLines/>
      <w:spacing w:before="40" w:after="0" w:line="259" w:lineRule="auto"/>
      <w:outlineLvl w:val="5"/>
    </w:pPr>
    <w:rPr>
      <w:rFonts w:ascii="Calibri Light" w:eastAsia="Times New Roman" w:hAnsi="Calibri Light" w:cs="Times New Roman"/>
      <w:color w:val="1F4D78"/>
      <w:sz w:val="24"/>
      <w:lang w:val="en-US"/>
    </w:rPr>
  </w:style>
  <w:style w:type="paragraph" w:customStyle="1" w:styleId="T-HD1">
    <w:name w:val="T-HD1"/>
    <w:basedOn w:val="Heading1"/>
    <w:link w:val="T-HD1Char"/>
    <w:qFormat/>
    <w:rsid w:val="009C0781"/>
    <w:pPr>
      <w:spacing w:after="240" w:line="240" w:lineRule="auto"/>
    </w:pPr>
    <w:rPr>
      <w:rFonts w:ascii="Times New Roman" w:hAnsi="Times New Roman"/>
      <w:b w:val="0"/>
      <w:bCs w:val="0"/>
      <w:sz w:val="44"/>
      <w:szCs w:val="48"/>
    </w:rPr>
  </w:style>
  <w:style w:type="paragraph" w:customStyle="1" w:styleId="T-HD2">
    <w:name w:val="T-HD2"/>
    <w:basedOn w:val="Heading2"/>
    <w:link w:val="T-HD2Char"/>
    <w:qFormat/>
    <w:rsid w:val="009C0781"/>
    <w:pPr>
      <w:tabs>
        <w:tab w:val="left" w:pos="7260"/>
      </w:tabs>
      <w:spacing w:before="120" w:after="120" w:line="360" w:lineRule="auto"/>
      <w:jc w:val="both"/>
    </w:pPr>
    <w:rPr>
      <w:rFonts w:ascii="Times New Roman" w:hAnsi="Times New Roman" w:cs="Times New Roman"/>
      <w:b w:val="0"/>
      <w:bCs w:val="0"/>
      <w:color w:val="365F91" w:themeColor="accent1" w:themeShade="BF"/>
      <w:sz w:val="40"/>
      <w:szCs w:val="32"/>
      <w:lang w:val="en-US"/>
    </w:rPr>
  </w:style>
  <w:style w:type="character" w:customStyle="1" w:styleId="T-HD1Char">
    <w:name w:val="T-HD1 Char"/>
    <w:basedOn w:val="Heading1Char"/>
    <w:link w:val="T-HD1"/>
    <w:rsid w:val="009C0781"/>
    <w:rPr>
      <w:rFonts w:ascii="Times New Roman" w:hAnsi="Times New Roman"/>
      <w:sz w:val="44"/>
      <w:szCs w:val="48"/>
    </w:rPr>
  </w:style>
  <w:style w:type="paragraph" w:customStyle="1" w:styleId="T-HD3">
    <w:name w:val="T-HD3"/>
    <w:basedOn w:val="Heading3"/>
    <w:link w:val="T-HD3Char"/>
    <w:qFormat/>
    <w:rsid w:val="009C0781"/>
    <w:pPr>
      <w:keepNext/>
      <w:keepLines/>
      <w:spacing w:before="280" w:line="259" w:lineRule="auto"/>
      <w:ind w:left="0" w:firstLine="0"/>
    </w:pPr>
    <w:rPr>
      <w:rFonts w:ascii="Times New Roman" w:eastAsiaTheme="majorEastAsia" w:hAnsi="Times New Roman" w:cstheme="majorBidi"/>
      <w:b w:val="0"/>
      <w:bCs w:val="0"/>
      <w:color w:val="2E74B5"/>
      <w:sz w:val="36"/>
      <w:szCs w:val="32"/>
      <w:lang w:val="en-US" w:eastAsia="en-US"/>
    </w:rPr>
  </w:style>
  <w:style w:type="character" w:customStyle="1" w:styleId="T-HD2Char">
    <w:name w:val="T-HD2 Char"/>
    <w:basedOn w:val="Heading2Char"/>
    <w:link w:val="T-HD2"/>
    <w:rsid w:val="009C0781"/>
    <w:rPr>
      <w:rFonts w:ascii="Times New Roman" w:hAnsi="Times New Roman" w:cs="Times New Roman"/>
      <w:color w:val="365F91" w:themeColor="accent1" w:themeShade="BF"/>
      <w:sz w:val="40"/>
      <w:szCs w:val="32"/>
      <w:lang w:val="en-US"/>
    </w:rPr>
  </w:style>
  <w:style w:type="paragraph" w:customStyle="1" w:styleId="T-HD4">
    <w:name w:val="T-HD4"/>
    <w:basedOn w:val="Heading4"/>
    <w:link w:val="T-HD4Char"/>
    <w:qFormat/>
    <w:rsid w:val="009C0781"/>
    <w:pPr>
      <w:keepNext/>
      <w:keepLines/>
      <w:tabs>
        <w:tab w:val="left" w:pos="7260"/>
      </w:tabs>
      <w:spacing w:before="160" w:after="120"/>
      <w:ind w:left="0" w:firstLine="0"/>
      <w:jc w:val="both"/>
    </w:pPr>
    <w:rPr>
      <w:rFonts w:ascii="Times New Roman" w:eastAsiaTheme="majorEastAsia" w:hAnsi="Times New Roman"/>
      <w:b w:val="0"/>
      <w:bCs w:val="0"/>
      <w:color w:val="365F91" w:themeColor="accent1" w:themeShade="BF"/>
      <w:sz w:val="32"/>
      <w:szCs w:val="28"/>
      <w:lang w:val="en-US" w:eastAsia="en-US"/>
    </w:rPr>
  </w:style>
  <w:style w:type="character" w:customStyle="1" w:styleId="T-HD3Char">
    <w:name w:val="T-HD3 Char"/>
    <w:basedOn w:val="T-HD2Char"/>
    <w:link w:val="T-HD3"/>
    <w:rsid w:val="009C0781"/>
    <w:rPr>
      <w:rFonts w:cstheme="majorBidi"/>
      <w:color w:val="2E74B5"/>
      <w:sz w:val="36"/>
    </w:rPr>
  </w:style>
  <w:style w:type="paragraph" w:customStyle="1" w:styleId="T-HD5">
    <w:name w:val="T-HD5"/>
    <w:basedOn w:val="Heading5"/>
    <w:link w:val="T-HD5Char"/>
    <w:qFormat/>
    <w:rsid w:val="009C0781"/>
    <w:pPr>
      <w:keepNext/>
      <w:keepLines/>
      <w:tabs>
        <w:tab w:val="left" w:pos="3233"/>
      </w:tabs>
      <w:spacing w:before="40" w:line="480" w:lineRule="auto"/>
      <w:ind w:left="0" w:firstLine="0"/>
      <w:jc w:val="both"/>
    </w:pPr>
    <w:rPr>
      <w:rFonts w:ascii="Times New Roman" w:eastAsiaTheme="majorEastAsia" w:hAnsi="Times New Roman"/>
      <w:b w:val="0"/>
      <w:bCs w:val="0"/>
      <w:i w:val="0"/>
      <w:iCs w:val="0"/>
      <w:color w:val="365F91" w:themeColor="accent1" w:themeShade="BF"/>
      <w:sz w:val="28"/>
      <w:szCs w:val="28"/>
      <w:lang w:val="en-US" w:eastAsia="en-US"/>
    </w:rPr>
  </w:style>
  <w:style w:type="character" w:customStyle="1" w:styleId="T-HD4Char">
    <w:name w:val="T-HD4 Char"/>
    <w:basedOn w:val="T-HD3Char"/>
    <w:link w:val="T-HD4"/>
    <w:rsid w:val="009C0781"/>
    <w:rPr>
      <w:rFonts w:cs="Times New Roman"/>
      <w:iCs/>
      <w:color w:val="365F91" w:themeColor="accent1" w:themeShade="BF"/>
      <w:sz w:val="32"/>
      <w:szCs w:val="28"/>
    </w:rPr>
  </w:style>
  <w:style w:type="character" w:customStyle="1" w:styleId="T-HD5Char">
    <w:name w:val="T-HD5 Char"/>
    <w:basedOn w:val="T-HD4Char"/>
    <w:link w:val="T-HD5"/>
    <w:rsid w:val="009C0781"/>
    <w:rPr>
      <w:sz w:val="28"/>
    </w:rPr>
  </w:style>
  <w:style w:type="character" w:customStyle="1" w:styleId="Hyperlink1">
    <w:name w:val="Hyperlink1"/>
    <w:basedOn w:val="DefaultParagraphFont"/>
    <w:uiPriority w:val="99"/>
    <w:unhideWhenUsed/>
    <w:rsid w:val="009C0781"/>
    <w:rPr>
      <w:color w:val="0563C1"/>
      <w:u w:val="single"/>
    </w:rPr>
  </w:style>
  <w:style w:type="paragraph" w:customStyle="1" w:styleId="T-HD6">
    <w:name w:val="T-HD6"/>
    <w:basedOn w:val="Heading6"/>
    <w:link w:val="T-HD6Char"/>
    <w:qFormat/>
    <w:rsid w:val="009C0781"/>
    <w:pPr>
      <w:keepNext/>
      <w:keepLines/>
      <w:spacing w:before="160" w:after="240" w:line="259" w:lineRule="auto"/>
      <w:ind w:left="0" w:firstLine="0"/>
    </w:pPr>
    <w:rPr>
      <w:rFonts w:ascii="Times New Roman" w:eastAsiaTheme="majorEastAsia" w:hAnsi="Times New Roman" w:cstheme="majorBidi"/>
      <w:b w:val="0"/>
      <w:bCs w:val="0"/>
      <w:i w:val="0"/>
      <w:iCs w:val="0"/>
      <w:color w:val="243F60" w:themeColor="accent1" w:themeShade="7F"/>
      <w:sz w:val="24"/>
      <w:szCs w:val="28"/>
      <w:lang w:val="en-US" w:eastAsia="en-US"/>
    </w:rPr>
  </w:style>
  <w:style w:type="character" w:customStyle="1" w:styleId="T-HD6Char">
    <w:name w:val="T-HD6 Char"/>
    <w:basedOn w:val="T-HD5Char"/>
    <w:link w:val="T-HD6"/>
    <w:rsid w:val="009C0781"/>
    <w:rPr>
      <w:rFonts w:cstheme="majorBidi"/>
      <w:color w:val="243F60" w:themeColor="accent1" w:themeShade="7F"/>
      <w:sz w:val="24"/>
    </w:rPr>
  </w:style>
  <w:style w:type="paragraph" w:customStyle="1" w:styleId="TOC71">
    <w:name w:val="TOC 71"/>
    <w:basedOn w:val="Normal"/>
    <w:next w:val="Normal"/>
    <w:autoRedefine/>
    <w:uiPriority w:val="39"/>
    <w:unhideWhenUsed/>
    <w:rsid w:val="009C0781"/>
    <w:pPr>
      <w:bidi/>
      <w:spacing w:after="100" w:line="259" w:lineRule="auto"/>
      <w:ind w:left="1320"/>
    </w:pPr>
    <w:rPr>
      <w:rFonts w:eastAsia="Times New Roman"/>
      <w:lang w:val="en-US"/>
    </w:rPr>
  </w:style>
  <w:style w:type="paragraph" w:customStyle="1" w:styleId="TOC81">
    <w:name w:val="TOC 81"/>
    <w:basedOn w:val="Normal"/>
    <w:next w:val="Normal"/>
    <w:autoRedefine/>
    <w:uiPriority w:val="39"/>
    <w:unhideWhenUsed/>
    <w:rsid w:val="009C0781"/>
    <w:pPr>
      <w:bidi/>
      <w:spacing w:after="100" w:line="259" w:lineRule="auto"/>
      <w:ind w:left="1540"/>
    </w:pPr>
    <w:rPr>
      <w:rFonts w:eastAsia="Times New Roman"/>
      <w:lang w:val="en-US"/>
    </w:rPr>
  </w:style>
  <w:style w:type="paragraph" w:customStyle="1" w:styleId="TOC91">
    <w:name w:val="TOC 91"/>
    <w:basedOn w:val="Normal"/>
    <w:next w:val="Normal"/>
    <w:autoRedefine/>
    <w:uiPriority w:val="39"/>
    <w:unhideWhenUsed/>
    <w:rsid w:val="009C0781"/>
    <w:pPr>
      <w:bidi/>
      <w:spacing w:after="100" w:line="259" w:lineRule="auto"/>
      <w:ind w:left="1760"/>
    </w:pPr>
    <w:rPr>
      <w:rFonts w:eastAsia="Times New Roman"/>
      <w:lang w:val="en-US"/>
    </w:rPr>
  </w:style>
  <w:style w:type="character" w:customStyle="1" w:styleId="Heading3Char1">
    <w:name w:val="Heading 3 Char1"/>
    <w:basedOn w:val="DefaultParagraphFont"/>
    <w:uiPriority w:val="9"/>
    <w:semiHidden/>
    <w:rsid w:val="009C0781"/>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9C0781"/>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9C0781"/>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9C0781"/>
    <w:rPr>
      <w:rFonts w:asciiTheme="majorHAnsi" w:eastAsiaTheme="majorEastAsia" w:hAnsiTheme="majorHAnsi" w:cstheme="majorBidi"/>
      <w:color w:val="243F60" w:themeColor="accent1" w:themeShade="7F"/>
    </w:rPr>
  </w:style>
  <w:style w:type="paragraph" w:customStyle="1" w:styleId="SSEABSTRACTACKREFERENCES">
    <w:name w:val="SSE ABSTRACT ACK REFERENCES"/>
    <w:basedOn w:val="Normal"/>
    <w:link w:val="SSEABSTRACTACKREFERENCESChar"/>
    <w:qFormat/>
    <w:rsid w:val="00954FA5"/>
    <w:pPr>
      <w:keepNext/>
      <w:spacing w:before="480" w:after="240"/>
      <w:ind w:firstLine="331"/>
      <w:jc w:val="center"/>
      <w:outlineLvl w:val="0"/>
    </w:pPr>
    <w:rPr>
      <w:rFonts w:ascii="Calibri" w:eastAsia="SimSun" w:hAnsi="Calibri" w:cs="Times New Roman"/>
      <w:b/>
      <w:caps/>
      <w:lang w:val="en-GB"/>
    </w:rPr>
  </w:style>
  <w:style w:type="character" w:customStyle="1" w:styleId="SSEABSTRACTACKREFERENCESChar">
    <w:name w:val="SSE ABSTRACT ACK REFERENCES Char"/>
    <w:basedOn w:val="DefaultParagraphFont"/>
    <w:link w:val="SSEABSTRACTACKREFERENCES"/>
    <w:rsid w:val="00954FA5"/>
    <w:rPr>
      <w:rFonts w:ascii="Calibri" w:eastAsia="SimSun" w:hAnsi="Calibri" w:cs="Times New Roman"/>
      <w:b/>
      <w:caps/>
      <w:lang w:val="en-GB"/>
    </w:rPr>
  </w:style>
  <w:style w:type="character" w:customStyle="1" w:styleId="tgc">
    <w:name w:val="_tgc"/>
    <w:basedOn w:val="DefaultParagraphFont"/>
    <w:rsid w:val="001C2436"/>
  </w:style>
  <w:style w:type="table" w:customStyle="1" w:styleId="MediumShading21">
    <w:name w:val="Medium Shading 21"/>
    <w:basedOn w:val="TableNormal"/>
    <w:uiPriority w:val="64"/>
    <w:rsid w:val="001C2436"/>
    <w:pPr>
      <w:spacing w:after="0" w:line="240" w:lineRule="auto"/>
    </w:pPr>
    <w:rPr>
      <w:rFonts w:eastAsiaTheme="minorEastAsia"/>
      <w:sz w:val="24"/>
      <w:szCs w:val="24"/>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4">
    <w:name w:val="Unresolved Mention4"/>
    <w:basedOn w:val="DefaultParagraphFont"/>
    <w:uiPriority w:val="99"/>
    <w:semiHidden/>
    <w:unhideWhenUsed/>
    <w:rsid w:val="001C2436"/>
    <w:rPr>
      <w:color w:val="605E5C"/>
      <w:shd w:val="clear" w:color="auto" w:fill="E1DFDD"/>
    </w:rPr>
  </w:style>
  <w:style w:type="character" w:customStyle="1" w:styleId="UnresolvedMention5">
    <w:name w:val="Unresolved Mention5"/>
    <w:basedOn w:val="DefaultParagraphFont"/>
    <w:uiPriority w:val="99"/>
    <w:semiHidden/>
    <w:unhideWhenUsed/>
    <w:rsid w:val="001C2436"/>
    <w:rPr>
      <w:color w:val="605E5C"/>
      <w:shd w:val="clear" w:color="auto" w:fill="E1DFDD"/>
    </w:rPr>
  </w:style>
  <w:style w:type="character" w:customStyle="1" w:styleId="UnresolvedMention6">
    <w:name w:val="Unresolved Mention6"/>
    <w:basedOn w:val="DefaultParagraphFont"/>
    <w:uiPriority w:val="99"/>
    <w:semiHidden/>
    <w:unhideWhenUsed/>
    <w:rsid w:val="001C2436"/>
    <w:rPr>
      <w:color w:val="605E5C"/>
      <w:shd w:val="clear" w:color="auto" w:fill="E1DFDD"/>
    </w:rPr>
  </w:style>
  <w:style w:type="paragraph" w:customStyle="1" w:styleId="BULLETS">
    <w:name w:val="BULLETS"/>
    <w:basedOn w:val="Normal"/>
    <w:link w:val="BULLETSChar"/>
    <w:qFormat/>
    <w:rsid w:val="0049712D"/>
    <w:pPr>
      <w:numPr>
        <w:numId w:val="26"/>
      </w:numPr>
      <w:tabs>
        <w:tab w:val="left" w:pos="709"/>
      </w:tabs>
      <w:spacing w:after="100" w:afterAutospacing="1" w:line="360" w:lineRule="auto"/>
      <w:jc w:val="both"/>
    </w:pPr>
    <w:rPr>
      <w:rFonts w:ascii="Arial" w:eastAsia="Times New Roman" w:hAnsi="Arial" w:cs="Arial"/>
      <w:sz w:val="24"/>
      <w:szCs w:val="24"/>
      <w:lang w:val="en-GB" w:eastAsia="en-ZA"/>
    </w:rPr>
  </w:style>
  <w:style w:type="character" w:customStyle="1" w:styleId="BULLETSChar">
    <w:name w:val="BULLETS Char"/>
    <w:link w:val="BULLETS"/>
    <w:rsid w:val="0049712D"/>
    <w:rPr>
      <w:rFonts w:ascii="Arial" w:eastAsia="Times New Roman" w:hAnsi="Arial" w:cs="Arial"/>
      <w:sz w:val="24"/>
      <w:szCs w:val="24"/>
      <w:lang w:val="en-GB" w:eastAsia="en-ZA"/>
    </w:rPr>
  </w:style>
  <w:style w:type="paragraph" w:customStyle="1" w:styleId="Table">
    <w:name w:val="Table"/>
    <w:basedOn w:val="Normal"/>
    <w:link w:val="TableChar"/>
    <w:qFormat/>
    <w:rsid w:val="0049712D"/>
    <w:pPr>
      <w:spacing w:before="120" w:after="120" w:line="240" w:lineRule="auto"/>
      <w:ind w:left="1163" w:hanging="1163"/>
    </w:pPr>
    <w:rPr>
      <w:rFonts w:ascii="Arial" w:hAnsi="Arial" w:cs="Arial"/>
      <w:b/>
      <w:bCs/>
      <w:sz w:val="24"/>
      <w:szCs w:val="24"/>
      <w:lang w:val="en-US" w:eastAsia="en-ZA"/>
    </w:rPr>
  </w:style>
  <w:style w:type="character" w:customStyle="1" w:styleId="TableChar">
    <w:name w:val="Table Char"/>
    <w:link w:val="Table"/>
    <w:rsid w:val="0049712D"/>
    <w:rPr>
      <w:rFonts w:ascii="Arial" w:hAnsi="Arial" w:cs="Arial"/>
      <w:b/>
      <w:bCs/>
      <w:sz w:val="24"/>
      <w:szCs w:val="24"/>
      <w:lang w:val="en-US" w:eastAsia="en-ZA"/>
    </w:rPr>
  </w:style>
  <w:style w:type="paragraph" w:customStyle="1" w:styleId="Style9">
    <w:name w:val="_Style 9"/>
    <w:basedOn w:val="Normal"/>
    <w:uiPriority w:val="34"/>
    <w:qFormat/>
    <w:rsid w:val="00C00D78"/>
    <w:pPr>
      <w:ind w:left="720"/>
      <w:contextualSpacing/>
    </w:pPr>
    <w:rPr>
      <w:rFonts w:ascii="Calibri" w:eastAsia="Calibri" w:hAnsi="Calibri" w:cs="Calibri"/>
      <w:lang w:val="en-US" w:eastAsia="zh-CN"/>
    </w:rPr>
  </w:style>
  <w:style w:type="paragraph" w:customStyle="1" w:styleId="Heading71">
    <w:name w:val="Heading 71"/>
    <w:basedOn w:val="Normal"/>
    <w:next w:val="Normal"/>
    <w:uiPriority w:val="9"/>
    <w:semiHidden/>
    <w:unhideWhenUsed/>
    <w:qFormat/>
    <w:rsid w:val="00BC7AD0"/>
    <w:pPr>
      <w:keepNext/>
      <w:keepLines/>
      <w:spacing w:before="200" w:after="0"/>
      <w:ind w:left="1296" w:hanging="1296"/>
      <w:outlineLvl w:val="6"/>
    </w:pPr>
    <w:rPr>
      <w:rFonts w:ascii="Times New Roman" w:eastAsia="Times New Roman" w:hAnsi="Times New Roman" w:cs="Times New Roman"/>
      <w:i/>
      <w:iCs/>
      <w:color w:val="404040"/>
      <w:sz w:val="24"/>
      <w:lang w:val="en-ZA"/>
    </w:rPr>
  </w:style>
  <w:style w:type="paragraph" w:customStyle="1" w:styleId="Heading81">
    <w:name w:val="Heading 81"/>
    <w:basedOn w:val="Normal"/>
    <w:next w:val="Normal"/>
    <w:uiPriority w:val="9"/>
    <w:semiHidden/>
    <w:unhideWhenUsed/>
    <w:qFormat/>
    <w:rsid w:val="00BC7AD0"/>
    <w:pPr>
      <w:keepNext/>
      <w:keepLines/>
      <w:spacing w:before="200" w:after="0"/>
      <w:ind w:left="1440" w:hanging="1440"/>
      <w:outlineLvl w:val="7"/>
    </w:pPr>
    <w:rPr>
      <w:rFonts w:ascii="Cambria" w:eastAsia="Times New Roman" w:hAnsi="Cambria" w:cs="Times New Roman"/>
      <w:color w:val="404040"/>
      <w:sz w:val="20"/>
      <w:szCs w:val="20"/>
      <w:lang w:val="en-ZA"/>
    </w:rPr>
  </w:style>
  <w:style w:type="paragraph" w:customStyle="1" w:styleId="Heading91">
    <w:name w:val="Heading 91"/>
    <w:basedOn w:val="Normal"/>
    <w:next w:val="Normal"/>
    <w:uiPriority w:val="9"/>
    <w:semiHidden/>
    <w:unhideWhenUsed/>
    <w:qFormat/>
    <w:rsid w:val="00BC7AD0"/>
    <w:pPr>
      <w:keepNext/>
      <w:keepLines/>
      <w:spacing w:before="200" w:after="0"/>
      <w:ind w:left="1584" w:hanging="1584"/>
      <w:outlineLvl w:val="8"/>
    </w:pPr>
    <w:rPr>
      <w:rFonts w:ascii="Cambria" w:eastAsia="Times New Roman" w:hAnsi="Cambria" w:cs="Times New Roman"/>
      <w:i/>
      <w:iCs/>
      <w:color w:val="404040"/>
      <w:sz w:val="20"/>
      <w:szCs w:val="20"/>
      <w:lang w:val="en-ZA"/>
    </w:rPr>
  </w:style>
  <w:style w:type="character" w:customStyle="1" w:styleId="FollowedHyperlink1">
    <w:name w:val="FollowedHyperlink1"/>
    <w:basedOn w:val="DefaultParagraphFont"/>
    <w:uiPriority w:val="99"/>
    <w:semiHidden/>
    <w:unhideWhenUsed/>
    <w:rsid w:val="00BC7AD0"/>
    <w:rPr>
      <w:color w:val="800080"/>
      <w:u w:val="single"/>
    </w:rPr>
  </w:style>
  <w:style w:type="table" w:customStyle="1" w:styleId="GridTable21">
    <w:name w:val="Grid Table 21"/>
    <w:basedOn w:val="TableNormal"/>
    <w:next w:val="GridTable22"/>
    <w:uiPriority w:val="47"/>
    <w:rsid w:val="00BC7AD0"/>
    <w:pPr>
      <w:spacing w:after="0" w:line="240" w:lineRule="auto"/>
    </w:pPr>
    <w:rPr>
      <w:lang w:val="en-Z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21">
    <w:name w:val="Grid Table 5 Dark - Accent 21"/>
    <w:basedOn w:val="TableNormal"/>
    <w:next w:val="GridTable5Dark-Accent2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addmd1">
    <w:name w:val="addmd1"/>
    <w:basedOn w:val="DefaultParagraphFont"/>
    <w:rsid w:val="00BC7AD0"/>
    <w:rPr>
      <w:sz w:val="20"/>
      <w:szCs w:val="20"/>
    </w:rPr>
  </w:style>
  <w:style w:type="table" w:customStyle="1" w:styleId="TableGrid11">
    <w:name w:val="Table Grid11"/>
    <w:basedOn w:val="TableNormal"/>
    <w:next w:val="TableGrid"/>
    <w:uiPriority w:val="59"/>
    <w:rsid w:val="00BC7AD0"/>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BC7AD0"/>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1">
    <w:name w:val="Grid Table 211"/>
    <w:basedOn w:val="TableNormal"/>
    <w:next w:val="GridTable22"/>
    <w:uiPriority w:val="47"/>
    <w:rsid w:val="00BC7AD0"/>
    <w:pPr>
      <w:spacing w:after="0" w:line="240" w:lineRule="auto"/>
    </w:pPr>
    <w:rPr>
      <w:lang w:val="en-Z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311">
    <w:name w:val="Grid Table 5 Dark - Accent 311"/>
    <w:basedOn w:val="TableNormal"/>
    <w:next w:val="GridTable5Dark-Accent3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211">
    <w:name w:val="Grid Table 5 Dark - Accent 211"/>
    <w:basedOn w:val="TableNormal"/>
    <w:next w:val="GridTable5Dark-Accent2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1">
    <w:name w:val="Grid Table 5 Dark - Accent 111"/>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1">
    <w:name w:val="Grid Table 4 - Accent 511"/>
    <w:basedOn w:val="TableNormal"/>
    <w:next w:val="GridTable4-Accent52"/>
    <w:uiPriority w:val="49"/>
    <w:rsid w:val="00BC7AD0"/>
    <w:pPr>
      <w:spacing w:after="0" w:line="240" w:lineRule="auto"/>
    </w:pPr>
    <w:rPr>
      <w:lang w:val="en-Z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1">
    <w:name w:val="Grid Table 1 Light - Accent 111"/>
    <w:basedOn w:val="TableNormal"/>
    <w:next w:val="GridTable1Light-Accent12"/>
    <w:uiPriority w:val="46"/>
    <w:rsid w:val="00BC7AD0"/>
    <w:pPr>
      <w:spacing w:after="0" w:line="240" w:lineRule="auto"/>
    </w:pPr>
    <w:rPr>
      <w:lang w:val="en-Z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5Dark-Accent511">
    <w:name w:val="Grid Table 5 Dark - Accent 511"/>
    <w:basedOn w:val="TableNormal"/>
    <w:next w:val="GridTable5Dark-Accent5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3">
    <w:name w:val="No List3"/>
    <w:next w:val="NoList"/>
    <w:uiPriority w:val="99"/>
    <w:semiHidden/>
    <w:unhideWhenUsed/>
    <w:rsid w:val="00BC7AD0"/>
  </w:style>
  <w:style w:type="paragraph" w:customStyle="1" w:styleId="font5">
    <w:name w:val="font5"/>
    <w:basedOn w:val="Normal"/>
    <w:rsid w:val="00BC7AD0"/>
    <w:pPr>
      <w:spacing w:before="100" w:beforeAutospacing="1" w:after="100" w:afterAutospacing="1" w:line="240" w:lineRule="auto"/>
    </w:pPr>
    <w:rPr>
      <w:rFonts w:ascii="Arial" w:eastAsia="Times New Roman" w:hAnsi="Arial" w:cs="Arial"/>
      <w:b/>
      <w:bCs/>
      <w:sz w:val="18"/>
      <w:szCs w:val="18"/>
      <w:lang w:val="en-US"/>
    </w:rPr>
  </w:style>
  <w:style w:type="paragraph" w:customStyle="1" w:styleId="xl68">
    <w:name w:val="xl68"/>
    <w:basedOn w:val="Normal"/>
    <w:rsid w:val="00BC7AD0"/>
    <w:pPr>
      <w:pBdr>
        <w:bottom w:val="single" w:sz="4" w:space="0" w:color="993366"/>
      </w:pBdr>
      <w:spacing w:before="100" w:beforeAutospacing="1" w:after="100" w:afterAutospacing="1" w:line="240" w:lineRule="auto"/>
    </w:pPr>
    <w:rPr>
      <w:rFonts w:ascii="Arial" w:eastAsia="Times New Roman" w:hAnsi="Arial" w:cs="Arial"/>
      <w:sz w:val="18"/>
      <w:szCs w:val="18"/>
      <w:lang w:val="en-US"/>
    </w:rPr>
  </w:style>
  <w:style w:type="paragraph" w:customStyle="1" w:styleId="xl69">
    <w:name w:val="xl69"/>
    <w:basedOn w:val="Normal"/>
    <w:rsid w:val="00BC7AD0"/>
    <w:pPr>
      <w:pBdr>
        <w:top w:val="single" w:sz="4" w:space="0" w:color="993366"/>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0">
    <w:name w:val="xl70"/>
    <w:basedOn w:val="Normal"/>
    <w:rsid w:val="00BC7AD0"/>
    <w:pPr>
      <w:pBdr>
        <w:top w:val="single" w:sz="4" w:space="0" w:color="C0C0C0"/>
        <w:bottom w:val="single" w:sz="4" w:space="0" w:color="C0C0C0"/>
      </w:pBdr>
      <w:shd w:val="clear" w:color="000000" w:fill="CCCCFF"/>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1">
    <w:name w:val="xl71"/>
    <w:basedOn w:val="Normal"/>
    <w:rsid w:val="00BC7AD0"/>
    <w:pPr>
      <w:pBdr>
        <w:top w:val="single" w:sz="4" w:space="0" w:color="C0C0C0"/>
        <w:bottom w:val="single" w:sz="4" w:space="0" w:color="993366"/>
      </w:pBdr>
      <w:shd w:val="clear" w:color="000000" w:fill="CCCCFF"/>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2">
    <w:name w:val="xl72"/>
    <w:basedOn w:val="Normal"/>
    <w:rsid w:val="00BC7AD0"/>
    <w:pPr>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3">
    <w:name w:val="xl73"/>
    <w:basedOn w:val="Normal"/>
    <w:rsid w:val="00BC7AD0"/>
    <w:pPr>
      <w:pBdr>
        <w:top w:val="single" w:sz="4" w:space="0" w:color="C0C0C0"/>
      </w:pBdr>
      <w:shd w:val="clear" w:color="000000" w:fill="CCCCFF"/>
      <w:spacing w:before="100" w:beforeAutospacing="1" w:after="100" w:afterAutospacing="1" w:line="240" w:lineRule="auto"/>
      <w:textAlignment w:val="top"/>
    </w:pPr>
    <w:rPr>
      <w:rFonts w:ascii="Arial" w:eastAsia="Times New Roman" w:hAnsi="Arial" w:cs="Arial"/>
      <w:sz w:val="18"/>
      <w:szCs w:val="18"/>
      <w:lang w:val="en-US"/>
    </w:rPr>
  </w:style>
  <w:style w:type="paragraph" w:customStyle="1" w:styleId="xl74">
    <w:name w:val="xl74"/>
    <w:basedOn w:val="Normal"/>
    <w:rsid w:val="00BC7AD0"/>
    <w:pPr>
      <w:pBdr>
        <w:bottom w:val="single" w:sz="4" w:space="0" w:color="993366"/>
      </w:pBdr>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80">
    <w:name w:val="xl80"/>
    <w:basedOn w:val="Normal"/>
    <w:rsid w:val="00BC7AD0"/>
    <w:pP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81">
    <w:name w:val="xl81"/>
    <w:basedOn w:val="Normal"/>
    <w:rsid w:val="00BC7AD0"/>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BC7AD0"/>
    <w:pPr>
      <w:pBdr>
        <w:bottom w:val="single" w:sz="4" w:space="0" w:color="993366"/>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3">
    <w:name w:val="xl83"/>
    <w:basedOn w:val="Normal"/>
    <w:rsid w:val="00BC7AD0"/>
    <w:pPr>
      <w:pBdr>
        <w:left w:val="single" w:sz="4" w:space="0" w:color="333333"/>
        <w:bottom w:val="single" w:sz="4" w:space="0" w:color="993366"/>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4">
    <w:name w:val="xl84"/>
    <w:basedOn w:val="Normal"/>
    <w:rsid w:val="00BC7AD0"/>
    <w:pP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5">
    <w:name w:val="xl85"/>
    <w:basedOn w:val="Normal"/>
    <w:rsid w:val="00BC7AD0"/>
    <w:pPr>
      <w:pBdr>
        <w:top w:val="single" w:sz="4" w:space="0" w:color="993366"/>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6">
    <w:name w:val="xl86"/>
    <w:basedOn w:val="Normal"/>
    <w:rsid w:val="00BC7AD0"/>
    <w:pPr>
      <w:pBdr>
        <w:top w:val="single" w:sz="4" w:space="0" w:color="993366"/>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7">
    <w:name w:val="xl87"/>
    <w:basedOn w:val="Normal"/>
    <w:rsid w:val="00BC7AD0"/>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8">
    <w:name w:val="xl88"/>
    <w:basedOn w:val="Normal"/>
    <w:rsid w:val="00BC7AD0"/>
    <w:pPr>
      <w:pBdr>
        <w:top w:val="single" w:sz="4" w:space="0" w:color="C0C0C0"/>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89">
    <w:name w:val="xl89"/>
    <w:basedOn w:val="Normal"/>
    <w:rsid w:val="00BC7AD0"/>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0">
    <w:name w:val="xl90"/>
    <w:basedOn w:val="Normal"/>
    <w:rsid w:val="00BC7AD0"/>
    <w:pPr>
      <w:pBdr>
        <w:top w:val="single" w:sz="4" w:space="0" w:color="C0C0C0"/>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1">
    <w:name w:val="xl91"/>
    <w:basedOn w:val="Normal"/>
    <w:rsid w:val="00BC7AD0"/>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2">
    <w:name w:val="xl92"/>
    <w:basedOn w:val="Normal"/>
    <w:rsid w:val="00BC7AD0"/>
    <w:pPr>
      <w:pBdr>
        <w:top w:val="single" w:sz="4" w:space="0" w:color="C0C0C0"/>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3">
    <w:name w:val="xl93"/>
    <w:basedOn w:val="Normal"/>
    <w:rsid w:val="00BC7AD0"/>
    <w:pPr>
      <w:pBdr>
        <w:top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4">
    <w:name w:val="xl94"/>
    <w:basedOn w:val="Normal"/>
    <w:rsid w:val="00BC7AD0"/>
    <w:pPr>
      <w:pBdr>
        <w:top w:val="single" w:sz="4" w:space="0" w:color="C0C0C0"/>
        <w:left w:val="single" w:sz="4" w:space="0" w:color="333333"/>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5">
    <w:name w:val="xl95"/>
    <w:basedOn w:val="Normal"/>
    <w:rsid w:val="00BC7AD0"/>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6">
    <w:name w:val="xl96"/>
    <w:basedOn w:val="Normal"/>
    <w:rsid w:val="00BC7AD0"/>
    <w:pPr>
      <w:pBdr>
        <w:top w:val="single" w:sz="4" w:space="0" w:color="C0C0C0"/>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7">
    <w:name w:val="xl97"/>
    <w:basedOn w:val="Normal"/>
    <w:rsid w:val="00BC7AD0"/>
    <w:pPr>
      <w:pBdr>
        <w:top w:val="single" w:sz="4" w:space="0" w:color="C0C0C0"/>
        <w:bottom w:val="single" w:sz="4" w:space="0" w:color="993366"/>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8">
    <w:name w:val="xl98"/>
    <w:basedOn w:val="Normal"/>
    <w:rsid w:val="00BC7AD0"/>
    <w:pPr>
      <w:pBdr>
        <w:top w:val="single" w:sz="4" w:space="0" w:color="C0C0C0"/>
        <w:left w:val="single" w:sz="4" w:space="0" w:color="333333"/>
        <w:bottom w:val="single" w:sz="4" w:space="0" w:color="993366"/>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99">
    <w:name w:val="xl99"/>
    <w:basedOn w:val="Normal"/>
    <w:rsid w:val="00BC7AD0"/>
    <w:pPr>
      <w:pBdr>
        <w:top w:val="single" w:sz="4" w:space="0" w:color="C0C0C0"/>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0">
    <w:name w:val="xl100"/>
    <w:basedOn w:val="Normal"/>
    <w:rsid w:val="00BC7AD0"/>
    <w:pPr>
      <w:pBdr>
        <w:top w:val="single" w:sz="4" w:space="0" w:color="C0C0C0"/>
        <w:left w:val="single" w:sz="4" w:space="0" w:color="333333"/>
        <w:bottom w:val="single" w:sz="4" w:space="0" w:color="C0C0C0"/>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01">
    <w:name w:val="xl101"/>
    <w:basedOn w:val="Normal"/>
    <w:rsid w:val="00BC7AD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character" w:customStyle="1" w:styleId="word1">
    <w:name w:val="word1"/>
    <w:basedOn w:val="DefaultParagraphFont"/>
    <w:rsid w:val="00BC7AD0"/>
  </w:style>
  <w:style w:type="character" w:customStyle="1" w:styleId="Heading7Char1">
    <w:name w:val="Heading 7 Char1"/>
    <w:basedOn w:val="DefaultParagraphFont"/>
    <w:uiPriority w:val="9"/>
    <w:semiHidden/>
    <w:rsid w:val="00BC7AD0"/>
    <w:rPr>
      <w:rFonts w:asciiTheme="majorHAnsi" w:eastAsiaTheme="majorEastAsia" w:hAnsiTheme="majorHAnsi" w:cstheme="majorBidi"/>
      <w:i/>
      <w:iCs/>
      <w:color w:val="243F60" w:themeColor="accent1" w:themeShade="7F"/>
      <w:lang w:val="en-ZA"/>
    </w:rPr>
  </w:style>
  <w:style w:type="character" w:customStyle="1" w:styleId="Heading8Char1">
    <w:name w:val="Heading 8 Char1"/>
    <w:basedOn w:val="DefaultParagraphFont"/>
    <w:uiPriority w:val="9"/>
    <w:semiHidden/>
    <w:rsid w:val="00BC7AD0"/>
    <w:rPr>
      <w:rFonts w:asciiTheme="majorHAnsi" w:eastAsiaTheme="majorEastAsia" w:hAnsiTheme="majorHAnsi" w:cstheme="majorBidi"/>
      <w:color w:val="272727" w:themeColor="text1" w:themeTint="D8"/>
      <w:sz w:val="21"/>
      <w:szCs w:val="21"/>
      <w:lang w:val="en-ZA"/>
    </w:rPr>
  </w:style>
  <w:style w:type="character" w:customStyle="1" w:styleId="Heading9Char1">
    <w:name w:val="Heading 9 Char1"/>
    <w:basedOn w:val="DefaultParagraphFont"/>
    <w:uiPriority w:val="9"/>
    <w:semiHidden/>
    <w:rsid w:val="00BC7AD0"/>
    <w:rPr>
      <w:rFonts w:asciiTheme="majorHAnsi" w:eastAsiaTheme="majorEastAsia" w:hAnsiTheme="majorHAnsi" w:cstheme="majorBidi"/>
      <w:i/>
      <w:iCs/>
      <w:color w:val="272727" w:themeColor="text1" w:themeTint="D8"/>
      <w:sz w:val="21"/>
      <w:szCs w:val="21"/>
      <w:lang w:val="en-ZA"/>
    </w:rPr>
  </w:style>
  <w:style w:type="table" w:customStyle="1" w:styleId="GridTable22">
    <w:name w:val="Grid Table 22"/>
    <w:basedOn w:val="TableNormal"/>
    <w:uiPriority w:val="47"/>
    <w:rsid w:val="00BC7AD0"/>
    <w:pPr>
      <w:spacing w:after="0" w:line="240" w:lineRule="auto"/>
    </w:pPr>
    <w:rPr>
      <w:lang w:val="en-US"/>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32">
    <w:name w:val="Grid Table 5 Dark - Accent 32"/>
    <w:basedOn w:val="TableNormal"/>
    <w:uiPriority w:val="50"/>
    <w:rsid w:val="00BC7AD0"/>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22">
    <w:name w:val="Grid Table 5 Dark - Accent 22"/>
    <w:basedOn w:val="TableNormal"/>
    <w:uiPriority w:val="50"/>
    <w:rsid w:val="00BC7AD0"/>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12">
    <w:name w:val="Grid Table 5 Dark - Accent 12"/>
    <w:basedOn w:val="TableNormal"/>
    <w:uiPriority w:val="50"/>
    <w:rsid w:val="00BC7AD0"/>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52">
    <w:name w:val="Grid Table 4 - Accent 52"/>
    <w:basedOn w:val="TableNormal"/>
    <w:uiPriority w:val="49"/>
    <w:rsid w:val="00BC7AD0"/>
    <w:pPr>
      <w:spacing w:after="0" w:line="240" w:lineRule="auto"/>
    </w:pPr>
    <w:rPr>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2">
    <w:name w:val="Grid Table 1 Light - Accent 12"/>
    <w:basedOn w:val="TableNormal"/>
    <w:uiPriority w:val="46"/>
    <w:rsid w:val="00BC7AD0"/>
    <w:pPr>
      <w:spacing w:after="0" w:line="240" w:lineRule="auto"/>
    </w:pPr>
    <w:rPr>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52">
    <w:name w:val="Grid Table 5 Dark - Accent 52"/>
    <w:basedOn w:val="TableNormal"/>
    <w:uiPriority w:val="50"/>
    <w:rsid w:val="00BC7AD0"/>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20">
    <w:name w:val="Grid Table 5 Dark - Accent 12_0"/>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4">
    <w:name w:val="Grid Table 5 Dark - Accent 14"/>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NoList4">
    <w:name w:val="No List4"/>
    <w:next w:val="NoList"/>
    <w:uiPriority w:val="99"/>
    <w:semiHidden/>
    <w:unhideWhenUsed/>
    <w:rsid w:val="00BC7AD0"/>
  </w:style>
  <w:style w:type="numbering" w:customStyle="1" w:styleId="NoList12">
    <w:name w:val="No List12"/>
    <w:next w:val="NoList"/>
    <w:uiPriority w:val="99"/>
    <w:semiHidden/>
    <w:unhideWhenUsed/>
    <w:rsid w:val="00BC7AD0"/>
  </w:style>
  <w:style w:type="table" w:customStyle="1" w:styleId="GridTable5Dark-Accent312">
    <w:name w:val="Grid Table 5 Dark - Accent 312"/>
    <w:basedOn w:val="TableNormal"/>
    <w:next w:val="GridTable5Dark-Accent3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212">
    <w:name w:val="Grid Table 5 Dark - Accent 212"/>
    <w:basedOn w:val="TableNormal"/>
    <w:next w:val="GridTable5Dark-Accent2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2">
    <w:name w:val="Grid Table 5 Dark - Accent 112"/>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2">
    <w:name w:val="Grid Table 4 - Accent 512"/>
    <w:basedOn w:val="TableNormal"/>
    <w:next w:val="GridTable4-Accent52"/>
    <w:uiPriority w:val="49"/>
    <w:rsid w:val="00BC7AD0"/>
    <w:pPr>
      <w:spacing w:after="0" w:line="240" w:lineRule="auto"/>
    </w:pPr>
    <w:rPr>
      <w:lang w:val="en-Z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2">
    <w:name w:val="Grid Table 1 Light - Accent 112"/>
    <w:basedOn w:val="TableNormal"/>
    <w:next w:val="GridTable1Light-Accent12"/>
    <w:uiPriority w:val="46"/>
    <w:rsid w:val="00BC7AD0"/>
    <w:pPr>
      <w:spacing w:after="0" w:line="240" w:lineRule="auto"/>
    </w:pPr>
    <w:rPr>
      <w:lang w:val="en-Z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1">
    <w:name w:val="No List21"/>
    <w:next w:val="NoList"/>
    <w:uiPriority w:val="99"/>
    <w:semiHidden/>
    <w:unhideWhenUsed/>
    <w:rsid w:val="00BC7AD0"/>
  </w:style>
  <w:style w:type="numbering" w:customStyle="1" w:styleId="NoList31">
    <w:name w:val="No List31"/>
    <w:next w:val="NoList"/>
    <w:uiPriority w:val="99"/>
    <w:semiHidden/>
    <w:unhideWhenUsed/>
    <w:rsid w:val="00BC7AD0"/>
  </w:style>
  <w:style w:type="numbering" w:customStyle="1" w:styleId="NoList5">
    <w:name w:val="No List5"/>
    <w:next w:val="NoList"/>
    <w:uiPriority w:val="99"/>
    <w:semiHidden/>
    <w:unhideWhenUsed/>
    <w:rsid w:val="00BC7AD0"/>
  </w:style>
  <w:style w:type="numbering" w:customStyle="1" w:styleId="NoList13">
    <w:name w:val="No List13"/>
    <w:next w:val="NoList"/>
    <w:uiPriority w:val="99"/>
    <w:semiHidden/>
    <w:unhideWhenUsed/>
    <w:rsid w:val="00BC7AD0"/>
  </w:style>
  <w:style w:type="table" w:customStyle="1" w:styleId="GridTable5Dark-Accent313">
    <w:name w:val="Grid Table 5 Dark - Accent 313"/>
    <w:basedOn w:val="TableNormal"/>
    <w:next w:val="GridTable5Dark-Accent3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213">
    <w:name w:val="Grid Table 5 Dark - Accent 213"/>
    <w:basedOn w:val="TableNormal"/>
    <w:next w:val="GridTable5Dark-Accent2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13">
    <w:name w:val="Grid Table 5 Dark - Accent 113"/>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513">
    <w:name w:val="Grid Table 4 - Accent 513"/>
    <w:basedOn w:val="TableNormal"/>
    <w:next w:val="GridTable4-Accent52"/>
    <w:uiPriority w:val="49"/>
    <w:rsid w:val="00BC7AD0"/>
    <w:pPr>
      <w:spacing w:after="0" w:line="240" w:lineRule="auto"/>
    </w:pPr>
    <w:rPr>
      <w:lang w:val="en-ZA"/>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3">
    <w:name w:val="Grid Table 1 Light - Accent 113"/>
    <w:basedOn w:val="TableNormal"/>
    <w:next w:val="GridTable1Light-Accent12"/>
    <w:uiPriority w:val="46"/>
    <w:rsid w:val="00BC7AD0"/>
    <w:pPr>
      <w:spacing w:after="0" w:line="240" w:lineRule="auto"/>
    </w:pPr>
    <w:rPr>
      <w:lang w:val="en-Z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NoList22">
    <w:name w:val="No List22"/>
    <w:next w:val="NoList"/>
    <w:uiPriority w:val="99"/>
    <w:semiHidden/>
    <w:unhideWhenUsed/>
    <w:rsid w:val="00BC7AD0"/>
  </w:style>
  <w:style w:type="numbering" w:customStyle="1" w:styleId="NoList32">
    <w:name w:val="No List32"/>
    <w:next w:val="NoList"/>
    <w:uiPriority w:val="99"/>
    <w:semiHidden/>
    <w:unhideWhenUsed/>
    <w:rsid w:val="00BC7AD0"/>
  </w:style>
  <w:style w:type="table" w:customStyle="1" w:styleId="GridTable5Dark-Accent1111">
    <w:name w:val="Grid Table 5 Dark - Accent 1111"/>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5">
    <w:name w:val="Grid Table 5 Dark - Accent 15"/>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4">
    <w:name w:val="Grid Table 5 Dark - Accent 114"/>
    <w:basedOn w:val="TableNormal"/>
    <w:next w:val="GridTable5Dark-Accent12"/>
    <w:uiPriority w:val="50"/>
    <w:rsid w:val="00BC7AD0"/>
    <w:pPr>
      <w:spacing w:after="0" w:line="240" w:lineRule="auto"/>
    </w:pPr>
    <w:rPr>
      <w:lang w:val="en-Z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12">
    <w:name w:val="未解析的提及1"/>
    <w:basedOn w:val="DefaultParagraphFont"/>
    <w:uiPriority w:val="99"/>
    <w:semiHidden/>
    <w:unhideWhenUsed/>
    <w:rsid w:val="00F45FEB"/>
    <w:rPr>
      <w:color w:val="605E5C"/>
      <w:shd w:val="clear" w:color="auto" w:fill="E1DFDD"/>
    </w:rPr>
  </w:style>
  <w:style w:type="paragraph" w:customStyle="1" w:styleId="MDPI71References">
    <w:name w:val="MDPI_7.1_References"/>
    <w:qFormat/>
    <w:rsid w:val="00F45FEB"/>
    <w:pPr>
      <w:numPr>
        <w:numId w:val="32"/>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table" w:customStyle="1" w:styleId="TableNormal1">
    <w:name w:val="Table Normal1"/>
    <w:uiPriority w:val="2"/>
    <w:semiHidden/>
    <w:unhideWhenUsed/>
    <w:qFormat/>
    <w:rsid w:val="00F45FEB"/>
    <w:pPr>
      <w:widowControl w:val="0"/>
      <w:autoSpaceDE w:val="0"/>
      <w:autoSpaceDN w:val="0"/>
      <w:spacing w:after="0" w:line="240" w:lineRule="auto"/>
    </w:pPr>
    <w:rPr>
      <w:rFonts w:eastAsiaTheme="minorEastAsia"/>
      <w:lang w:val="en-US"/>
    </w:rPr>
    <w:tblPr>
      <w:tblInd w:w="0" w:type="dxa"/>
      <w:tblCellMar>
        <w:top w:w="0" w:type="dxa"/>
        <w:left w:w="0" w:type="dxa"/>
        <w:bottom w:w="0" w:type="dxa"/>
        <w:right w:w="0" w:type="dxa"/>
      </w:tblCellMar>
    </w:tblPr>
  </w:style>
  <w:style w:type="paragraph" w:customStyle="1" w:styleId="dx-doi">
    <w:name w:val="dx-doi"/>
    <w:basedOn w:val="Normal"/>
    <w:rsid w:val="00F45FEB"/>
    <w:pPr>
      <w:spacing w:before="100" w:beforeAutospacing="1" w:after="100" w:afterAutospacing="1" w:line="240" w:lineRule="auto"/>
    </w:pPr>
    <w:rPr>
      <w:rFonts w:ascii="PMingLiU" w:eastAsia="PMingLiU" w:hAnsi="PMingLiU" w:cs="PMingLiU"/>
      <w:sz w:val="24"/>
      <w:szCs w:val="24"/>
      <w:lang w:val="en-US" w:eastAsia="zh-TW"/>
    </w:rPr>
  </w:style>
  <w:style w:type="paragraph" w:customStyle="1" w:styleId="ATable">
    <w:name w:val="ATable"/>
    <w:basedOn w:val="Normal"/>
    <w:next w:val="Normal"/>
    <w:link w:val="ATableChar"/>
    <w:qFormat/>
    <w:rsid w:val="00F45FEB"/>
    <w:pPr>
      <w:spacing w:before="85" w:after="170" w:line="280" w:lineRule="atLeast"/>
      <w:jc w:val="center"/>
    </w:pPr>
    <w:rPr>
      <w:rFonts w:ascii="Open Sans" w:eastAsiaTheme="minorEastAsia" w:hAnsi="Open Sans"/>
      <w:i/>
      <w:sz w:val="18"/>
      <w:lang w:val="hr-HR"/>
    </w:rPr>
  </w:style>
  <w:style w:type="character" w:customStyle="1" w:styleId="ATableChar">
    <w:name w:val="ATable Char"/>
    <w:basedOn w:val="DefaultParagraphFont"/>
    <w:link w:val="ATable"/>
    <w:rsid w:val="00F45FEB"/>
    <w:rPr>
      <w:rFonts w:ascii="Open Sans" w:eastAsiaTheme="minorEastAsia" w:hAnsi="Open Sans"/>
      <w:i/>
      <w:sz w:val="18"/>
      <w:lang w:val="hr-HR"/>
    </w:rPr>
  </w:style>
  <w:style w:type="paragraph" w:customStyle="1" w:styleId="AText">
    <w:name w:val="AText"/>
    <w:basedOn w:val="Normal"/>
    <w:link w:val="ATextChar"/>
    <w:qFormat/>
    <w:rsid w:val="00F45FEB"/>
    <w:pPr>
      <w:spacing w:before="85" w:after="85" w:line="280" w:lineRule="atLeast"/>
      <w:jc w:val="both"/>
    </w:pPr>
    <w:rPr>
      <w:rFonts w:ascii="Cambria" w:eastAsiaTheme="minorEastAsia" w:hAnsi="Cambria"/>
      <w:sz w:val="21"/>
      <w:lang w:val="en-GB"/>
    </w:rPr>
  </w:style>
  <w:style w:type="character" w:customStyle="1" w:styleId="ATextChar">
    <w:name w:val="AText Char"/>
    <w:basedOn w:val="DefaultParagraphFont"/>
    <w:link w:val="AText"/>
    <w:rsid w:val="00F45FEB"/>
    <w:rPr>
      <w:rFonts w:ascii="Cambria" w:eastAsiaTheme="minorEastAsia" w:hAnsi="Cambria"/>
      <w:sz w:val="21"/>
      <w:lang w:val="en-GB"/>
    </w:rPr>
  </w:style>
  <w:style w:type="paragraph" w:customStyle="1" w:styleId="AReference">
    <w:name w:val="AReference"/>
    <w:basedOn w:val="AText"/>
    <w:link w:val="AReferenceChar"/>
    <w:qFormat/>
    <w:rsid w:val="00F45FEB"/>
    <w:pPr>
      <w:numPr>
        <w:numId w:val="33"/>
      </w:numPr>
      <w:tabs>
        <w:tab w:val="left" w:pos="567"/>
      </w:tabs>
      <w:ind w:left="567" w:hanging="567"/>
    </w:pPr>
  </w:style>
  <w:style w:type="character" w:customStyle="1" w:styleId="AReferenceChar">
    <w:name w:val="AReference Char"/>
    <w:basedOn w:val="ATextChar"/>
    <w:link w:val="AReference"/>
    <w:rsid w:val="00F45FEB"/>
  </w:style>
  <w:style w:type="character" w:customStyle="1" w:styleId="20">
    <w:name w:val="未解析的提及2"/>
    <w:basedOn w:val="DefaultParagraphFont"/>
    <w:uiPriority w:val="99"/>
    <w:semiHidden/>
    <w:unhideWhenUsed/>
    <w:rsid w:val="00F45FEB"/>
    <w:rPr>
      <w:color w:val="605E5C"/>
      <w:shd w:val="clear" w:color="auto" w:fill="E1DFDD"/>
    </w:rPr>
  </w:style>
  <w:style w:type="character" w:customStyle="1" w:styleId="q4iawc">
    <w:name w:val="q4iawc"/>
    <w:basedOn w:val="DefaultParagraphFont"/>
    <w:rsid w:val="00F45FEB"/>
  </w:style>
  <w:style w:type="paragraph" w:customStyle="1" w:styleId="MDPI13authornames">
    <w:name w:val="MDPI_1.3_authornames"/>
    <w:next w:val="Normal"/>
    <w:qFormat/>
    <w:rsid w:val="00F45FEB"/>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NormalUiTMParagraph1">
    <w:name w:val="Normal UiTM Paragraph 1"/>
    <w:basedOn w:val="Normal"/>
    <w:link w:val="NormalUiTMParagraph1Char"/>
    <w:autoRedefine/>
    <w:uiPriority w:val="9"/>
    <w:qFormat/>
    <w:rsid w:val="004C738B"/>
    <w:pPr>
      <w:widowControl w:val="0"/>
      <w:tabs>
        <w:tab w:val="left" w:pos="0"/>
      </w:tabs>
      <w:spacing w:after="40" w:line="360" w:lineRule="auto"/>
      <w:jc w:val="both"/>
    </w:pPr>
    <w:rPr>
      <w:rFonts w:ascii="Times New Roman" w:eastAsiaTheme="minorEastAsia" w:hAnsi="Times New Roman" w:cs="Times New Roman"/>
      <w:bCs/>
      <w:sz w:val="24"/>
      <w:szCs w:val="24"/>
      <w:lang w:val="en-GB"/>
    </w:rPr>
  </w:style>
  <w:style w:type="character" w:customStyle="1" w:styleId="NormalUiTMParagraph1Char">
    <w:name w:val="Normal UiTM Paragraph 1 Char"/>
    <w:basedOn w:val="DefaultParagraphFont"/>
    <w:link w:val="NormalUiTMParagraph1"/>
    <w:uiPriority w:val="9"/>
    <w:rsid w:val="004C738B"/>
    <w:rPr>
      <w:rFonts w:ascii="Times New Roman" w:eastAsiaTheme="minorEastAsia" w:hAnsi="Times New Roman" w:cs="Times New Roman"/>
      <w:bCs/>
      <w:sz w:val="24"/>
      <w:szCs w:val="24"/>
      <w:lang w:val="en-GB"/>
    </w:rPr>
  </w:style>
  <w:style w:type="paragraph" w:customStyle="1" w:styleId="p1">
    <w:name w:val="p1"/>
    <w:basedOn w:val="Normal"/>
    <w:rsid w:val="004C738B"/>
    <w:pPr>
      <w:spacing w:after="0" w:line="240" w:lineRule="auto"/>
      <w:jc w:val="both"/>
    </w:pPr>
    <w:rPr>
      <w:rFonts w:ascii="Helvetica Neue" w:hAnsi="Helvetica Neue" w:cs="Times New Roman"/>
      <w:sz w:val="20"/>
      <w:szCs w:val="20"/>
      <w:lang w:val="en-US"/>
    </w:rPr>
  </w:style>
  <w:style w:type="paragraph" w:customStyle="1" w:styleId="p2">
    <w:name w:val="p2"/>
    <w:basedOn w:val="Normal"/>
    <w:rsid w:val="004C738B"/>
    <w:pPr>
      <w:spacing w:after="0" w:line="240" w:lineRule="auto"/>
    </w:pPr>
    <w:rPr>
      <w:rFonts w:ascii="Helvetica Neue" w:hAnsi="Helvetica Neue" w:cs="Times New Roman"/>
      <w:sz w:val="20"/>
      <w:szCs w:val="20"/>
      <w:lang w:val="en-US"/>
    </w:rPr>
  </w:style>
  <w:style w:type="character" w:customStyle="1" w:styleId="text">
    <w:name w:val="text"/>
    <w:basedOn w:val="DefaultParagraphFont"/>
    <w:rsid w:val="00653982"/>
  </w:style>
  <w:style w:type="character" w:customStyle="1" w:styleId="author-ref">
    <w:name w:val="author-ref"/>
    <w:basedOn w:val="DefaultParagraphFont"/>
    <w:rsid w:val="00653982"/>
  </w:style>
</w:styles>
</file>

<file path=word/webSettings.xml><?xml version="1.0" encoding="utf-8"?>
<w:webSettings xmlns:r="http://schemas.openxmlformats.org/officeDocument/2006/relationships" xmlns:w="http://schemas.openxmlformats.org/wordprocessingml/2006/main">
  <w:divs>
    <w:div w:id="95178449">
      <w:bodyDiv w:val="1"/>
      <w:marLeft w:val="0"/>
      <w:marRight w:val="0"/>
      <w:marTop w:val="0"/>
      <w:marBottom w:val="0"/>
      <w:divBdr>
        <w:top w:val="none" w:sz="0" w:space="0" w:color="auto"/>
        <w:left w:val="none" w:sz="0" w:space="0" w:color="auto"/>
        <w:bottom w:val="none" w:sz="0" w:space="0" w:color="auto"/>
        <w:right w:val="none" w:sz="0" w:space="0" w:color="auto"/>
      </w:divBdr>
    </w:div>
    <w:div w:id="134301268">
      <w:bodyDiv w:val="1"/>
      <w:marLeft w:val="0"/>
      <w:marRight w:val="0"/>
      <w:marTop w:val="0"/>
      <w:marBottom w:val="0"/>
      <w:divBdr>
        <w:top w:val="none" w:sz="0" w:space="0" w:color="auto"/>
        <w:left w:val="none" w:sz="0" w:space="0" w:color="auto"/>
        <w:bottom w:val="none" w:sz="0" w:space="0" w:color="auto"/>
        <w:right w:val="none" w:sz="0" w:space="0" w:color="auto"/>
      </w:divBdr>
    </w:div>
    <w:div w:id="209194027">
      <w:bodyDiv w:val="1"/>
      <w:marLeft w:val="0"/>
      <w:marRight w:val="0"/>
      <w:marTop w:val="0"/>
      <w:marBottom w:val="0"/>
      <w:divBdr>
        <w:top w:val="none" w:sz="0" w:space="0" w:color="auto"/>
        <w:left w:val="none" w:sz="0" w:space="0" w:color="auto"/>
        <w:bottom w:val="none" w:sz="0" w:space="0" w:color="auto"/>
        <w:right w:val="none" w:sz="0" w:space="0" w:color="auto"/>
      </w:divBdr>
    </w:div>
    <w:div w:id="344942908">
      <w:bodyDiv w:val="1"/>
      <w:marLeft w:val="0"/>
      <w:marRight w:val="0"/>
      <w:marTop w:val="0"/>
      <w:marBottom w:val="0"/>
      <w:divBdr>
        <w:top w:val="none" w:sz="0" w:space="0" w:color="auto"/>
        <w:left w:val="none" w:sz="0" w:space="0" w:color="auto"/>
        <w:bottom w:val="none" w:sz="0" w:space="0" w:color="auto"/>
        <w:right w:val="none" w:sz="0" w:space="0" w:color="auto"/>
      </w:divBdr>
    </w:div>
    <w:div w:id="992372414">
      <w:bodyDiv w:val="1"/>
      <w:marLeft w:val="0"/>
      <w:marRight w:val="0"/>
      <w:marTop w:val="0"/>
      <w:marBottom w:val="0"/>
      <w:divBdr>
        <w:top w:val="none" w:sz="0" w:space="0" w:color="auto"/>
        <w:left w:val="none" w:sz="0" w:space="0" w:color="auto"/>
        <w:bottom w:val="none" w:sz="0" w:space="0" w:color="auto"/>
        <w:right w:val="none" w:sz="0" w:space="0" w:color="auto"/>
      </w:divBdr>
    </w:div>
    <w:div w:id="1011302450">
      <w:bodyDiv w:val="1"/>
      <w:marLeft w:val="0"/>
      <w:marRight w:val="0"/>
      <w:marTop w:val="0"/>
      <w:marBottom w:val="0"/>
      <w:divBdr>
        <w:top w:val="none" w:sz="0" w:space="0" w:color="auto"/>
        <w:left w:val="none" w:sz="0" w:space="0" w:color="auto"/>
        <w:bottom w:val="none" w:sz="0" w:space="0" w:color="auto"/>
        <w:right w:val="none" w:sz="0" w:space="0" w:color="auto"/>
      </w:divBdr>
    </w:div>
    <w:div w:id="1044600957">
      <w:bodyDiv w:val="1"/>
      <w:marLeft w:val="0"/>
      <w:marRight w:val="0"/>
      <w:marTop w:val="0"/>
      <w:marBottom w:val="0"/>
      <w:divBdr>
        <w:top w:val="none" w:sz="0" w:space="0" w:color="auto"/>
        <w:left w:val="none" w:sz="0" w:space="0" w:color="auto"/>
        <w:bottom w:val="none" w:sz="0" w:space="0" w:color="auto"/>
        <w:right w:val="none" w:sz="0" w:space="0" w:color="auto"/>
      </w:divBdr>
    </w:div>
    <w:div w:id="1298026723">
      <w:bodyDiv w:val="1"/>
      <w:marLeft w:val="0"/>
      <w:marRight w:val="0"/>
      <w:marTop w:val="0"/>
      <w:marBottom w:val="0"/>
      <w:divBdr>
        <w:top w:val="none" w:sz="0" w:space="0" w:color="auto"/>
        <w:left w:val="none" w:sz="0" w:space="0" w:color="auto"/>
        <w:bottom w:val="none" w:sz="0" w:space="0" w:color="auto"/>
        <w:right w:val="none" w:sz="0" w:space="0" w:color="auto"/>
      </w:divBdr>
    </w:div>
    <w:div w:id="1616668211">
      <w:bodyDiv w:val="1"/>
      <w:marLeft w:val="0"/>
      <w:marRight w:val="0"/>
      <w:marTop w:val="0"/>
      <w:marBottom w:val="0"/>
      <w:divBdr>
        <w:top w:val="none" w:sz="0" w:space="0" w:color="auto"/>
        <w:left w:val="none" w:sz="0" w:space="0" w:color="auto"/>
        <w:bottom w:val="none" w:sz="0" w:space="0" w:color="auto"/>
        <w:right w:val="none" w:sz="0" w:space="0" w:color="auto"/>
      </w:divBdr>
    </w:div>
    <w:div w:id="1996839717">
      <w:bodyDiv w:val="1"/>
      <w:marLeft w:val="0"/>
      <w:marRight w:val="0"/>
      <w:marTop w:val="0"/>
      <w:marBottom w:val="0"/>
      <w:divBdr>
        <w:top w:val="none" w:sz="0" w:space="0" w:color="auto"/>
        <w:left w:val="none" w:sz="0" w:space="0" w:color="auto"/>
        <w:bottom w:val="none" w:sz="0" w:space="0" w:color="auto"/>
        <w:right w:val="none" w:sz="0" w:space="0" w:color="auto"/>
      </w:divBdr>
    </w:div>
    <w:div w:id="211308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andfonline.com/author/Ud+Din%2C+Niza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openRTWindow('http://ifrnd.org/journal/index.php/imbr/about/editorialTeamBio/171')" TargetMode="External"/><Relationship Id="rId14" Type="http://schemas.openxmlformats.org/officeDocument/2006/relationships/hyperlink" Target="javascrip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Hoj</b:Tag>
    <b:SourceType>JournalArticle</b:SourceType>
    <b:Guid>{61EDB0F2-8816-495C-9167-602B9C48B8E0}</b:Guid>
    <b:Author>
      <b:Author>
        <b:NameList>
          <b:Person>
            <b:Last>Hoje Jo</b:Last>
            <b:First>&amp;</b:First>
            <b:Middle>Maretno A. Harjoto</b:Middle>
          </b:Person>
        </b:NameList>
      </b:Author>
    </b:Author>
    <b:Title>The Causal Effect of Corporate Governance on Corporate Social Responsbility</b:Title>
    <b:JournalName>Journal of Business Ethics</b:JournalName>
    <b:Year>2012</b:Year>
    <b:Pages>53-72</b:Pages>
    <b:Volume>106</b:Volume>
    <b:RefOrder>123</b:RefOrder>
  </b:Source>
  <b:Source>
    <b:Tag>Bel05</b:Tag>
    <b:SourceType>Report</b:SourceType>
    <b:Guid>{8BDA9A90-568F-4D52-98B7-66F334D5DFFF}</b:Guid>
    <b:Author>
      <b:Author>
        <b:NameList>
          <b:Person>
            <b:Last>Beltratti</b:Last>
            <b:First>Andrea</b:First>
          </b:Person>
        </b:NameList>
      </b:Author>
    </b:Author>
    <b:Title>The complementarity between Corporate Governance and Corporate Social Responsbility</b:Title>
    <b:Year>2005</b:Year>
    <b:Pages>373-386</b:Pages>
    <b:Publisher>The International Association for the Study of Insurance Economics</b:Publisher>
    <b:City>Geneva</b:City>
    <b:ThesisType>The Geneva papers</b:ThesisType>
    <b:RefOrder>124</b:RefOrder>
  </b:Source>
  <b:Source>
    <b:Tag>Fan10</b:Tag>
    <b:SourceType>JournalArticle</b:SourceType>
    <b:Guid>{965430E8-4828-4EE9-B829-BBAAD8FB18EE}</b:Guid>
    <b:Author>
      <b:Author>
        <b:NameList>
          <b:Person>
            <b:Last>Fang.</b:Last>
            <b:First>S.R.,C.Y.</b:First>
            <b:Middle>Huang and S.W.L.Huang</b:Middle>
          </b:Person>
        </b:NameList>
      </b:Author>
    </b:Author>
    <b:Title>Corpoate Social resposbilitiy strategies, dynamic capability and organisational performance: Cases of top Taiwan-selected benchmark enterprises</b:Title>
    <b:Year>2010</b:Year>
    <b:Publisher>African</b:Publisher>
    <b:Pages>120-132</b:Pages>
    <b:JournalName>African Journal of Business Management</b:JournalName>
    <b:Volume>4</b:Volume>
    <b:Issue>1</b:Issue>
    <b:RefOrder>125</b:RefOrder>
  </b:Source>
  <b:Source>
    <b:Tag>Rah12</b:Tag>
    <b:SourceType>JournalArticle</b:SourceType>
    <b:Guid>{46D2998D-A5F7-409C-BBF0-A61B05536873}</b:Guid>
    <b:Author>
      <b:Author>
        <b:NameList>
          <b:Person>
            <b:Last>Rahimi Robab</b:Last>
            <b:First>Kangarluei</b:First>
            <b:Middle>Saied Jabbarzadeh and Shavalizadek Adel</b:Middle>
          </b:Person>
        </b:NameList>
      </b:Author>
    </b:Author>
    <b:Title>Corporate Governance Mechanisms and Corporate Social Responsbility(CSR): Evidence from Tehran Stock Exchange</b:Title>
    <b:JournalName>Middle-East Journal of Scientific Research</b:JournalName>
    <b:Year>2012</b:Year>
    <b:Pages>575-582</b:Pages>
    <b:Volume>11</b:Volume>
    <b:Issue>5</b:Issue>
    <b:RefOrder>126</b:RefOrder>
  </b:Source>
  <b:Source>
    <b:Tag>Jam08</b:Tag>
    <b:SourceType>JournalArticle</b:SourceType>
    <b:Guid>{2E13D961-5E2F-43E0-90F7-0ED8A5CBEF3C}</b:Guid>
    <b:Author>
      <b:Author>
        <b:NameList>
          <b:Person>
            <b:Last>Jamali Dima.</b:Last>
            <b:First>Asem</b:First>
            <b:Middle>M.Safieddine and Myriam Rabbath</b:Middle>
          </b:Person>
        </b:NameList>
      </b:Author>
    </b:Author>
    <b:Title>Corporate Governance and Corporate Social Responsbility Synergies and Interrelationship</b:Title>
    <b:JournalName>Journal Compilation</b:JournalName>
    <b:Year>2008</b:Year>
    <b:Pages>443-459</b:Pages>
    <b:Volume>16</b:Volume>
    <b:Issue>5</b:Issue>
    <b:RefOrder>127</b:RefOrder>
  </b:Source>
  <b:Source>
    <b:Tag>Mac</b:Tag>
    <b:SourceType>JournalArticle</b:SourceType>
    <b:Guid>{95A4C93A-439C-496F-A4B7-A0F868438154}</b:Guid>
    <b:Author>
      <b:Author>
        <b:NameList>
          <b:Person>
            <b:Last>MacMillan</b:Last>
            <b:First>K.,Money,</b:First>
            <b:Middle>K.,Downling, S. and Hillenbrad, C</b:Middle>
          </b:Person>
        </b:NameList>
      </b:Author>
    </b:Author>
    <b:Title>Giving Your Organisation SPIRIT: An overview and call to action for directors on issues of corporate governance, corporate reputation and corporate responsbility</b:Title>
    <b:JournalName>Journal of General Management</b:JournalName>
    <b:Year>2004</b:Year>
    <b:Pages>15-42</b:Pages>
    <b:Volume>30</b:Volume>
    <b:RefOrder>128</b:RefOrder>
  </b:Source>
  <b:Source>
    <b:Tag>Mul12</b:Tag>
    <b:SourceType>JournalArticle</b:SourceType>
    <b:Guid>{D66B1897-D4FF-4CF9-B037-E8DD8E3C27E0}</b:Guid>
    <b:Author>
      <b:Author>
        <b:NameList>
          <b:Person>
            <b:Last>Mulyadi Surya Martin</b:Last>
            <b:First>and</b:First>
            <b:Middle>Anwar Yunita</b:Middle>
          </b:Person>
        </b:NameList>
      </b:Author>
    </b:Author>
    <b:Title>Influence of Corporate Governance and Profitability to Corporate CSR Disclosure</b:Title>
    <b:JournalName>International Journal of Arts and Commerce</b:JournalName>
    <b:Year>2012</b:Year>
    <b:Pages>29-35</b:Pages>
    <b:Volume>1</b:Volume>
    <b:Issue>7</b:Issue>
    <b:RefOrder>129</b:RefOrder>
  </b:Source>
  <b:Source>
    <b:Tag>Bya06</b:Tag>
    <b:SourceType>JournalArticle</b:SourceType>
    <b:Guid>{9DAD3260-2B19-4A2B-9752-C1A6F93E07BE}</b:Guid>
    <b:Author>
      <b:Author>
        <b:NameList>
          <b:Person>
            <b:Last>Byard D</b:Last>
            <b:First>Li</b:First>
            <b:Middle>Y, &amp; Weintrop. J</b:Middle>
          </b:Person>
        </b:NameList>
      </b:Author>
    </b:Author>
    <b:Title>Corporate Governance and the Quality of Financial Analyst's Information</b:Title>
    <b:JournalName>Journal of Accounting and Public Policy</b:JournalName>
    <b:Year>2006</b:Year>
    <b:Pages>609-625</b:Pages>
    <b:Volume>25</b:Volume>
    <b:RefOrder>130</b:RefOrder>
  </b:Source>
  <b:Source>
    <b:Tag>Gul04</b:Tag>
    <b:SourceType>JournalArticle</b:SourceType>
    <b:Guid>{2658A792-A2AD-4D5A-A025-5C184B717430}</b:Guid>
    <b:Author>
      <b:Author>
        <b:NameList>
          <b:Person>
            <b:Last>Gul FA</b:Last>
            <b:First>&amp;</b:First>
            <b:Middle>Leung S.</b:Middle>
          </b:Person>
        </b:NameList>
      </b:Author>
    </b:Author>
    <b:Title>Board Leadership, Outside Directors' Expertiseand Voluntary CSR Disclosure</b:Title>
    <b:JournalName>Journal of Accounting and Public Policy</b:JournalName>
    <b:Year>2004</b:Year>
    <b:Pages>351-379</b:Pages>
    <b:Volume>23</b:Volume>
    <b:RefOrder>131</b:RefOrder>
  </b:Source>
  <b:Source>
    <b:Tag>Hta12</b:Tag>
    <b:SourceType>JournalArticle</b:SourceType>
    <b:Guid>{CB9DB1A0-1938-4CD4-9B09-2B2097A0D958}</b:Guid>
    <b:Author>
      <b:Author>
        <b:NameList>
          <b:Person>
            <b:Last>Htay SNN</b:Last>
            <b:First>Rashid</b:First>
            <b:Middle>HMA, Adnan, Ma and Meera, AKM</b:Middle>
          </b:Person>
        </b:NameList>
      </b:Author>
    </b:Author>
    <b:Title>Impact of Corporate Governance on Social and Environmental Information Disclosure of Malaysian Listed Banks: Panel Data Analysis</b:Title>
    <b:JournalName>Asian Journal Finance &amp; Accounting</b:JournalName>
    <b:Year>2012</b:Year>
    <b:Pages>1-24</b:Pages>
    <b:Volume>4</b:Volume>
    <b:Issue>1</b:Issue>
    <b:RefOrder>132</b:RefOrder>
  </b:Source>
  <b:Source>
    <b:Tag>JHu76</b:Tag>
    <b:SourceType>JournalArticle</b:SourceType>
    <b:Guid>{A5B0238F-74B1-448D-B961-27754E6CC416}</b:Guid>
    <b:Author>
      <b:Author>
        <b:NameList>
          <b:Person>
            <b:Last>J.</b:Last>
            <b:First>Huther</b:First>
          </b:Person>
        </b:NameList>
      </b:Author>
    </b:Author>
    <b:Title>An Empirical Tet of the Effect of Board Size on Firm Efficiency</b:Title>
    <b:JournalName>Journal Financial Economics</b:JournalName>
    <b:Year>1976</b:Year>
    <b:Pages>305-360</b:Pages>
    <b:Volume>3</b:Volume>
    <b:Issue>4</b:Issue>
    <b:RefOrder>133</b:RefOrder>
  </b:Source>
  <b:Source>
    <b:Tag>Luc12</b:Tag>
    <b:SourceType>ConferenceProceedings</b:SourceType>
    <b:Guid>{E8FB68B1-18D3-4898-B78D-10BDE32F4B8B}</b:Guid>
    <b:Author>
      <b:Author>
        <b:NameList>
          <b:Person>
            <b:Last>Lucyanda J</b:Last>
            <b:First>Siagian</b:First>
            <b:Middle>LGP</b:Middle>
          </b:Person>
        </b:NameList>
      </b:Author>
    </b:Author>
    <b:Title>The Influence of Company Characteristics Towards Corporate Social Responsbilitiy Disclosure</b:Title>
    <b:JournalName>Proceeding 2012</b:JournalName>
    <b:Year>2012</b:Year>
    <b:Pages>601-619</b:Pages>
    <b:ConferenceName>Proc2012 International Conference on Business and Management</b:ConferenceName>
    <b:RefOrder>134</b:RefOrder>
  </b:Source>
  <b:Source>
    <b:Tag>FPe11</b:Tag>
    <b:SourceType>JournalArticle</b:SourceType>
    <b:Guid>{831A4132-670B-45A9-A156-9C6684245CC7}</b:Guid>
    <b:Author>
      <b:Author>
        <b:NameList>
          <b:Person>
            <b:Last>F.Pengaruh</b:Last>
            <b:First>Meryawati</b:First>
          </b:Person>
        </b:NameList>
      </b:Author>
    </b:Author>
    <b:Title>Corpoate Governance dan Profitabilitias Terhadap Pengugkapan Tanggung jawab Social Perusahaan Yang Terdaftar Di Bursa Efek Indonesia</b:Title>
    <b:Pages>1-61</b:Pages>
    <b:Year>2011</b:Year>
    <b:JournalName>Skripsi</b:JournalName>
    <b:RefOrder>135</b:RefOrder>
  </b:Source>
  <b:Source>
    <b:Tag>Yos03</b:Tag>
    <b:SourceType>JournalArticle</b:SourceType>
    <b:Guid>{4EE81C58-ED7E-423A-9C07-88A7D430BCB3}</b:Guid>
    <b:Author>
      <b:Author>
        <b:NameList>
          <b:Person>
            <b:Last>Yoshikawa T</b:Last>
            <b:First>Phan</b:First>
            <b:Middle>PH</b:Middle>
          </b:Person>
        </b:NameList>
      </b:Author>
    </b:Author>
    <b:Title>The Performance Implications of Ownership-driven Governance Reform</b:Title>
    <b:JournalName>European Management Journal</b:JournalName>
    <b:Year>2003</b:Year>
    <b:Pages>698-706</b:Pages>
    <b:Volume>21</b:Volume>
    <b:Issue>6</b:Issue>
    <b:RefOrder>136</b:RefOrder>
  </b:Source>
  <b:Source>
    <b:Tag>Ayu09</b:Tag>
    <b:SourceType>JournalArticle</b:SourceType>
    <b:Guid>{7077D680-2F0C-4892-9C72-BD686919FEE3}</b:Guid>
    <b:Author>
      <b:Author>
        <b:NameList>
          <b:Person>
            <b:Last>Ayuso</b:Last>
            <b:First>S</b:First>
            <b:Middle>&amp; Argandona.,</b:Middle>
          </b:Person>
        </b:NameList>
      </b:Author>
    </b:Author>
    <b:Title>Responsible Corporate Governance:Towards a Stakeholder Board of Directors?</b:Title>
    <b:Year>2009</b:Year>
    <b:RefOrder>137</b:RefOrder>
  </b:Source>
  <b:Source>
    <b:Tag>Dun09</b:Tag>
    <b:SourceType>JournalArticle</b:SourceType>
    <b:Guid>{148A979A-1C35-4748-8194-949544F4AB96}</b:Guid>
    <b:Author>
      <b:Author>
        <b:NameList>
          <b:Person>
            <b:Last>Dunny</b:Last>
            <b:First>P.</b:First>
            <b:Middle>&amp; Sainty, B.</b:Middle>
          </b:Person>
        </b:NameList>
      </b:Author>
    </b:Author>
    <b:Title>The Relationship amonh Board of Directors Characteristics, Corporate Social Performance and Corporate Financial Performance</b:Title>
    <b:JournalName>International Journal of Managerial Finance</b:JournalName>
    <b:Year>2009</b:Year>
    <b:Pages>407-423</b:Pages>
    <b:Volume>5</b:Volume>
    <b:RefOrder>138</b:RefOrder>
  </b:Source>
  <b:Source>
    <b:Tag>Hua10</b:Tag>
    <b:SourceType>JournalArticle</b:SourceType>
    <b:Guid>{EE0216CF-5B4C-49BA-ABF7-2B0FC18EE87B}</b:Guid>
    <b:Author>
      <b:Author>
        <b:NameList>
          <b:Person>
            <b:Last>Huang</b:Last>
            <b:First>C.</b:First>
            <b:Middle>J.</b:Middle>
          </b:Person>
        </b:NameList>
      </b:Author>
    </b:Author>
    <b:Title>Corporate Governance, Corporate Social Responsbility and Corporate Performance</b:Title>
    <b:JournalName>Journal of Management &amp; Organisation</b:JournalName>
    <b:Year>2010</b:Year>
    <b:Pages>641-655</b:Pages>
    <b:Volume>16</b:Volume>
    <b:RefOrder>139</b:RefOrder>
  </b:Source>
  <b:Source>
    <b:Tag>Kak07</b:Tag>
    <b:SourceType>JournalArticle</b:SourceType>
    <b:Guid>{5C1673DC-5738-4577-8B73-435AF945822D}</b:Guid>
    <b:Author>
      <b:Author>
        <b:NameList>
          <b:Person>
            <b:Last>Kakabadse</b:Last>
            <b:First>A.P.</b:First>
          </b:Person>
        </b:NameList>
      </b:Author>
    </b:Author>
    <b:Title>Being Responsbile: Boards are reexamining the bottom line</b:Title>
    <b:JournalName>Leadership in Action</b:JournalName>
    <b:Year>2007</b:Year>
    <b:Pages>3-6</b:Pages>
    <b:Volume>27</b:Volume>
    <b:RefOrder>140</b:RefOrder>
  </b:Source>
  <b:Source>
    <b:Tag>Ing08</b:Tag>
    <b:SourceType>JournalArticle</b:SourceType>
    <b:Guid>{BE15D16A-4743-4647-9A6C-2A9AC51056AA}</b:Guid>
    <b:Author>
      <b:Author>
        <b:NameList>
          <b:Person>
            <b:Last>Ingley</b:Last>
            <b:First>C.B.</b:First>
          </b:Person>
        </b:NameList>
      </b:Author>
    </b:Author>
    <b:Title>Company Growth andn Board Attributes to Corporate Socia Responsbility</b:Title>
    <b:JournalName>International Journal of Business Governance and Ethics</b:JournalName>
    <b:Year>2008</b:Year>
    <b:Pages>17-39</b:Pages>
    <b:Volume>4</b:Volume>
    <b:RefOrder>141</b:RefOrder>
  </b:Source>
  <b:Source>
    <b:Tag>Ibr11</b:Tag>
    <b:SourceType>JournalArticle</b:SourceType>
    <b:Guid>{20C3B5D0-608D-492D-9B4E-7FA98A838B79}</b:Guid>
    <b:Author>
      <b:Author>
        <b:NameList>
          <b:Person>
            <b:Last>Ibrahim</b:Last>
            <b:First>N.A</b:First>
            <b:Middle>&amp;Angelidies, J.P</b:Middle>
          </b:Person>
        </b:NameList>
      </b:Author>
    </b:Author>
    <b:Title>Effect of Board Members gender on Corporate Social Responiveness orientation</b:Title>
    <b:JournalName>Journal of Applied Business Research</b:JournalName>
    <b:Year>2011</b:Year>
    <b:Pages>35-40</b:Pages>
    <b:Volume>10</b:Volume>
    <b:RefOrder>142</b:RefOrder>
  </b:Source>
  <b:Source>
    <b:Tag>Elk06</b:Tag>
    <b:SourceType>JournalArticle</b:SourceType>
    <b:Guid>{BCE9EA04-6DC1-4583-AA63-102D87B1B873}</b:Guid>
    <b:Author>
      <b:Author>
        <b:NameList>
          <b:Person>
            <b:Last>Elkington</b:Last>
            <b:First>J.</b:First>
          </b:Person>
        </b:NameList>
      </b:Author>
    </b:Author>
    <b:Title>Governance for Sustainability</b:Title>
    <b:JournalName>Corporate Governance : An International Review</b:JournalName>
    <b:Year>2006</b:Year>
    <b:Pages>522-529</b:Pages>
    <b:Volume>14</b:Volume>
    <b:RefOrder>143</b:RefOrder>
  </b:Source>
  <b:Source>
    <b:Tag>Jen</b:Tag>
    <b:SourceType>JournalArticle</b:SourceType>
    <b:Guid>{4754151D-11FB-45BF-B1AE-E6D4F132DBDC}</b:Guid>
    <b:Author>
      <b:Author>
        <b:NameList>
          <b:Person>
            <b:Last>Jensen</b:Last>
            <b:First>M.C</b:First>
            <b:Middle>and W.H. Meckling</b:Middle>
          </b:Person>
        </b:NameList>
      </b:Author>
    </b:Author>
    <b:Title>Theory of the Firm: Managerial Behaviour, Agency Costs, and Ownership Structure</b:Title>
    <b:JournalName>Journal of Financial Economics</b:JournalName>
    <b:Year>1976</b:Year>
    <b:Pages>305-360</b:Pages>
    <b:Volume>3</b:Volume>
    <b:RefOrder>144</b:RefOrder>
  </b:Source>
  <b:Source>
    <b:Tag>And04</b:Tag>
    <b:SourceType>JournalArticle</b:SourceType>
    <b:Guid>{EC6F41B0-5A70-4F4C-BA71-3457A255A5F5}</b:Guid>
    <b:Author>
      <b:Author>
        <b:NameList>
          <b:Person>
            <b:Last>Anderson</b:Last>
            <b:First>R.C.,</b:First>
            <b:Middle>S.A. Mansi and D.M. Reeb.</b:Middle>
          </b:Person>
        </b:NameList>
      </b:Author>
    </b:Author>
    <b:Title>Board Characteristics, Accounting Report Integrity, and the Cost of Debt.</b:Title>
    <b:JournalName>Journal of Accounting and Economics</b:JournalName>
    <b:Year>2004</b:Year>
    <b:Pages>315-342</b:Pages>
    <b:Volume>37</b:Volume>
    <b:RefOrder>145</b:RefOrder>
  </b:Source>
  <b:Source>
    <b:Tag>Kle2b</b:Tag>
    <b:SourceType>JournalArticle</b:SourceType>
    <b:Guid>{56446B47-ECE6-441E-8819-59B80E774141}</b:Guid>
    <b:Author>
      <b:Author>
        <b:NameList>
          <b:Person>
            <b:Last>Klein</b:Last>
            <b:First>A.</b:First>
          </b:Person>
        </b:NameList>
      </b:Author>
    </b:Author>
    <b:Title>Economic Determinants of Audit Committee Independence</b:Title>
    <b:JournalName>The Accounting Review</b:JournalName>
    <b:Year>2002b</b:Year>
    <b:Pages>435-452</b:Pages>
    <b:Volume>77</b:Volume>
    <b:Issue>2</b:Issue>
    <b:RefOrder>146</b:RefOrder>
  </b:Source>
  <b:Source>
    <b:Tag>Bro</b:Tag>
    <b:SourceType>InternetSite</b:SourceType>
    <b:Guid>{ADDB28AB-19A1-4D92-B54E-6E3F9CDDEB68}</b:Guid>
    <b:Author>
      <b:Author>
        <b:NameList>
          <b:Person>
            <b:Last>Brown</b:Last>
            <b:First>L.D.</b:First>
            <b:Middle>and Caylor, M.L.</b:Middle>
          </b:Person>
        </b:NameList>
      </b:Author>
    </b:Author>
    <b:Title>Corporate Governance and Firm Performance</b:Title>
    <b:InternetSiteTitle>Social Science Research Network</b:InternetSiteTitle>
    <b:URL>http://ssrn.com/abstract=586423</b:URL>
    <b:RefOrder>147</b:RefOrder>
  </b:Source>
  <b:Source>
    <b:Tag>All</b:Tag>
    <b:SourceType>JournalArticle</b:SourceType>
    <b:Guid>{8C003343-15B2-4201-BD24-A26F32E412A5}</b:Guid>
    <b:Author>
      <b:Author>
        <b:NameList>
          <b:Person>
            <b:Last>Allen</b:Last>
            <b:First>et.al,</b:First>
          </b:Person>
        </b:NameList>
      </b:Author>
    </b:Author>
    <b:Title>Evaluating the Corporate Board</b:Title>
    <b:Year>2004</b:Year>
    <b:JournalName>Strategic Finance</b:JournalName>
    <b:Pages>37-43</b:Pages>
    <b:Volume>85</b:Volume>
    <b:Issue>7</b:Issue>
    <b:RefOrder>148</b:RefOrder>
  </b:Source>
  <b:Source>
    <b:Tag>You</b:Tag>
    <b:SourceType>JournalArticle</b:SourceType>
    <b:Guid>{21124AE0-59A9-4451-A5FA-45FA905E092E}</b:Guid>
    <b:Author>
      <b:Author>
        <b:NameList>
          <b:Person>
            <b:Last>Young</b:Last>
            <b:First>M.N,</b:First>
            <b:Middle>A.K. Buchholtz, and D.Ahlstrom.</b:Middle>
          </b:Person>
        </b:NameList>
      </b:Author>
    </b:Author>
    <b:Title>How Can Board Members Be Empowered If They Are Spread Too Thin?</b:Title>
    <b:JournalName>S.A.M. Advanced Management Journal</b:JournalName>
    <b:Year>2003</b:Year>
    <b:Pages>4-11</b:Pages>
    <b:Volume>68</b:Volume>
    <b:Issue>4</b:Issue>
    <b:RefOrder>149</b:RefOrder>
  </b:Source>
  <b:Source>
    <b:Tag>Fic</b:Tag>
    <b:SourceType>JournalArticle</b:SourceType>
    <b:Guid>{39768B94-720D-4BC1-BEDB-CB0D633129F6}</b:Guid>
    <b:Author>
      <b:Author>
        <b:NameList>
          <b:Person>
            <b:Last>Fich E.M.</b:Last>
            <b:First>&amp;</b:First>
            <b:Middle>Shivdasani, A.</b:Middle>
          </b:Person>
        </b:NameList>
      </b:Author>
    </b:Author>
    <b:Title>Are Busy Boards Effective Monitors?</b:Title>
    <b:JournalName>The Journal of Finance</b:JournalName>
    <b:Year>2006</b:Year>
    <b:Pages>689-724</b:Pages>
    <b:Volume>61</b:Volume>
    <b:Issue>2</b:Issue>
    <b:RefOrder>150</b:RefOrder>
  </b:Source>
  <b:Source>
    <b:Tag>Dun04</b:Tag>
    <b:SourceType>JournalArticle</b:SourceType>
    <b:Guid>{37BDB4A3-E02B-4138-B571-C18BC12B4297}</b:Guid>
    <b:Author>
      <b:Author>
        <b:NameList>
          <b:Person>
            <b:Last>Dunn.P.</b:Last>
          </b:Person>
        </b:NameList>
      </b:Author>
    </b:Author>
    <b:Title>The Impact of Insider Power on Fraudulent Financial Reporting</b:Title>
    <b:JournalName>Journal of Management</b:JournalName>
    <b:Year>2004</b:Year>
    <b:Pages>397-412</b:Pages>
    <b:Volume>30</b:Volume>
    <b:Issue>3</b:Issue>
    <b:RefOrder>151</b:RefOrder>
  </b:Source>
  <b:Source>
    <b:Tag>Far05</b:Tag>
    <b:SourceType>JournalArticle</b:SourceType>
    <b:Guid>{2A2C5C0B-7BC6-4B18-8CCC-2E60FFDCFD89}</b:Guid>
    <b:Author>
      <b:Author>
        <b:NameList>
          <b:Person>
            <b:Last>Farber</b:Last>
            <b:First>D.B</b:First>
          </b:Person>
        </b:NameList>
      </b:Author>
    </b:Author>
    <b:Title>Restoring Trust After Fraud: Does Corporate Governance Matter?</b:Title>
    <b:JournalName>The Accounting Review</b:JournalName>
    <b:Year>2005</b:Year>
    <b:Pages>539-561</b:Pages>
    <b:Volume>80</b:Volume>
    <b:Issue>2</b:Issue>
    <b:RefOrder>152</b:RefOrder>
  </b:Source>
  <b:Source>
    <b:Tag>Mis10</b:Tag>
    <b:SourceType>JournalArticle</b:SourceType>
    <b:Guid>{4CAE8A85-B3F9-4412-AC1C-49E5DD11BE0E}</b:Guid>
    <b:Author>
      <b:Author>
        <b:NameList>
          <b:Person>
            <b:Last>Mishra Supriti &amp; Damodar</b:Last>
            <b:First>S.</b:First>
          </b:Person>
        </b:NameList>
      </b:Author>
    </b:Author>
    <b:Title>Does Corporate Social Responsbility Influence Firm Performance of Indian Companies</b:Title>
    <b:JournalName>Journal of Business Ethics</b:JournalName>
    <b:Year>2010</b:Year>
    <b:Pages>571-601</b:Pages>
    <b:Volume>95</b:Volume>
    <b:Issue>4</b:Issue>
    <b:RefOrder>153</b:RefOrder>
  </b:Source>
  <b:Source>
    <b:Tag>Hos07</b:Tag>
    <b:SourceType>JournalArticle</b:SourceType>
    <b:Guid>{F081ADD4-48B1-4F3E-BDC0-22F953D15F8E}</b:Guid>
    <b:Author>
      <b:Author>
        <b:NameList>
          <b:Person>
            <b:Last>Hossain.</b:Last>
            <b:First>Reaz,</b:First>
            <b:Middle>M.</b:Middle>
          </b:Person>
        </b:NameList>
      </b:Author>
    </b:Author>
    <b:Title>The Determinants and Characteristics of Voluntary Disclosure by Indian Banking Companies</b:Title>
    <b:JournalName>Corporate Socieal Responsbility Environment Management</b:JournalName>
    <b:Year>2007</b:Year>
    <b:Volume>14</b:Volume>
    <b:Issue>5</b:Issue>
    <b:Pages>274-288</b:Pages>
    <b:RefOrder>154</b:RefOrder>
  </b:Source>
  <b:Source>
    <b:Tag>Khi10</b:Tag>
    <b:SourceType>JournalArticle</b:SourceType>
    <b:Guid>{5035C587-A3D3-49AD-8981-95482B7BDD2F}</b:Guid>
    <b:Author>
      <b:Author>
        <b:NameList>
          <b:Person>
            <b:Last>Khilf</b:Last>
            <b:First>S.</b:First>
            <b:Middle>&amp; Soussi</b:Middle>
          </b:Person>
        </b:NameList>
      </b:Author>
    </b:Author>
    <b:Title>The Determinants of Corporate Disclosure: A Meta-Analysis.</b:Title>
    <b:JournalName>International Journal of Accounting and Information Management</b:JournalName>
    <b:Year>2010</b:Year>
    <b:Pages>198-219</b:Pages>
    <b:Volume>18</b:Volume>
    <b:Issue>3</b:Issue>
    <b:RefOrder>155</b:RefOrder>
  </b:Source>
  <b:Source>
    <b:Tag>Pur00</b:Tag>
    <b:SourceType>JournalArticle</b:SourceType>
    <b:Guid>{940DDD28-5241-473A-AE60-C68A35F2F106}</b:Guid>
    <b:Author>
      <b:Author>
        <b:NameList>
          <b:Person>
            <b:Last>Purushotahman</b:Last>
            <b:First>M.P.</b:First>
          </b:Person>
        </b:NameList>
      </b:Author>
    </b:Author>
    <b:Title>Determinants of Corporate Social Reporting Practices of Listed Singapore Companies.</b:Title>
    <b:JournalName>An Accounting Review</b:JournalName>
    <b:Year>2000</b:Year>
    <b:Pages>101</b:Pages>
    <b:RefOrder>156</b:RefOrder>
  </b:Source>
  <b:Source>
    <b:Tag>Ada98</b:Tag>
    <b:SourceType>JournalArticle</b:SourceType>
    <b:Guid>{17FB1E92-7BAA-4F03-BEC4-6BA452B5B1FF}</b:Guid>
    <b:Author>
      <b:Author>
        <b:NameList>
          <b:Person>
            <b:Last>Adamas</b:Last>
            <b:First>C.</b:First>
          </b:Person>
        </b:NameList>
      </b:Author>
    </b:Author>
    <b:Title>Corporate Social Reporting Practices in Western Europe: Legitimating Corporate Behavior?</b:Title>
    <b:JournalName>British Accounting Review</b:JournalName>
    <b:Year>1998</b:Year>
    <b:Pages>1-12</b:Pages>
    <b:Volume>30</b:Volume>
    <b:Issue>1</b:Issue>
    <b:RefOrder>157</b:RefOrder>
  </b:Source>
  <b:Source>
    <b:Tag>Suw04</b:Tag>
    <b:SourceType>JournalArticle</b:SourceType>
    <b:Guid>{AFE7AC35-E64E-4444-8BDF-8BF8E1E38E54}</b:Guid>
    <b:Author>
      <b:Author>
        <b:NameList>
          <b:Person>
            <b:Last>Suwaidan</b:Last>
            <b:First>M.</b:First>
          </b:Person>
        </b:NameList>
      </b:Author>
    </b:Author>
    <b:Title>Social Responsbility Disclosure and Corporate Characteristics: The Case of Jordanian Industrial Companies</b:Title>
    <b:JournalName>International Journal of Accounting , Auditing and Performance Evaluation</b:JournalName>
    <b:Year>2004</b:Year>
    <b:Pages>229-254</b:Pages>
    <b:Volume>1</b:Volume>
    <b:Issue>4</b:Issue>
    <b:RefOrder>158</b:RefOrder>
  </b:Source>
  <b:Source>
    <b:Tag>Gra</b:Tag>
    <b:SourceType>JournalArticle</b:SourceType>
    <b:Guid>{9F6676CA-FE1D-4BCD-B40B-B72AEBF0A99D}</b:Guid>
    <b:Author>
      <b:Author>
        <b:NameList>
          <b:Person>
            <b:Last>Gray et al.</b:Last>
          </b:Person>
        </b:NameList>
      </b:Author>
    </b:Author>
    <b:Title>Accounting and Accountability : Changes and challanges in Corporate Social and Environment Reporting</b:Title>
    <b:JournalName>Prentice-Hall International (UK) LTd, London.</b:JournalName>
    <b:Year>1996</b:Year>
    <b:RefOrder>159</b:RefOrder>
  </b:Source>
  <b:Source>
    <b:Tag>Cof98</b:Tag>
    <b:SourceType>JournalArticle</b:SourceType>
    <b:Guid>{A0C5CA9E-2403-43AD-BA1D-9FEDE7632D7D}</b:Guid>
    <b:Author>
      <b:Author>
        <b:NameList>
          <b:Person>
            <b:Last>Coffey</b:Last>
            <b:First>B.S.</b:First>
            <b:Middle>&amp; Wang, J.</b:Middle>
          </b:Person>
        </b:NameList>
      </b:Author>
    </b:Author>
    <b:Title>Board Diversity and Managerial Control as Predictors of Corporate Social Performance</b:Title>
    <b:JournalName>Journal of Business Ethics</b:JournalName>
    <b:Year>1998</b:Year>
    <b:Pages>1595-1603</b:Pages>
    <b:Volume>17</b:Volume>
    <b:RefOrder>160</b:RefOrder>
  </b:Source>
  <b:Source>
    <b:Tag>Bea10</b:Tag>
    <b:SourceType>JournalArticle</b:SourceType>
    <b:Guid>{884CD327-729F-4943-B147-7D177A7B4457}</b:Guid>
    <b:Author>
      <b:Author>
        <b:NameList>
          <b:Person>
            <b:Last>Bear</b:Last>
            <b:First>S.,Rahman,</b:First>
            <b:Middle>N. &amp; Post, C.</b:Middle>
          </b:Person>
        </b:NameList>
      </b:Author>
    </b:Author>
    <b:Title>The Impact of Board Diversity and Gender Composition on Corporate Social Responsbility and Firm Reputation</b:Title>
    <b:JournalName>Journal of Business Ethics</b:JournalName>
    <b:Year>2010</b:Year>
    <b:Pages>207-221</b:Pages>
    <b:Volume>97</b:Volume>
    <b:RefOrder>161</b:RefOrder>
  </b:Source>
  <b:Source>
    <b:Tag>Pos11</b:Tag>
    <b:SourceType>JournalArticle</b:SourceType>
    <b:Guid>{35E2C331-D8F4-44FD-A918-B1425F67E4CC}</b:Guid>
    <b:Author>
      <b:Author>
        <b:NameList>
          <b:Person>
            <b:Last>Post</b:Last>
            <b:First>C.,</b:First>
            <b:Middle>Rahman, N. Rubow, E</b:Middle>
          </b:Person>
        </b:NameList>
      </b:Author>
    </b:Author>
    <b:Title>Green Governance: Board of Directors Composition and Environmental Corporate Social Responsbility.</b:Title>
    <b:JournalName>Business &amp; Society</b:JournalName>
    <b:Year>2011</b:Year>
    <b:Pages>189-223</b:Pages>
    <b:Volume>50</b:Volume>
    <b:RefOrder>162</b:RefOrder>
  </b:Source>
  <b:Source>
    <b:Tag>Teo</b:Tag>
    <b:SourceType>JournalArticle</b:SourceType>
    <b:Guid>{08119516-3DEB-471B-B4CA-23737632B106}</b:Guid>
    <b:Author>
      <b:Author>
        <b:NameList>
          <b:Person>
            <b:Last>Teoh.</b:Last>
            <b:First>et</b:First>
            <b:Middle>al.,</b:Middle>
          </b:Person>
        </b:NameList>
      </b:Author>
    </b:Author>
    <b:Title>Attitutde towards Corporate Social Responsbility and Perceived Importance of Social Responsbility Information Characteristics in a Decission Context.</b:Title>
    <b:JournalName>Journal of Business Ethics</b:JournalName>
    <b:Year>1990</b:Year>
    <b:Pages>71-77</b:Pages>
    <b:Volume>9</b:Volume>
    <b:Issue>1</b:Issue>
    <b:RefOrder>163</b:RefOrder>
  </b:Source>
  <b:Source>
    <b:Tag>Nor10</b:Tag>
    <b:SourceType>JournalArticle</b:SourceType>
    <b:Guid>{AA8D5381-411F-43AD-BE29-D8F8D5328658}</b:Guid>
    <b:Title>Technical efficiency og Growth and Income Funds</b:Title>
    <b:Pages>189-202</b:Pages>
    <b:Year>2010</b:Year>
    <b:Author>
      <b:Author>
        <b:NameList>
          <b:Person>
            <b:Last>Nor Azlida Aleng Mohamad</b:Last>
            <b:First>Wan</b:First>
            <b:Middle>Muhammad Amir Wan Ahmad, Mustafa Mamat</b:Middle>
          </b:Person>
        </b:NameList>
      </b:Author>
    </b:Author>
    <b:JournalName>International Journal of Management Studies</b:JournalName>
    <b:RefOrder>164</b:RefOrder>
  </b:Source>
  <b:Source>
    <b:Tag>ten12</b:Tag>
    <b:SourceType>JournalArticle</b:SourceType>
    <b:Guid>{F74A83C0-7496-458F-88D5-ECF98A70B6AC}</b:Guid>
    <b:Title>the impact of unit trust management company fund investment on investors' risk</b:Title>
    <b:Year>2012</b:Year>
    <b:Author>
      <b:Author>
        <b:NameList>
          <b:Person>
            <b:Last>Tenk</b:Last>
            <b:First>teoh</b:First>
            <b:Middle>teng</b:Middle>
          </b:Person>
        </b:NameList>
      </b:Author>
    </b:Author>
    <b:JournalName>Asian Journal of business and Accounting</b:JournalName>
    <b:Pages>27-54</b:Pages>
    <b:RefOrder>165</b:RefOrder>
  </b:Source>
  <b:Source>
    <b:Tag>Nur13</b:Tag>
    <b:SourceType>ConferenceProceedings</b:SourceType>
    <b:Guid>{BE35799D-6DEF-4EA9-A7AD-EFFA2B9E6F3B}</b:Guid>
    <b:Title>Asset Focus, Contract and Performance of Mutual Fund: Evidence from malaysian's Funds Market</b:Title>
    <b:Year>2013</b:Year>
    <b:Pages>542-550</b:Pages>
    <b:Author>
      <b:Author>
        <b:NameList>
          <b:Person>
            <b:Last>Nur Azura Sanusi</b:Last>
            <b:First>Suhal</b:First>
            <b:Middle>Kusairi, Ema Damyanti</b:Middle>
          </b:Person>
        </b:NameList>
      </b:Author>
    </b:Author>
    <b:ConferenceName>Persidangan Kebangsaan Ekonomi Malaysia ke VII</b:ConferenceName>
    <b:City>Selangor</b:City>
    <b:Publisher>Universiti Kebangsaan Malaysia</b:Publisher>
    <b:RefOrder>166</b:RefOrder>
  </b:Source>
  <b:Source>
    <b:Tag>Placeholder1</b:Tag>
    <b:SourceType>JournalArticle</b:SourceType>
    <b:Guid>{F09847A6-5296-46A4-AC50-259D6F236367}</b:Guid>
    <b:Title>Technical efficiency og Growth and Income Funds</b:Title>
    <b:Pages>189-202</b:Pages>
    <b:Year>2010</b:Year>
    <b:Author>
      <b:Author>
        <b:NameList>
          <b:Person>
            <b:Last>Nor Azlida Aleng@Mohamad</b:Last>
            <b:First>Wan</b:First>
            <b:Middle>Muhammad Amir Wan Ahmad, Mustafa Mamat</b:Middle>
          </b:Person>
        </b:NameList>
      </b:Author>
    </b:Author>
    <b:JournalName>Internation aJournal of Management Studies</b:JournalName>
    <b:RefOrder>167</b:RefOrder>
  </b:Source>
  <b:Source>
    <b:Tag>Ric03</b:Tag>
    <b:SourceType>Report</b:SourceType>
    <b:Guid>{9D065295-C074-4594-A687-BE9EDC72DE13}</b:Guid>
    <b:Title>Effects of Mergers and Acquisitions on the Economy: An Industrial Organization Perspective</b:Title>
    <b:Year>2003</b:Year>
    <b:Publisher>Harvard University</b:Publisher>
    <b:Author>
      <b:Author>
        <b:NameList>
          <b:Person>
            <b:Last>Caves</b:Last>
            <b:First>Richard</b:First>
            <b:Middle>E.</b:Middle>
          </b:Person>
        </b:NameList>
      </b:Author>
    </b:Author>
    <b:RefOrder>168</b:RefOrder>
  </b:Source>
  <b:Source>
    <b:Tag>Doy11</b:Tag>
    <b:SourceType>JournalArticle</b:SourceType>
    <b:Guid>{5E397340-AFCB-49BF-A73C-236260412CC1}</b:Guid>
    <b:Title>Growth Effects of Mergers and Acquisitions: A Sector-level Study of OECD countrie</b:Title>
    <b:JournalName>Journal of Applied Economics and Business Research </b:JournalName>
    <b:Year>2011</b:Year>
    <b:Pages>120-129 </b:Pages>
    <b:Author>
      <b:Author>
        <b:NameList>
          <b:Person>
            <b:Last> Doytch</b:Last>
            <b:First>Nadia</b:First>
          </b:Person>
          <b:Person>
            <b:Last>Cakan </b:Last>
            <b:First>Esin </b:First>
          </b:Person>
        </b:NameList>
      </b:Author>
    </b:Author>
    <b:RefOrder>169</b:RefOrder>
  </b:Source>
  <b:Source>
    <b:Tag>Mad09</b:Tag>
    <b:SourceType>JournalArticle</b:SourceType>
    <b:Guid>{A4434A03-9B2B-416E-8402-AEFE3A9FCF7A}</b:Guid>
    <b:Title>The Effect of Mergers and Acquisitions on the Performance of Companies – The Greek Case of Ioniki-Laiki Bank and Pisteos Bank</b:Title>
    <b:JournalName>European Research Studies</b:JournalName>
    <b:Year>2009</b:Year>
    <b:Author>
      <b:Author>
        <b:NameList>
          <b:Person>
            <b:Last> Maditinos</b:Last>
            <b:First>Dimitrios</b:First>
          </b:Person>
          <b:Person>
            <b:Last> Theriou</b:Last>
            <b:First> Nikolaos</b:First>
          </b:Person>
          <b:Person>
            <b:Last>Demetriades</b:Last>
            <b:First>Efstathios </b:First>
          </b:Person>
        </b:NameList>
      </b:Author>
    </b:Author>
    <b:Volume>XII</b:Volume>
    <b:Issue>2</b:Issue>
    <b:RefOrder>170</b:RefOrder>
  </b:Source>
  <b:Source>
    <b:Tag>Con00</b:Tag>
    <b:SourceType>Report</b:SourceType>
    <b:Guid>{3E4D565C-D6E7-473A-9656-2DE79D78DFC3}</b:Guid>
    <b:Title>The Impact of Mergers and Acquisitions on Company Employment in the United Kingdom</b:Title>
    <b:Year>2000</b:Year>
    <b:Author>
      <b:Author>
        <b:NameList>
          <b:Person>
            <b:Last>Conyon</b:Last>
            <b:First>M. </b:First>
          </b:Person>
          <b:Person>
            <b:Last>Girma</b:Last>
            <b:First> S. </b:First>
          </b:Person>
          <b:Person>
            <b:Last>Thompson </b:Last>
            <b:First>S. </b:First>
          </b:Person>
          <b:Person>
            <b:Last>Wright</b:Last>
            <b:First>P. </b:First>
          </b:Person>
        </b:NameList>
      </b:Author>
    </b:Author>
    <b:Publisher>CENTRE FOR RESEARCH ON GLOBALISATION AND LABOUR MARKETS</b:Publisher>
    <b:RefOrder>171</b:RefOrder>
  </b:Source>
  <b:Source>
    <b:Tag>Ins97</b:Tag>
    <b:SourceType>BookSection</b:SourceType>
    <b:Guid>{58E2EE59-B1AB-4E34-BD21-875D5B5EFB06}</b:Guid>
    <b:Title>Measuring and managing shareholder valur creation</b:Title>
    <b:Year>1997</b:Year>
    <b:BookTitle>Business performance management</b:BookTitle>
    <b:City>Montvale</b:City>
    <b:Publisher>Institute of management accountants</b:Publisher>
    <b:Author>
      <b:Author>
        <b:Corporate>Institute of management accountants</b:Corporate>
      </b:Author>
      <b:BookAuthor>
        <b:NameList>
          <b:Person>
            <b:Last>Armitage</b:Last>
            <b:First>Howard</b:First>
          </b:Person>
          <b:Person>
            <b:Last>Jog</b:Last>
            <b:First>Vijay</b:First>
          </b:Person>
        </b:NameList>
      </b:BookAuthor>
    </b:Author>
    <b:RefOrder>172</b:RefOrder>
  </b:Source>
  <b:Source>
    <b:Tag>Asi13</b:Tag>
    <b:SourceType>JournalArticle</b:SourceType>
    <b:Guid>{9D5BF13D-64FC-467F-A8E1-A73E093DA2F5}</b:Guid>
    <b:Author>
      <b:Author>
        <b:NameList>
          <b:Person>
            <b:Last>Asikhia</b:Last>
            <b:First>Olalekan</b:First>
          </b:Person>
          <b:Person>
            <b:Last>Adeyinka</b:Last>
            <b:First>Sokefun</b:First>
          </b:Person>
        </b:NameList>
      </b:Author>
    </b:Author>
    <b:Title>Capital adequacy and banks' profitability: an empirical evidence from nigeria</b:Title>
    <b:JournalName>American International Journal od Contemptory Research</b:JournalName>
    <b:Year>2013</b:Year>
    <b:Pages>87-93</b:Pages>
    <b:Volume>3</b:Volume>
    <b:Issue>10</b:Issue>
    <b:RefOrder>173</b:RefOrder>
  </b:Source>
  <b:Source>
    <b:Tag>Ola13</b:Tag>
    <b:SourceType>JournalArticle</b:SourceType>
    <b:Guid>{A9339A36-C9F6-4ACF-8D44-806BE1A1AF48}</b:Guid>
    <b:Title>Capital Adequacy and banks' profitability: an empirical evidence from nigeria</b:Title>
    <b:Year>2013</b:Year>
    <b:Pages>87-93</b:Pages>
    <b:JournalName>International journal of contemporary research</b:JournalName>
    <b:Author>
      <b:Author>
        <b:NameList>
          <b:Person>
            <b:Last>Olalekan</b:Last>
            <b:First>Asikjia</b:First>
          </b:Person>
          <b:Person>
            <b:Last>Adeyinka</b:Last>
            <b:First>Sokefun</b:First>
          </b:Person>
        </b:NameList>
      </b:Author>
    </b:Author>
    <b:Month>October</b:Month>
    <b:Volume>3</b:Volume>
    <b:StandardNumber>10</b:StandardNumber>
    <b:RefOrder>174</b:RefOrder>
  </b:Source>
  <b:Source>
    <b:Tag>Whe12</b:Tag>
    <b:SourceType>Book</b:SourceType>
    <b:Guid>{7FE95FEC-DCA3-476B-A438-921F06923C8D}</b:Guid>
    <b:Title>Strategic management and business policy toward global sustainability</b:Title>
    <b:Year>2012</b:Year>
    <b:Publisher>Pearson</b:Publisher>
    <b:Author>
      <b:Author>
        <b:NameList>
          <b:Person>
            <b:Last>Wheelen</b:Last>
            <b:Middle>L.</b:Middle>
            <b:First>Thomas</b:First>
          </b:Person>
          <b:Person>
            <b:Last>Hunger</b:Last>
            <b:Middle>David</b:Middle>
            <b:First>J.</b:First>
          </b:Person>
        </b:NameList>
      </b:Author>
    </b:Author>
    <b:RefOrder>175</b:RefOrder>
  </b:Source>
  <b:Source>
    <b:Tag>Elt14</b:Tag>
    <b:SourceType>JournalArticle</b:SourceType>
    <b:Guid>{D16CC6C8-8F7E-467D-8EF8-15E08A6E3E61}</b:Guid>
    <b:Title>The effect of cost efficiency on stock performance of listed bank in indonesia</b:Title>
    <b:Year>2014</b:Year>
    <b:JournalName>International journel of economic research</b:JournalName>
    <b:Pages>50-56</b:Pages>
    <b:Author>
      <b:Author>
        <b:NameList>
          <b:Person>
            <b:Last>Eltivia</b:Last>
            <b:First>Nurafni</b:First>
          </b:Person>
          <b:Person>
            <b:Last>Sudarna</b:Last>
            <b:First>Made</b:First>
          </b:Person>
          <b:Person>
            <b:Last>Rosidi</b:Last>
          </b:Person>
          <b:Person>
            <b:Last>Saraswati</b:Last>
            <b:First>Erwin</b:First>
          </b:Person>
        </b:NameList>
      </b:Author>
    </b:Author>
    <b:RefOrder>176</b:RefOrder>
  </b:Source>
  <b:Source>
    <b:Tag>Sha10</b:Tag>
    <b:SourceType>JournalArticle</b:SourceType>
    <b:Guid>{6D949F6E-96DA-4A4E-A13D-956BA8300FF0}</b:Guid>
    <b:Title>Do bank mergers create shareholders value? an event study analysis</b:Title>
    <b:JournalName>Economic paper</b:JournalName>
    <b:Year>2010</b:Year>
    <b:Author>
      <b:Author>
        <b:NameList>
          <b:Person>
            <b:Last>Sharma</b:Last>
            <b:First>Varini</b:First>
          </b:Person>
        </b:NameList>
      </b:Author>
    </b:Author>
    <b:RefOrder>177</b:RefOrder>
  </b:Source>
  <b:Source>
    <b:Tag>Adh14</b:Tag>
    <b:SourceType>Report</b:SourceType>
    <b:Guid>{EDF3129F-FD9B-4B02-AB81-D385595D0DF8}</b:Guid>
    <b:Author>
      <b:Author>
        <b:NameList>
          <b:Person>
            <b:Last>Adhikari</b:Last>
            <b:First>Santosh</b:First>
          </b:Person>
        </b:NameList>
      </b:Author>
    </b:Author>
    <b:Title>Merger and acquisition as an indispinsable tool for strengthening nepalese banking and financial institutions</b:Title>
    <b:Year>2014</b:Year>
    <b:City>Lapland</b:City>
    <b:Publisher>Lapland University of Applied Sciences</b:Publisher>
    <b:YearAccessed>2016</b:YearAccessed>
    <b:MonthAccessed>August</b:MonthAccessed>
    <b:DayAccessed>08</b:DayAccessed>
    <b:URL>https://www.theseus.fi/bitstream/handle/10024/75198/Adhikari_Santosh.pdf?sequence=1</b:URL>
    <b:RefOrder>178</b:RefOrder>
  </b:Source>
  <b:Source>
    <b:Tag>Bas11</b:Tag>
    <b:SourceType>JournalArticle</b:SourceType>
    <b:Guid>{1E551BAA-4FCE-403A-81CC-EF58117162A9}</b:Guid>
    <b:Title>The Impact of Mergers and Acquisitions on Shareholders Wealth: Evidence from Pakistan</b:Title>
    <b:Year>2011</b:Year>
    <b:Author>
      <b:Author>
        <b:NameList>
          <b:Person>
            <b:Last>Bashir</b:Last>
            <b:First>A. </b:First>
          </b:Person>
          <b:Person>
            <b:Last>Sajid </b:Last>
            <b:First>M.R. </b:First>
          </b:Person>
          <b:Person>
            <b:Last>Sheikh </b:Last>
            <b:First>S.F. </b:First>
          </b:Person>
        </b:NameList>
      </b:Author>
    </b:Author>
    <b:JournalName>Middle-East Journal of Scientific Research</b:JournalName>
    <b:Pages>261-264</b:Pages>
    <b:Volume>8</b:Volume>
    <b:Issue>1</b:Issue>
    <b:StandardNumber>1990-9233</b:StandardNumber>
    <b:YearAccessed>2016</b:YearAccessed>
    <b:MonthAccessed>04</b:MonthAccessed>
    <b:DayAccessed>10</b:DayAccessed>
    <b:URL>http://www.idosi.org/mejsr/mejsr8(1)11/44.pdf</b:URL>
    <b:RefOrder>179</b:RefOrder>
  </b:Source>
  <b:Source>
    <b:Tag>Oni14</b:Tag>
    <b:SourceType>JournalArticle</b:SourceType>
    <b:Guid>{CD3F417A-74BF-4542-98FA-335C5FC03DC0}</b:Guid>
    <b:Title>Effects of mergers and acquisitions on shareholders wealth in negerian banking industry</b:Title>
    <b:Pages>52-71</b:Pages>
    <b:Year>2014</b:Year>
    <b:JournalName>British journal of marketing studies</b:JournalName>
    <b:Author>
      <b:Author>
        <b:NameList>
          <b:Person>
            <b:Last>Onikoyi</b:Last>
            <b:Middle>Adegboyega</b:Middle>
            <b:First>Idris</b:First>
          </b:Person>
          <b:Person>
            <b:Last>Awolusi</b:Last>
            <b:Middle>Dele</b:Middle>
            <b:First>Olawumi</b:First>
          </b:Person>
        </b:NameList>
      </b:Author>
    </b:Author>
    <b:Volume>2</b:Volume>
    <b:RefOrder>180</b:RefOrder>
  </b:Source>
  <b:Source>
    <b:Tag>Rob10</b:Tag>
    <b:SourceType>Book</b:SourceType>
    <b:Guid>{2F1A8921-347C-43EB-991A-ACD96FAFB775}</b:Guid>
    <b:Title>Mergers and acquisitions</b:Title>
    <b:Year>2010</b:Year>
    <b:Author>
      <b:Author>
        <b:NameList>
          <b:Person>
            <b:Last>Roberts</b:Last>
            <b:First>Alexander</b:First>
          </b:Person>
          <b:Person>
            <b:Last>Wallace</b:Last>
            <b:First>William</b:First>
          </b:Person>
          <b:Person>
            <b:Last>Moles</b:Last>
            <b:First>Peter</b:First>
          </b:Person>
        </b:NameList>
      </b:Author>
    </b:Author>
    <b:City>Great Britain</b:City>
    <b:Publisher>Edinburg Business School</b:Publisher>
    <b:RefOrder>181</b:RefOrder>
  </b:Source>
  <b:Source>
    <b:Tag>Jen83</b:Tag>
    <b:SourceType>JournalArticle</b:SourceType>
    <b:Guid>{F8C81448-C6DA-4D28-BF40-6B4852BF0D9A}</b:Guid>
    <b:Title>The market for corporate control</b:Title>
    <b:Year>1983</b:Year>
    <b:Publisher>North-Halland Publishing Company</b:Publisher>
    <b:JournalName>Journal of financial economics</b:JournalName>
    <b:Pages>5-50</b:Pages>
    <b:Author>
      <b:Author>
        <b:NameList>
          <b:Person>
            <b:Last>Jensen</b:Last>
            <b:Middle>C.</b:Middle>
            <b:First>Micheal</b:First>
          </b:Person>
          <b:Person>
            <b:Last>Ruback</b:Last>
            <b:Middle>S.</b:Middle>
            <b:First> Richard</b:First>
          </b:Person>
        </b:NameList>
      </b:Author>
    </b:Author>
    <b:RefOrder>182</b:RefOrder>
  </b:Source>
  <b:Source>
    <b:Tag>Wan09</b:Tag>
    <b:SourceType>JournalArticle</b:SourceType>
    <b:Guid>{9E8E108D-E4E4-48A5-9114-7D57DC140A14}</b:Guid>
    <b:Title>Corporate governance transfer and synergistic gains from merger and acquisitions</b:Title>
    <b:JournalName>The review of financial studies</b:JournalName>
    <b:Year>2009</b:Year>
    <b:Author>
      <b:Author>
        <b:NameList>
          <b:Person>
            <b:Last>Wang</b:Last>
            <b:First>Cong</b:First>
          </b:Person>
          <b:Person>
            <b:Last>Xie</b:Last>
            <b:First>Fie</b:First>
          </b:Person>
        </b:NameList>
      </b:Author>
    </b:Author>
    <b:Volume>22</b:Volume>
    <b:RefOrder>183</b:RefOrder>
  </b:Source>
  <b:Source>
    <b:Tag>Ola11</b:Tag>
    <b:SourceType>JournalArticle</b:SourceType>
    <b:Guid>{3BF63816-FCED-46EE-B8AE-83ECC6F199BC}</b:Guid>
    <b:Title>Control of shareholders wealth maximization in Nigeria</b:Title>
    <b:JournalName>Journal of Business systems, governance and ethics</b:JournalName>
    <b:Year>2011</b:Year>
    <b:Pages>19-24</b:Pages>
    <b:Author>
      <b:Author>
        <b:NameList>
          <b:Person>
            <b:Last>Oladipupo</b:Last>
            <b:First>A. O.</b:First>
          </b:Person>
          <b:Person>
            <b:Last>Okafor</b:Last>
            <b:First>C. O.</b:First>
          </b:Person>
        </b:NameList>
      </b:Author>
    </b:Author>
    <b:Volume>6</b:Volume>
    <b:Issue>1</b:Issue>
    <b:RefOrder>184</b:RefOrder>
  </b:Source>
  <b:Source>
    <b:Tag>Lip06</b:Tag>
    <b:SourceType>Report</b:SourceType>
    <b:Guid>{7FCFCDE2-A2EC-4FFC-A5D4-3B101E7358D4}</b:Guid>
    <b:Author>
      <b:Author>
        <b:NameList>
          <b:Person>
            <b:Last>Lipton</b:Last>
            <b:First>Martin</b:First>
          </b:Person>
        </b:NameList>
      </b:Author>
    </b:Author>
    <b:Title>Mergers waves in 19th, 20th and  21st centuries</b:Title>
    <b:Year>2006</b:Year>
    <b:Publisher>York University</b:Publisher>
    <b:RefOrder>185</b:RefOrder>
  </b:Source>
  <b:Source>
    <b:Tag>Ban11</b:Tag>
    <b:SourceType>DocumentFromInternetSite</b:SourceType>
    <b:Guid>{E6BE415D-1FE9-43FB-A3E9-F98B50AD3BE5}</b:Guid>
    <b:Title>Banking and Ratio Definitions</b:Title>
    <b:Year>2011</b:Year>
    <b:InternetSiteTitle>www.Moody's.com</b:InternetSiteTitle>
    <b:Month>February</b:Month>
    <b:YearAccessed>2016</b:YearAccessed>
    <b:MonthAccessed>August</b:MonthAccessed>
    <b:DayAccessed>20</b:DayAccessed>
    <b:URL>https://www.moodys.com/sites/products/ProductAttachments/Banking%20Account%20and%20Ratio%20Definitions.pdf</b:URL>
    <b:RefOrder>186</b:RefOrder>
  </b:Source>
  <b:Source>
    <b:Tag>Bre97</b:Tag>
    <b:SourceType>Book</b:SourceType>
    <b:Guid>{27B6F2C1-EE68-4F99-8887-86BBE403E7D3}</b:Guid>
    <b:Title>Neither man or woman. Gender in cross cultural perspective</b:Title>
    <b:Year>1997</b:Year>
    <b:Pages>198-201</b:Pages>
    <b:Author>
      <b:Author>
        <b:NameList>
          <b:Person>
            <b:Last>Brettell</b:Last>
            <b:Middle>B.</b:Middle>
            <b:First>C.</b:First>
          </b:Person>
          <b:Person>
            <b:Last>Sagen</b:Last>
            <b:Middle>F.</b:Middle>
            <b:First>C.</b:First>
          </b:Person>
        </b:NameList>
      </b:Author>
    </b:Author>
    <b:City>New Jersey</b:City>
    <b:Publisher>Prentice Hall</b:Publisher>
    <b:RefOrder>187</b:RefOrder>
  </b:Source>
  <b:Source>
    <b:Tag>Pas141</b:Tag>
    <b:SourceType>DocumentFromInternetSite</b:SourceType>
    <b:Guid>{39578439-9C35-49C9-A2E8-577CC0C09047}</b:Guid>
    <b:Title>7 Countries Giving Transgender People Fundamental Rights the U.S. Still Won't</b:Title>
    <b:InternetSiteTitle>The Movement</b:InternetSiteTitle>
    <b:Year>2014</b:Year>
    <b:Month>April</b:Month>
    <b:Day>09</b:Day>
    <b:URL>https://mic.com/articles/87149/7-countries-giving-transgender-people-fundamental-rights-the-u-s-still-won-t#.90gx7zuDM</b:URL>
    <b:Author>
      <b:Author>
        <b:NameList>
          <b:Person>
            <b:Last>Pasquesoone</b:Last>
            <b:First>V.</b:First>
          </b:Person>
        </b:NameList>
      </b:Author>
    </b:Author>
    <b:YearAccessed>2017</b:YearAccessed>
    <b:MonthAccessed>March</b:MonthAccessed>
    <b:DayAccessed>29</b:DayAccessed>
    <b:RefOrder>188</b:RefOrder>
  </b:Source>
  <b:Source>
    <b:Tag>Akh16</b:Tag>
    <b:SourceType>Report</b:SourceType>
    <b:Guid>{EA952C22-7B7B-4DD8-8F0C-E92C80790494}</b:Guid>
    <b:Title>AKHUWAT Symbolising Compassion and Equity PHILOSOPHY - PROGRAMS - PROGRESS - 2016</b:Title>
    <b:Year>2016</b:Year>
    <b:Author>
      <b:Author>
        <b:Corporate>Akhuwat</b:Corporate>
      </b:Author>
    </b:Author>
    <b:City>Lahore</b:City>
    <b:Publisher>Warq</b:Publisher>
    <b:RefOrder>189</b:RefOrder>
  </b:Source>
  <b:Source>
    <b:Tag>Coc03</b:Tag>
    <b:SourceType>JournalArticle</b:SourceType>
    <b:Guid>{752EB2A4-8E7E-4318-8FAE-FC94A05E57E8}</b:Guid>
    <b:Title>Prevalence of mental disorders, psychological distress, and mental health services use among lesbian, gay, and bisexual adults in the United States</b:Title>
    <b:JournalName>Journal of Consult Clinical Psychology</b:JournalName>
    <b:Year>2003</b:Year>
    <b:Pages>53-61</b:Pages>
    <b:Author>
      <b:Author>
        <b:NameList>
          <b:Person>
            <b:Last>Cochran</b:Last>
            <b:Middle>D.</b:Middle>
            <b:First>S.</b:First>
          </b:Person>
          <b:Person>
            <b:Last> Mays</b:Last>
            <b:Middle>M.</b:Middle>
            <b:First>V.</b:First>
          </b:Person>
          <b:Person>
            <b:Last>Sullivan</b:Last>
            <b:Middle>G.</b:Middle>
            <b:First>J.</b:First>
          </b:Person>
        </b:NameList>
      </b:Author>
    </b:Author>
    <b:Volume>71</b:Volume>
    <b:RefOrder>190</b:RefOrder>
  </b:Source>
  <b:Source>
    <b:Tag>San01</b:Tag>
    <b:SourceType>JournalArticle</b:SourceType>
    <b:Guid>{BC994BED-1A44-4F88-B225-D20D2517D108}</b:Guid>
    <b:Title>Same-sex sexual behavior and psychiatric disorders: findings from the Netherlands Mental Health Survey and Incidence Study (NEMESIS)</b:Title>
    <b:JournalName>Arch Gen Psychiatry</b:JournalName>
    <b:Year>2001</b:Year>
    <b:Pages>85-91</b:Pages>
    <b:Author>
      <b:Author>
        <b:NameList>
          <b:Person>
            <b:Last>Sandfort</b:Last>
            <b:First>T.</b:First>
          </b:Person>
          <b:Person>
            <b:Last>Graaf</b:Last>
            <b:First>R.</b:First>
          </b:Person>
          <b:Person>
            <b:Last> Bijl</b:Last>
            <b:First>R.</b:First>
          </b:Person>
          <b:Person>
            <b:Last>Schnabel</b:Last>
            <b:First>P.</b:First>
          </b:Person>
        </b:NameList>
      </b:Author>
    </b:Author>
    <b:Volume>58</b:Volume>
    <b:RefOrder>191</b:RefOrder>
  </b:Source>
  <b:Source>
    <b:Tag>Ade12</b:Tag>
    <b:SourceType>JournalArticle</b:SourceType>
    <b:Guid>{75ACD056-B6A8-4CFE-B4FE-5FA2F24E90F9}</b:Guid>
    <b:Title>Practice Parameter on Gay, Lesbian, or Bisexual Sexual Orientation, Gender Nonconformity, and Gender Discordance in Children and Adolescents</b:Title>
    <b:JournalName>JOURNAL OF THE AMERICAN ACADEMY OF CHILD &amp; ADOLESCENT PSYCHIATRY</b:JournalName>
    <b:Year>2012</b:Year>
    <b:Pages>957–974</b:Pages>
    <b:Author>
      <b:Author>
        <b:NameList>
          <b:Person>
            <b:Last>Adelson</b:Last>
            <b:Middle>L.</b:Middle>
            <b:First>S.</b:First>
          </b:Person>
        </b:NameList>
      </b:Author>
    </b:Author>
    <b:Volume>51</b:Volume>
    <b:Issue>9</b:Issue>
    <b:DOI>10.1016/j.jaac.2012.07.004</b:DOI>
    <b:RefOrder>192</b:RefOrder>
  </b:Source>
  <b:Source>
    <b:Tag>Int081</b:Tag>
    <b:SourceType>Report</b:SourceType>
    <b:Guid>{AA09E470-74F0-4B23-8401-BDF141E237F5}</b:Guid>
    <b:Title>Human Rights and Transgender People in Pakistan</b:Title>
    <b:Year>2008</b:Year>
    <b:Author>
      <b:Author>
        <b:Corporate>International Gay and Lesbian Human Rights Commission</b:Corporate>
      </b:Author>
    </b:Author>
    <b:Publisher>author</b:Publisher>
    <b:YearAccessed>2017</b:YearAccessed>
    <b:MonthAccessed>May</b:MonthAccessed>
    <b:DayAccessed>05</b:DayAccessed>
    <b:URL>www.iglhrc.org</b:URL>
    <b:RefOrder>193</b:RefOrder>
  </b:Source>
  <b:Source>
    <b:Tag>Aur16</b:Tag>
    <b:SourceType>Report</b:SourceType>
    <b:Guid>{BD141F13-1F24-4304-AA6C-BBC101DAD16F}</b:Guid>
    <b:Author>
      <b:Author>
        <b:Corporate>Aurat Foundation</b:Corporate>
      </b:Author>
    </b:Author>
    <b:Title>Silent No More Transgender Community in Pakistan</b:Title>
    <b:Year>2016</b:Year>
    <b:Publisher>Aurat Foundation and Information Services Foundation, Gender Equity Program</b:Publisher>
    <b:RefOrder>194</b:RefOrder>
  </b:Source>
  <b:Source>
    <b:Tag>Bar151</b:Tag>
    <b:SourceType>JournalArticle</b:SourceType>
    <b:Guid>{0B2CF086-C1A2-4C64-99C4-79589E4EF6B1}</b:Guid>
    <b:Title>Demographic and Psychosocial Factors Associated With Psychological Distress and Resilience Among Transgender Individuals</b:Title>
    <b:Year>2015</b:Year>
    <b:JournalName>American Journal of Public Health</b:JournalName>
    <b:Author>
      <b:Author>
        <b:NameList>
          <b:Person>
            <b:Last>Bariola</b:Last>
            <b:First>E.</b:First>
          </b:Person>
          <b:Person>
            <b:Last> Lyons</b:Last>
            <b:First>A.</b:First>
          </b:Person>
          <b:Person>
            <b:Last>Leonard</b:Last>
            <b:First>W.</b:First>
          </b:Person>
          <b:Person>
            <b:Last>Pitts</b:Last>
            <b:First>M.</b:First>
          </b:Person>
          <b:Person>
            <b:Last>Badcoc</b:Last>
            <b:First>P.</b:First>
          </b:Person>
          <b:Person>
            <b:Last>Couch</b:Last>
            <b:First>M.</b:First>
          </b:Person>
        </b:NameList>
      </b:Author>
    </b:Author>
    <b:Volume>105</b:Volume>
    <b:Issue>10</b:Issue>
    <b:DOI>10.2105/AJPH.2015. 302763</b:DOI>
    <b:RefOrder>195</b:RefOrder>
  </b:Source>
  <b:Source>
    <b:Tag>Boc131</b:Tag>
    <b:SourceType>JournalArticle</b:SourceType>
    <b:Guid>{43B605D4-8892-4854-9A5A-CA7C06FF726E}</b:Guid>
    <b:Title>Stigma, Mental Health, and Resilience in an Online Sample of the US Transgender Population</b:Title>
    <b:JournalName>American Journal of Public Health</b:JournalName>
    <b:Year>2013</b:Year>
    <b:Pages>943-951</b:Pages>
    <b:Author>
      <b:Author>
        <b:NameList>
          <b:Person>
            <b:Last> Bockting</b:Last>
            <b:Middle>O.</b:Middle>
            <b:First>W.</b:First>
          </b:Person>
          <b:Person>
            <b:Last> Miner</b:Last>
            <b:Middle>H.</b:Middle>
            <b:First>M.</b:First>
          </b:Person>
          <b:Person>
            <b:Last>Rebecca</b:Last>
            <b:Middle>S.</b:Middle>
            <b:First>E.</b:First>
          </b:Person>
          <b:Person>
            <b:Last>Hamilton</b:Last>
            <b:First>A.</b:First>
          </b:Person>
          <b:Person>
            <b:Last>Coleman</b:Last>
            <b:First>E.</b:First>
          </b:Person>
        </b:NameList>
      </b:Author>
    </b:Author>
    <b:Volume>103</b:Volume>
    <b:Issue>5</b:Issue>
    <b:DOI>10.2105/AJPH.2013.301241</b:DOI>
    <b:RefOrder>196</b:RefOrder>
  </b:Source>
  <b:Source>
    <b:Tag>Akh162</b:Tag>
    <b:SourceType>DocumentFromInternetSite</b:SourceType>
    <b:Guid>{F96DF887-383E-47CD-BDF8-4E0E85F1A53B}</b:Guid>
    <b:Title>Transgender in Pakistan</b:Title>
    <b:InternetSiteTitle>News Pakistan</b:InternetSiteTitle>
    <b:Year>2016</b:Year>
    <b:Month>Feburary</b:Month>
    <b:Day>29</b:Day>
    <b:URL>http://www.newspakistan.tv/transgender-in-pakistan-by-mahwish-akhtar-jinnah-university-for-women/</b:URL>
    <b:Author>
      <b:Author>
        <b:NameList>
          <b:Person>
            <b:Last>Akhtar</b:Last>
            <b:First>M.</b:First>
          </b:Person>
        </b:NameList>
      </b:Author>
    </b:Author>
    <b:YearAccessed>2017</b:YearAccessed>
    <b:MonthAccessed>May</b:MonthAccessed>
    <b:DayAccessed>05</b:DayAccessed>
    <b:RefOrder>197</b:RefOrder>
  </b:Source>
  <b:Source>
    <b:Tag>Fio061</b:Tag>
    <b:SourceType>JournalArticle</b:SourceType>
    <b:Guid>{4B643C36-7F65-4486-B877-257E76FF57E0}</b:Guid>
    <b:Title>Social relations and depressive symptomatology: Self-efficacy as a mediator</b:Title>
    <b:Year>2006</b:Year>
    <b:JournalName>Aging &amp; Mental Health</b:JournalName>
    <b:Pages>227-239</b:Pages>
    <b:Author>
      <b:Author>
        <b:NameList>
          <b:Person>
            <b:Last>Fiori</b:Last>
            <b:Middle>L.</b:Middle>
            <b:First>K.</b:First>
          </b:Person>
          <b:Person>
            <b:Last>McIlvane</b:Last>
            <b:Middle>M.</b:Middle>
            <b:First>J.</b:First>
          </b:Person>
          <b:Person>
            <b:Last>Brown</b:Last>
            <b:Middle>E.</b:Middle>
            <b:First>E.</b:First>
          </b:Person>
          <b:Person>
            <b:Last>Antonucci</b:Last>
            <b:Middle>C.</b:Middle>
            <b:First>T.</b:First>
          </b:Person>
        </b:NameList>
      </b:Author>
    </b:Author>
    <b:Volume>10</b:Volume>
    <b:Issue>3</b:Issue>
    <b:DOI>10.1080/13607860500310 690</b:DOI>
    <b:RefOrder>198</b:RefOrder>
  </b:Source>
  <b:Source>
    <b:Tag>Wri06</b:Tag>
    <b:SourceType>JournalArticle</b:SourceType>
    <b:Guid>{F6E1ED3F-4B6C-424F-BB15-CEB88B28D7D2}</b:Guid>
    <b:Title>Sexual Identity Distress, Social Support, and the Health of Gay, Lesbian, and Bisexual Youth</b:Title>
    <b:JournalName>Journal of Homosexuality</b:JournalName>
    <b:Year>2006</b:Year>
    <b:Pages>81-110</b:Pages>
    <b:Volume>51</b:Volume>
    <b:Issue>1</b:Issue>
    <b:DOI>10.1300/J082v51n01_05</b:DOI>
    <b:Author>
      <b:Author>
        <b:NameList>
          <b:Person>
            <b:Last>Wright</b:Last>
            <b:Middle>R.</b:Middle>
            <b:First>E.</b:First>
          </b:Person>
          <b:Person>
            <b:Last>Perry</b:Last>
            <b:Middle>L.</b:Middle>
            <b:First>B.</b:First>
          </b:Person>
        </b:NameList>
      </b:Author>
    </b:Author>
    <b:RefOrder>199</b:RefOrder>
  </b:Source>
  <b:Source>
    <b:Tag>Dom12</b:Tag>
    <b:SourceType>JournalArticle</b:SourceType>
    <b:Guid>{1D11978F-3D8B-4E8F-9C8F-75DD279D156E}</b:Guid>
    <b:Title>Social Support and Life Satisfaction Among Gay Men in Spain</b:Title>
    <b:JournalName>Journal of Homosexuality</b:JournalName>
    <b:Year>2012</b:Year>
    <b:Pages>241–255</b:Pages>
    <b:Volume>59</b:Volume>
    <b:Issue>2</b:Issue>
    <b:DOI>10.1080/00918369.2012. 648879</b:DOI>
    <b:Author>
      <b:Author>
        <b:NameList>
          <b:Person>
            <b:Last>Domínguez-Fuentes</b:Last>
            <b:Middle>M.</b:Middle>
            <b:First>J.</b:First>
          </b:Person>
          <b:Person>
            <b:Last>Hombrados-Mendieta</b:Last>
            <b:Middle>I.</b:Middle>
            <b:First>M.</b:First>
          </b:Person>
          <b:Person>
            <b:Last>GarcÍa-Leiva</b:Last>
            <b:First>P.</b:First>
          </b:Person>
        </b:NameList>
      </b:Author>
    </b:Author>
    <b:RefOrder>200</b:RefOrder>
  </b:Source>
  <b:Source>
    <b:Tag>Wan14</b:Tag>
    <b:SourceType>JournalArticle</b:SourceType>
    <b:Guid>{F786ED65-118C-48F9-B298-F23103930104}</b:Guid>
    <b:Title>Social support moderates stress effects on depression</b:Title>
    <b:JournalName>International Journal of Mental Health Systems</b:JournalName>
    <b:Year>2014</b:Year>
    <b:Pages>41</b:Pages>
    <b:Volume>8</b:Volume>
    <b:Issue>1</b:Issue>
    <b:DOI>10.1186/1752-4458-8-41</b:DOI>
    <b:Author>
      <b:Author>
        <b:NameList>
          <b:Person>
            <b:Last>Wang</b:Last>
            <b:First>X.</b:First>
          </b:Person>
          <b:Person>
            <b:Last>Cai</b:Last>
            <b:First>L.</b:First>
          </b:Person>
          <b:Person>
            <b:Last>Qian</b:Last>
            <b:First>J.</b:First>
          </b:Person>
          <b:Person>
            <b:Last>Peng</b:Last>
            <b:First>J.</b:First>
          </b:Person>
        </b:NameList>
      </b:Author>
    </b:Author>
    <b:RefOrder>201</b:RefOrder>
  </b:Source>
  <b:Source>
    <b:Tag>Nwo171</b:Tag>
    <b:SourceType>JournalArticle</b:SourceType>
    <b:Guid>{36F851F9-4229-4B5C-86B6-9ED46F6840E2}</b:Guid>
    <b:Title>Social support, self-efficacy and gender as predictors of reported stress among inpatient caregivers</b:Title>
    <b:JournalName>The Social Science Journal</b:JournalName>
    <b:Year>2017</b:Year>
    <b:Pages>115-119</b:Pages>
    <b:Volume>54</b:Volume>
    <b:Issue>2</b:Issue>
    <b:DOI>10.1016/j.soscij.2016.08.001</b:DOI>
    <b:Author>
      <b:Author>
        <b:NameList>
          <b:Person>
            <b:Last>Nwoke</b:Last>
            <b:Middle>B.</b:Middle>
            <b:First>M.</b:First>
          </b:Person>
          <b:Person>
            <b:Last>Onuigbo</b:Last>
            <b:Middle>N.</b:Middle>
            <b:First>E.</b:First>
          </b:Person>
          <b:Person>
            <b:Last>Odo</b:Last>
            <b:Middle>O.</b:Middle>
            <b:First>V.</b:First>
          </b:Person>
        </b:NameList>
      </b:Author>
    </b:Author>
    <b:RefOrder>202</b:RefOrder>
  </b:Source>
  <b:Source>
    <b:Tag>Wan151</b:Tag>
    <b:SourceType>JournalArticle</b:SourceType>
    <b:Guid>{7BF0D65B-0F62-413A-A721-E56FAF96689D}</b:Guid>
    <b:Title>Relationship between social support and self-efficacy in women psychiatrists</b:Title>
    <b:JournalName>Chinese Nursing Research</b:JournalName>
    <b:Year>2015</b:Year>
    <b:Pages>103-106</b:Pages>
    <b:Volume>2</b:Volume>
    <b:Issue>4</b:Issue>
    <b:DOI>10.1016/j.cnre.2015.10.002</b:DOI>
    <b:Author>
      <b:Author>
        <b:NameList>
          <b:Person>
            <b:Last>Wanga</b:Last>
            <b:Middle>M.</b:Middle>
            <b:First>C.</b:First>
          </b:Person>
          <b:Person>
            <b:Last>Qub</b:Last>
            <b:Middle>Y.</b:Middle>
            <b:First>H.</b:First>
          </b:Person>
          <b:Person>
            <b:Last>Xuc</b:Last>
            <b:Middle>M.</b:Middle>
            <b:First>H,</b:First>
          </b:Person>
        </b:NameList>
      </b:Author>
    </b:Author>
    <b:RefOrder>203</b:RefOrder>
  </b:Source>
  <b:Source>
    <b:Tag>Bar86</b:Tag>
    <b:SourceType>JournalArticle</b:SourceType>
    <b:Guid>{15F95B6B-6D3A-4735-AC46-35411C8A7BEC}</b:Guid>
    <b:Title>The moderator-mediator variable distinction in social psychological research: Conceptual, strategic and statistical considerations</b:Title>
    <b:JournalName>Journal of Personality and Social Psychology</b:JournalName>
    <b:Year>1986</b:Year>
    <b:Pages>1173-1182</b:Pages>
    <b:Volume>51</b:Volume>
    <b:Author>
      <b:Author>
        <b:NameList>
          <b:Person>
            <b:Last>Baron</b:Last>
            <b:Middle>M.</b:Middle>
            <b:First>R.</b:First>
          </b:Person>
          <b:Person>
            <b:Last>Kenny</b:Last>
            <b:Middle>A.</b:Middle>
            <b:First>D.</b:First>
          </b:Person>
        </b:NameList>
      </b:Author>
    </b:Author>
    <b:RefOrder>204</b:RefOrder>
  </b:Source>
  <b:Source>
    <b:Tag>Bar001</b:Tag>
    <b:SourceType>JournalArticle</b:SourceType>
    <b:Guid>{C8DFB38B-081C-4F49-8429-7FCD646B24E1}</b:Guid>
    <b:Title>Is Gender Identity Disorder in Children a Mental Disorder?</b:Title>
    <b:JournalName>Sex Roles</b:JournalName>
    <b:Year>2000</b:Year>
    <b:Pages>753-785</b:Pages>
    <b:Author>
      <b:Author>
        <b:NameList>
          <b:Person>
            <b:Last>Bartlett</b:Last>
            <b:Middle>H.</b:Middle>
            <b:First>N.</b:First>
          </b:Person>
          <b:Person>
            <b:Last>Vasey</b:Last>
            <b:Middle>L.</b:Middle>
            <b:First>P.</b:First>
          </b:Person>
          <b:Person>
            <b:Last>Bukowski</b:Last>
            <b:Middle>M.</b:Middle>
            <b:First>W.</b:First>
          </b:Person>
        </b:NameList>
      </b:Author>
    </b:Author>
    <b:Volume>43</b:Volume>
    <b:Issue>11-12</b:Issue>
    <b:DOI>10.1023/A:1011004431889</b:DOI>
    <b:RefOrder>205</b:RefOrder>
  </b:Source>
  <b:Source>
    <b:Tag>Sco00</b:Tag>
    <b:SourceType>JournalArticle</b:SourceType>
    <b:Guid>{2660E140-3483-4F9C-A8E3-E0AC1FA8B84D}</b:Guid>
    <b:Title>A Dogma for EFL</b:Title>
    <b:Year>2000</b:Year>
    <b:Author>
      <b:Author>
        <b:NameList>
          <b:Person>
            <b:Last>Thornbury</b:Last>
            <b:First>Scott</b:First>
          </b:Person>
        </b:NameList>
      </b:Author>
    </b:Author>
    <b:JournalName>International Association of Teachers of English as a Foreign Language</b:JournalName>
    <b:Pages>2</b:Pages>
    <b:RefOrder>206</b:RefOrder>
  </b:Source>
  <b:Source>
    <b:Tag>Sco05</b:Tag>
    <b:SourceType>ArticleInAPeriodical</b:SourceType>
    <b:Guid>{7D2ECDFF-4F89-4B31-B5F2-4A03C3AB7077}</b:Guid>
    <b:Title>Dogme: Dancing in the Dark</b:Title>
    <b:Year>2005</b:Year>
    <b:Author>
      <b:Author>
        <b:NameList>
          <b:Person>
            <b:Last>Thornbury</b:Last>
            <b:First>Scott</b:First>
          </b:Person>
        </b:NameList>
      </b:Author>
    </b:Author>
    <b:PeriodicalTitle>Folio</b:PeriodicalTitle>
    <b:Month>January</b:Month>
    <b:Day>2</b:Day>
    <b:Pages>3-5</b:Pages>
    <b:RefOrder>207</b:RefOrder>
  </b:Source>
  <b:Source>
    <b:Tag>Luk09</b:Tag>
    <b:SourceType>Book</b:SourceType>
    <b:Guid>{ABDC6DCD-23F7-46C7-8A22-A3EE626F970B}</b:Guid>
    <b:Title>Teaching Unplugged: Dogme in English Teaching</b:Title>
    <b:Year>2009</b:Year>
    <b:Author>
      <b:Author>
        <b:NameList>
          <b:Person>
            <b:Last>Thornbury</b:Last>
            <b:First>Luke</b:First>
            <b:Middle>Meddings and Scott</b:Middle>
          </b:Person>
        </b:NameList>
      </b:Author>
    </b:Author>
    <b:City>Peaslake</b:City>
    <b:Publisher>Delta Publishing</b:Publisher>
    <b:RefOrder>208</b:RefOrder>
  </b:Source>
  <b:Source>
    <b:Tag>Abd16</b:Tag>
    <b:SourceType>Report</b:SourceType>
    <b:Guid>{1B4F8676-2232-4FA1-8329-C785E53D9624}</b:Guid>
    <b:Title>Dogme ELT: What do teachers and students think?</b:Title>
    <b:Year>2016</b:Year>
    <b:Publisher>ResearchGate</b:Publisher>
    <b:Author>
      <b:Author>
        <b:NameList>
          <b:Person>
            <b:Last>Coskun</b:Last>
            <b:First>Abdullah</b:First>
          </b:Person>
        </b:NameList>
      </b:Author>
    </b:Author>
    <b:RefOrder>209</b:RefOrder>
  </b:Source>
  <b:Source>
    <b:Tag>DRR15</b:Tag>
    <b:SourceType>Report</b:SourceType>
    <b:Guid>{68A37042-4CF0-497B-87D0-330E330709B7}</b:Guid>
    <b:Author>
      <b:Author>
        <b:NameList>
          <b:Person>
            <b:Last>Rahul</b:Last>
            <b:First>D.R.</b:First>
          </b:Person>
        </b:NameList>
      </b:Author>
    </b:Author>
    <b:Title>A Critique on Dogme ELT</b:Title>
    <b:Year>2015</b:Year>
    <b:Publisher>ResearchGate</b:Publisher>
    <b:RefOrder>210</b:RefOrder>
  </b:Source>
  <b:Source>
    <b:Tag>Sim15</b:Tag>
    <b:SourceType>Report</b:SourceType>
    <b:Guid>{A3CD0D7C-A6FD-4C23-BDE2-BC50E86179AB}</b:Guid>
    <b:Author>
      <b:Author>
        <b:NameList>
          <b:Person>
            <b:Last>Borg</b:Last>
            <b:First>Simon</b:First>
          </b:Person>
        </b:NameList>
      </b:Author>
    </b:Author>
    <b:Title>English Medium Instruction in Iraqi Kurdistan</b:Title>
    <b:Year>2015</b:Year>
    <b:Publisher>British Council</b:Publisher>
    <b:City>London</b:City>
    <b:RefOrder>211</b:RefOrder>
  </b:Source>
  <b:Source>
    <b:Tag>Der16</b:Tag>
    <b:SourceType>InternetSite</b:SourceType>
    <b:Guid>{F8866D84-7A6B-4F6F-AB71-32D7582B64A5}</b:Guid>
    <b:Title>Solutions for Teaching in an Overcrowded Classroom</b:Title>
    <b:Year>2016</b:Year>
    <b:Author>
      <b:Author>
        <b:NameList>
          <b:Person>
            <b:Last>Meador</b:Last>
            <b:First>Derrick</b:First>
          </b:Person>
        </b:NameList>
      </b:Author>
    </b:Author>
    <b:InternetSiteTitle>ThoughtCo.</b:InternetSiteTitle>
    <b:Month>October</b:Month>
    <b:Day>17</b:Day>
    <b:YearAccessed>2017</b:YearAccessed>
    <b:MonthAccessed>August</b:MonthAccessed>
    <b:DayAccessed>3</b:DayAccessed>
    <b:URL>https://www.thoughtco.com/teaching-in-an-overcrowded-classroom-3194352</b:URL>
    <b:RefOrder>212</b:RefOrder>
  </b:Source>
  <b:Source>
    <b:Tag>Tur14</b:Tag>
    <b:SourceType>InternetSite</b:SourceType>
    <b:Guid>{EF99024E-9A1D-4E5A-BB26-6E940A316B05}</b:Guid>
    <b:Title>U.S. Tests Teens A Lot, But Worldwide, Exam Stakes Are Higher</b:Title>
    <b:Year>2014</b:Year>
    <b:Author>
      <b:Author>
        <b:NameList>
          <b:Person>
            <b:Last>Turner</b:Last>
            <b:First>Cory</b:First>
          </b:Person>
        </b:NameList>
      </b:Author>
    </b:Author>
    <b:Month>April </b:Month>
    <b:Day>30</b:Day>
    <b:InternetSiteTitle>NPR</b:InternetSiteTitle>
    <b:YearAccessed>2017</b:YearAccessed>
    <b:MonthAccessed>August</b:MonthAccessed>
    <b:DayAccessed>7</b:DayAccessed>
    <b:URL>http://www.npr.org/2014/04/30/308057862/u-s-tests-teens-a-lot-but-worldwide-exam-stakes-are-higher</b:URL>
    <b:RefOrder>213</b:RefOrder>
  </b:Source>
  <b:Source>
    <b:Tag>Mah15</b:Tag>
    <b:SourceType>Report</b:SourceType>
    <b:Guid>{8965844C-2428-48D9-88F5-8878018FFB6D}</b:Guid>
    <b:Author>
      <b:Author>
        <b:NameList>
          <b:Person>
            <b:Last>Sofi-Karim</b:Last>
            <b:First>Mahdi</b:First>
          </b:Person>
        </b:NameList>
      </b:Author>
    </b:Author>
    <b:Title>English Language Teaching in the Kurdistan Region of Iraq</b:Title>
    <b:Year>2015</b:Year>
    <b:Publisher>Webster University--ResearchGate</b:Publisher>
    <b:City>Webster Grove</b:City>
    <b:RefOrder>214</b:RefOrder>
  </b:Source>
  <b:Source>
    <b:Tag>UNE12</b:Tag>
    <b:SourceType>Report</b:SourceType>
    <b:Guid>{724F68B8-AE9A-4344-8766-E92C4AFF5EF9}</b:Guid>
    <b:Author>
      <b:Author>
        <b:NameList>
          <b:Person>
            <b:Last>UNESCO</b:Last>
          </b:Person>
        </b:NameList>
      </b:Author>
    </b:Author>
    <b:Title>Iraqi Curriculum Framework</b:Title>
    <b:Year>2012</b:Year>
    <b:Publisher>United Nations Educational, Scientific, and Cultural Organization</b:Publisher>
    <b:City>Amman</b:City>
    <b:RefOrder>215</b:RefOrder>
  </b:Source>
  <b:Source>
    <b:Tag>Ham15</b:Tag>
    <b:SourceType>JournalArticle</b:SourceType>
    <b:Guid>{85993B02-0B14-4B92-AB22-0246D23AF8CB}</b:Guid>
    <b:Title>Examining EFL Secondary Reading Curriculum in Iraqi Kurdistan: A Review</b:Title>
    <b:Year>2015</b:Year>
    <b:Author>
      <b:Author>
        <b:NameList>
          <b:Person>
            <b:Last>Hamsa Hameed Ahmed</b:Last>
            <b:First>Fariza</b:First>
            <b:Middle>Puteh-Behak and Harison Mohd Sidek</b:Middle>
          </b:Person>
        </b:NameList>
      </b:Author>
    </b:Author>
    <b:JournalName>Journal of Applied Sciences</b:JournalName>
    <b:Pages>377-391</b:Pages>
    <b:RefOrder>216</b:RefOrder>
  </b:Source>
  <b:Source xmlns:b="http://schemas.openxmlformats.org/officeDocument/2006/bibliography">
    <b:Tag>Sco09</b:Tag>
    <b:SourceType>DocumentFromInternetSite</b:SourceType>
    <b:Guid>{A3A78291-B684-4317-9B0C-4F03C8264DB1}</b:Guid>
    <b:Title>Scott Thornbury</b:Title>
    <b:Year>2009</b:Year>
    <b:Author>
      <b:Author>
        <b:NameList>
          <b:Person>
            <b:Last>Thornbury</b:Last>
            <b:First>Scott</b:First>
          </b:Person>
        </b:NameList>
      </b:Author>
    </b:Author>
    <b:InternetSiteTitle>Delta Publishing Blog.</b:InternetSiteTitle>
    <b:Month>June</b:Month>
    <b:Day>23</b:Day>
    <b:YearAccessed>2017</b:YearAccessed>
    <b:MonthAccessed>August</b:MonthAccessed>
    <b:DayAccessed>16</b:DayAccessed>
    <b:URL>http://www.deltapublishing.co.uk/author/scott-thornbury</b:URL>
    <b:RefOrder>217</b:RefOrder>
  </b:Source>
  <b:Source>
    <b:Tag>Abd17</b:Tag>
    <b:SourceType>JournalArticle</b:SourceType>
    <b:Guid>{1FF97693-2AED-4EC9-B778-3D7618C4F663}</b:Guid>
    <b:Author>
      <b:Author>
        <b:NameList>
          <b:Person>
            <b:Last>Mhamad</b:Last>
            <b:First>Abdurrahman</b:First>
            <b:Middle>Wahab and Aras Ahmed</b:Middle>
          </b:Person>
        </b:NameList>
      </b:Author>
    </b:Author>
    <b:Title>Future of Kurdish Education Hangs in Uncertainty</b:Title>
    <b:JournalName>Fair Observer</b:JournalName>
    <b:Year>2017</b:Year>
    <b:RefOrder>218</b:RefOrder>
  </b:Source>
  <b:Source>
    <b:Tag>Kap</b:Tag>
    <b:SourceType>InternetSite</b:SourceType>
    <b:Guid>{28ADED58-AAC5-4CEE-8FAA-D42DE8EB9F12}</b:Guid>
    <b:Author>
      <b:Author>
        <b:NameList>
          <b:Person>
            <b:Last>Kapurubandara</b:Last>
            <b:First>M</b:First>
          </b:Person>
        </b:NameList>
      </b:Author>
    </b:Author>
    <b:Title>Graduates in the 21st Century</b:Title>
    <b:URL>http://www.ft.lk/2015/03/19/graduates-in-the-21st-century/#sthash.tZBN0mjF.dpuf</b:URL>
    <b:Year>2016</b:Year>
    <b:RefOrder>219</b:RefOrder>
  </b:Source>
  <b:Source>
    <b:Tag>Dis</b:Tag>
    <b:SourceType>InternetSite</b:SourceType>
    <b:Guid>{E282C17A-2E2B-4695-B7F0-78D409175A35}</b:Guid>
    <b:Title>High university enrolment, low graduate employment Analysing the paradox</b:Title>
    <b:URL>Dissanayake, M. (2014). High university enrolment, low graduate employment Analysing the paradox inhttps://www.britishcouncil.in/sites/default/files/british_council_report_2014_jan.pdf</b:URL>
    <b:Author>
      <b:Author>
        <b:NameList>
          <b:Person>
            <b:Last>Dissanayake</b:Last>
            <b:First>M</b:First>
          </b:Person>
        </b:NameList>
      </b:Author>
    </b:Author>
    <b:Year>2014</b:Year>
    <b:RefOrder>220</b:RefOrder>
  </b:Source>
  <b:Source>
    <b:Tag>Sri16</b:Tag>
    <b:SourceType>InternetSite</b:SourceType>
    <b:Guid>{EF75351D-96CB-45D2-AC3E-20F0BF801156}</b:Guid>
    <b:Author>
      <b:Author>
        <b:NameList>
          <b:Person>
            <b:Last>Srilankamirror.com</b:Last>
          </b:Person>
        </b:NameList>
      </b:Author>
    </b:Author>
    <b:Year>2016</b:Year>
    <b:RefOrder>221</b:RefOrder>
  </b:Source>
  <b:Source>
    <b:Tag>NSa11</b:Tag>
    <b:SourceType>InternetSite</b:SourceType>
    <b:Guid>{4159AB06-5E2A-4B75-9181-12DB8673A4E9}</b:Guid>
    <b:Author>
      <b:Author>
        <b:NameList>
          <b:Person>
            <b:Last>Sanderatne</b:Last>
            <b:First>N</b:First>
          </b:Person>
        </b:NameList>
      </b:Author>
    </b:Author>
    <b:Title>Unemployment, unemployed and the unemployable.</b:Title>
    <b:Year>2011</b:Year>
    <b:URL> http://www.sundaytimes.lk/110501/Columns/eco.html</b:URL>
    <b:RefOrder>222</b:RefOrder>
  </b:Source>
  <b:Source>
    <b:Tag>JMi11</b:Tag>
    <b:SourceType>InternetSite</b:SourceType>
    <b:Guid>{1671C59E-5058-4D27-9C8E-FE785FDF2EEE}</b:Guid>
    <b:Author>
      <b:Author>
        <b:NameList>
          <b:Person>
            <b:Last>Miester</b:Last>
            <b:First>J</b:First>
          </b:Person>
        </b:NameList>
      </b:Author>
    </b:Author>
    <b:Year>2012</b:Year>
    <b:URL>http://www.forbes.com/sites/jeannemeister/2012/12/04/personal-branding-in-the-futureworkplace-a-crucial-skill-for-employees-and-recruiters-alike/#3acca5264f2d</b:URL>
    <b:RefOrder>223</b:RefOrder>
  </b:Source>
  <b:Source>
    <b:Tag>HPa12</b:Tag>
    <b:SourceType>InternetSite</b:SourceType>
    <b:Guid>{5FF86E76-2D89-40E5-A2AB-E11AF8052050}</b:Guid>
    <b:Author>
      <b:Author>
        <b:NameList>
          <b:Person>
            <b:Last>Paul</b:Last>
            <b:First>H</b:First>
          </b:Person>
        </b:NameList>
      </b:Author>
    </b:Author>
    <b:Title>Personal Branding- key career skill in the future workplace. </b:Title>
    <b:InternetSiteTitle>The centre of the future Workplace</b:InternetSiteTitle>
    <b:Year>2012</b:Year>
    <b:URL>http://www.futureofwork.com/article/details/personalbranding-key-career-skill-in-the-future-workplace</b:URL>
    <b:RefOrder>224</b:RefOrder>
  </b:Source>
  <b:Source>
    <b:Tag>Tha07</b:Tag>
    <b:SourceType>JournalArticle</b:SourceType>
    <b:Guid>{186620CA-37A9-4FF4-9D3D-55B51A7A77E4}</b:Guid>
    <b:Title>Tertiary Education in Sri Lanka; Issues and Challenges.</b:Title>
    <b:Year>2007</b:Year>
    <b:Author>
      <b:Author>
        <b:NameList>
          <b:Person>
            <b:Last>Tharamaseelan</b:Last>
            <b:First>N</b:First>
          </b:Person>
        </b:NameList>
      </b:Author>
    </b:Author>
    <b:JournalName>Bulgarian Journal of Science and Education Policy (BJSEP)</b:JournalName>
    <b:Pages>173-190</b:Pages>
    <b:RefOrder>225</b:RefOrder>
  </b:Source>
  <b:Source>
    <b:Tag>MTo15</b:Tag>
    <b:SourceType>InternetSite</b:SourceType>
    <b:Guid>{02151EC2-2573-420F-8FEB-51B32B75C44A}</b:Guid>
    <b:Title>Competency Crisis? Many Young Professionals Lack Training in Vital "Soft Skills"</b:Title>
    <b:Year>2015</b:Year>
    <b:Author>
      <b:Author>
        <b:NameList>
          <b:Person>
            <b:Last>Towson</b:Last>
            <b:First>M</b:First>
          </b:Person>
        </b:NameList>
      </b:Author>
    </b:Author>
    <b:URL>Towson, M.. (2015). Competency crisis? Many Young Professionals lack trahttp://www.prweb.com/releases/2015/08/prweb12926296.html</b:URL>
    <b:RefOrder>226</b:RefOrder>
  </b:Source>
  <b:Source>
    <b:Tag>Ari08</b:Tag>
    <b:SourceType>JournalArticle</b:SourceType>
    <b:Guid>{EDB2A620-93C9-42F3-9AC2-684FBB8F036F}</b:Guid>
    <b:Author>
      <b:Author>
        <b:NameList>
          <b:Person>
            <b:Last>Ariyawansa</b:Last>
            <b:First>R</b:First>
          </b:Person>
        </b:NameList>
      </b:Author>
    </b:Author>
    <b:Title>Employability of Graduates of Sri Lankan Universities.</b:Title>
    <b:Year>2008</b:Year>
    <b:URL> https://www.google.lk/url?sa=t&amp;rct=j&amp;q=&amp;esrc=s&amp;source=web&amp;cd=2&amp;cad=rja&amp;uact=8&amp;ve d=0ahUKEwiZxZe0</b:URL>
    <b:JournalName>Sri Lankan Journal of Human Resource Management</b:JournalName>
    <b:Volume>2</b:Volume>
    <b:Issue>192</b:Issue>
    <b:RefOrder>227</b:RefOrder>
  </b:Source>
  <b:Source>
    <b:Tag>Par12</b:Tag>
    <b:SourceType>JournalArticle</b:SourceType>
    <b:Guid>{9FC4E3A1-F881-4F7F-AD0C-7E7DC4BDBF1E}</b:Guid>
    <b:Title>Positioning person brands in established organizational fields</b:Title>
    <b:JournalName>Journal of the Academy of Marketing Science</b:JournalName>
    <b:Year>2012</b:Year>
    <b:Pages>373-387</b:Pages>
    <b:URL>http://link.springer.com</b:URL>
    <b:Author>
      <b:Author>
        <b:NameList>
          <b:Person>
            <b:Last>Parmentier</b:Last>
            <b:First>M</b:First>
          </b:Person>
          <b:Person>
            <b:Last>Fischer</b:Last>
            <b:First>E</b:First>
          </b:Person>
          <b:Person>
            <b:Last>Reuber</b:Last>
            <b:First>A</b:First>
            <b:Middle>R</b:Middle>
          </b:Person>
        </b:NameList>
      </b:Author>
    </b:Author>
    <b:RefOrder>228</b:RefOrder>
  </b:Source>
  <b:Source>
    <b:Tag>SGu17</b:Tag>
    <b:SourceType>InternetSite</b:SourceType>
    <b:Guid>{161A464D-4883-432D-8469-4640E05323F5}</b:Guid>
    <b:Title>Sri Lanka: Sri Lanka\'s economic growth at 4.0% in Q2 2017 despite impact of inclement weather</b:Title>
    <b:Year>2017</b:Year>
    <b:Author>
      <b:Author>
        <b:NameList>
          <b:Person>
            <b:Last>Gunatatna</b:Last>
            <b:First>S</b:First>
          </b:Person>
        </b:NameList>
      </b:Author>
    </b:Author>
    <b:InternetSiteTitle>Colombopage.com</b:InternetSiteTitle>
    <b:URL>www.colombopage.com/archive_17B/Sep16_1505528100CH.php</b:URL>
    <b:RefOrder>229</b:RefOrder>
  </b:Source>
  <b:Source>
    <b:Tag>Sul05</b:Tag>
    <b:SourceType>JournalArticle</b:SourceType>
    <b:Guid>{B8ECA86E-3723-4209-A5BD-DF5061C54D2A}</b:Guid>
    <b:Title>Marketization and the Recasting of the professional selfTAvailable from https://www.researchgate</b:Title>
    <b:Year>2005</b:Year>
    <b:JournalName>The rhetoric and ethics of personal Branding. Management Communication Quarterly, 18 (3),</b:JournalName>
    <b:Author>
      <b:Author>
        <b:NameList>
          <b:Person>
            <b:Last>Sullaivan</b:Last>
          </b:Person>
          <b:Person>
            <b:Last>Lair</b:Last>
            <b:Middle>J</b:Middle>
            <b:First>D</b:First>
          </b:Person>
          <b:Person>
            <b:Last>Cheney</b:Last>
          </b:Person>
        </b:NameList>
      </b:Author>
    </b:Author>
    <b:Publisher>SAGE Publications</b:Publisher>
    <b:URL>https://www.researchgate.net/publication/258170724_Marketization_and_the_Recasting_of_t he_Professional_Self_The_Rhetoric_and_Ethics_of_Personal_Branding</b:URL>
    <b:RefOrder>230</b:RefOrder>
  </b:Source>
  <b:Source>
    <b:Tag>Wei06</b:Tag>
    <b:SourceType>JournalArticle</b:SourceType>
    <b:Guid>{A2044013-A3A9-4F0A-9467-442D468347DD}</b:Guid>
    <b:Title>Looking good and lying to do it: Deception as an impression management strategy in job interviews.</b:Title>
    <b:JournalName>Journal of Applied Social Psychology, 36 (4)</b:JournalName>
    <b:Year>2006</b:Year>
    <b:Author>
      <b:Author>
        <b:NameList>
          <b:Person>
            <b:Last>Weiss</b:Last>
            <b:First>B</b:First>
          </b:Person>
          <b:Person>
            <b:Last>Felderman</b:Last>
            <b:Middle>S</b:Middle>
            <b:First>R</b:First>
          </b:Person>
        </b:NameList>
      </b:Author>
    </b:Author>
    <b:Publisher>Wiley-Blackwell1070–1086</b:Publisher>
    <b:URL>http://onlinelibrary.wiley.com/doi/10.1111/j.00219029.2006.00055.x/epdf?r3_referer=wol&amp;tracking_action=preview_click&amp;show_checkout=1 &amp;purchase_referrer=onlinelibrary.wiley.com&amp;purchase_site_license=LICENSE_DENIED</b:URL>
    <b:RefOrder>231</b:RefOrder>
  </b:Source>
  <b:Source>
    <b:Tag>PMo02</b:Tag>
    <b:SourceType>InternetSite</b:SourceType>
    <b:Guid>{698E3238-6BCC-481F-BB81-D8392B906710}</b:Guid>
    <b:Title>The Personal Branding Phenomenon</b:Title>
    <b:Year>2002</b:Year>
    <b:Author>
      <b:Author>
        <b:NameList>
          <b:Person>
            <b:Last>Montoya</b:Last>
            <b:First>P</b:First>
          </b:Person>
        </b:NameList>
      </b:Author>
    </b:Author>
    <b:InternetSiteTitle>Personal Branding Press</b:InternetSiteTitle>
    <b:URL>http://www.the-confidant.info/uploads/montoya.pdf</b:URL>
    <b:RefOrder>232</b:RefOrder>
  </b:Source>
  <b:Source>
    <b:Tag>Usr13</b:Tag>
    <b:SourceType>ElectronicSource</b:SourceType>
    <b:Guid>{D0483578-8079-4D7F-B9F0-F3DB9BD2BB1B}</b:Guid>
    <b:Title>Networking and Personal Branding E- GUIDE</b:Title>
    <b:Year>2013</b:Year>
    <b:Author>
      <b:Author>
        <b:NameList>
          <b:Person>
            <b:Last>Usrey</b:Last>
            <b:First>Carin</b:First>
          </b:Person>
          <b:Person>
            <b:Last>Sargent </b:Last>
            <b:First>Amanda</b:First>
          </b:Person>
        </b:NameList>
      </b:Author>
    </b:Author>
    <b:ProductionCompany>Marymount University Center for Career Services</b:ProductionCompany>
    <b:URL>http://www.marymount.edu/marymount.edu/media/Academic_media/Services_and_Resources/Networking_Personal_Branding-2.pdf</b:URL>
    <b:RefOrder>233</b:RefOrder>
  </b:Source>
  <b:Source>
    <b:Tag>Ram11</b:Tag>
    <b:SourceType>Book</b:SourceType>
    <b:Guid>{7D5857A2-948E-45AA-A304-BD2DF2D3F7F2}</b:Guid>
    <b:Title>Body of Knowledge. Operational Excellence Society. How to build an authentic personal brand</b:Title>
    <b:Year>2011</b:Year>
    <b:Author>
      <b:Author>
        <b:NameList>
          <b:Person>
            <b:Last>Rampersad</b:Last>
            <b:First>Hubert</b:First>
          </b:Person>
        </b:NameList>
      </b:Author>
    </b:Author>
    <b:URL>https://opexsociety.org/body-of-knowledge/how-to-build-an-authentic-personal-brand-byprof-hube</b:URL>
    <b:JournalName>ody of Knowledge. Operational Excellence Society. </b:JournalName>
    <b:RefOrder>234</b:RefOrder>
  </b:Source>
  <b:Source>
    <b:Tag>Hol12</b:Tag>
    <b:SourceType>JournalArticle</b:SourceType>
    <b:Guid>{DC2B282A-5B3C-400F-AA3F-3B0157906DFA}</b:Guid>
    <b:Title> Consumers’ use of brands to reflect their actual and ideal selves on Facebook., . </b:Title>
    <b:Year>2012</b:Year>
    <b:JournalName> International Journal of Research in Marketing, 29 (4 )Elsevier BV395–405.</b:JournalName>
    <b:Author>
      <b:Author>
        <b:NameList>
          <b:Person>
            <b:Last>Hollenbeck</b:Last>
            <b:Middle>R</b:Middle>
            <b:First>C</b:First>
          </b:Person>
          <b:Person>
            <b:Last>Kaikati</b:Last>
            <b:Middle>M</b:Middle>
            <b:First>A</b:First>
          </b:Person>
        </b:NameList>
      </b:Author>
    </b:Author>
    <b:RefOrder>235</b:RefOrder>
  </b:Source>
  <b:Source>
    <b:Tag>She05</b:Tag>
    <b:SourceType>JournalArticle</b:SourceType>
    <b:Guid>{2B3FFA74-1B15-479D-80C5-DD5346950E21}</b:Guid>
    <b:Title>From cattle and coke to Charlie: Meeting the challenge of selfmarketing and Meeting the challenge of selfmarketing and personal Branding. </b:Title>
    <b:Year>2005</b:Year>
    <b:JournalName>Journal of Marketing Management, 21 (5-6),  Informa UK</b:JournalName>
    <b:Pages>589–606.</b:Pages>
    <b:URL>https://eprints.mdx.ac.uk/6582/1/Shepherdfrom_cattle_and</b:URL>
    <b:Author>
      <b:Author>
        <b:NameList>
          <b:Person>
            <b:Last>Shepherd</b:Last>
            <b:First>I.D.H</b:First>
          </b:Person>
        </b:NameList>
      </b:Author>
    </b:Author>
    <b:RefOrder>236</b:RefOrder>
  </b:Source>
  <b:Source>
    <b:Tag>Sim02</b:Tag>
    <b:SourceType>Book</b:SourceType>
    <b:Guid>{F3CD4263-B0C1-4963-B324-20E5DB3F8CA8}</b:Guid>
    <b:Title>Brand leadership: Building assets in an information economy.</b:Title>
    <b:Year>2002</b:Year>
    <b:Author>
      <b:Author>
        <b:NameList>
          <b:Person>
            <b:Last>Aaker</b:Last>
            <b:Middle>A</b:Middle>
            <b:First>D</b:First>
          </b:Person>
        </b:NameList>
      </b:Author>
    </b:Author>
    <b:City>New York</b:City>
    <b:Publisher>Simon &amp; Schuster.</b:Publisher>
    <b:RefOrder>237</b:RefOrder>
  </b:Source>
  <b:Source>
    <b:Tag>Hai11</b:Tag>
    <b:SourceType>JournalArticle</b:SourceType>
    <b:Guid>{28B35A33-37D6-43E9-A010-CD9A51D21C5D}</b:Guid>
    <b:Title>PLS-SEM: Indeed a Silver Bullet</b:Title>
    <b:Year>2011</b:Year>
    <b:JournalName>Journal of Marketing</b:JournalName>
    <b:Pages>139-151</b:Pages>
    <b:Author>
      <b:Author>
        <b:NameList>
          <b:Person>
            <b:Last>Hair</b:Last>
            <b:First>Joe,</b:First>
            <b:Middle>F</b:Middle>
          </b:Person>
          <b:Person>
            <b:Last>Christian</b:Last>
            <b:First>M</b:First>
          </b:Person>
          <b:Person>
            <b:Last>Marco</b:Last>
            <b:First>Sarstedt</b:First>
          </b:Person>
        </b:NameList>
      </b:Author>
    </b:Author>
    <b:RefOrder>238</b:RefOrder>
  </b:Source>
  <b:Source>
    <b:Tag>Sek16</b:Tag>
    <b:SourceType>Book</b:SourceType>
    <b:Guid>{9F229A37-DBD1-4BA1-8B4F-A70D958B0096}</b:Guid>
    <b:Title>Research Methods for Business. A Skill Building Approach</b:Title>
    <b:Year>2016</b:Year>
    <b:Author>
      <b:Author>
        <b:NameList>
          <b:Person>
            <b:Last>Sekeran</b:Last>
            <b:First>Uma</b:First>
          </b:Person>
          <b:Person>
            <b:Last>Bougie</b:Last>
            <b:First>Roger</b:First>
          </b:Person>
        </b:NameList>
      </b:Author>
    </b:Author>
    <b:City>India</b:City>
    <b:Publisher>Wiley India Pvt ltd</b:Publisher>
    <b:RefOrder>239</b:RefOrder>
  </b:Source>
  <b:Source>
    <b:Tag>NSc10</b:Tag>
    <b:SourceType>Book</b:SourceType>
    <b:Guid>{30B82FFE-AB33-4008-A014-FEE04727F60C}</b:Guid>
    <b:Title>Steps to building your Future</b:Title>
    <b:Year>2010</b:Year>
    <b:Author>
      <b:Author>
        <b:NameList>
          <b:Person>
            <b:Last>Schawbel</b:Last>
            <b:First>D</b:First>
          </b:Person>
        </b:NameList>
      </b:Author>
    </b:Author>
    <b:City>United States</b:City>
    <b:Publisher>Kaplan Trade</b:Publisher>
    <b:RefOrder>240</b:RefOrder>
  </b:Source>
  <b:Source>
    <b:Tag>Lab11</b:Tag>
    <b:SourceType>JournalArticle</b:SourceType>
    <b:Guid>{D1444786-DDA5-49AF-BF6C-DB496DC5D483}</b:Guid>
    <b:Title> Online personal Branding: Processes, challenges, and implications. </b:Title>
    <b:Year>2011</b:Year>
    <b:JournalName>Journal of Interactive Marketing 25(1)</b:JournalName>
    <b:Author>
      <b:Author>
        <b:NameList>
          <b:Person>
            <b:Last>Labrecque</b:Last>
            <b:First>L.I.,</b:First>
            <b:Middle>Markos, E. and Milne, G.R.</b:Middle>
          </b:Person>
        </b:NameList>
      </b:Author>
    </b:Author>
    <b:Publisher> Elsevier BV37–50.</b:Publisher>
    <b:RefOrder>241</b:RefOrder>
  </b:Source>
  <b:Source>
    <b:Tag>Hil11</b:Tag>
    <b:SourceType>InternetSite</b:SourceType>
    <b:Guid>{4F5E1D5B-F684-4D14-B05E-E8EFC4A44F47}</b:Guid>
    <b:Author>
      <b:Author>
        <b:NameList>
          <b:Person>
            <b:Last>Hillgren</b:Last>
            <b:First>G.,</b:First>
            <b:Middle>Connor, O. and Karen</b:Middle>
          </b:Person>
        </b:NameList>
      </b:Author>
    </b:Author>
    <b:Title> The authenticity of personal Branding. Department of Business Administration</b:Title>
    <b:Year>2011</b:Year>
    <b:URL>http://lup.lub.lu.se/studentpapers/record/2062209</b:URL>
    <b:RefOrder>242</b:RefOrder>
  </b:Source>
  <b:Source>
    <b:Tag>Cre14</b:Tag>
    <b:SourceType>Book</b:SourceType>
    <b:Guid>{2867CCDD-C509-4066-A744-D256675DCA01}</b:Guid>
    <b:Author>
      <b:Author>
        <b:NameList>
          <b:Person>
            <b:Last>Cresswell</b:Last>
            <b:First>John</b:First>
            <b:Middle>W</b:Middle>
          </b:Person>
        </b:NameList>
      </b:Author>
    </b:Author>
    <b:Title>Research Design: Quantitative and Mixed Method Approaches</b:Title>
    <b:Year>2014</b:Year>
    <b:City>United States</b:City>
    <b:Publisher>SAGE Publications</b:Publisher>
    <b:Edition>4th</b:Edition>
    <b:RefOrder>243</b:RefOrder>
  </b:Source>
  <b:Source>
    <b:Tag>Sau13</b:Tag>
    <b:SourceType>Book</b:SourceType>
    <b:Guid>{1F7E9D45-C18F-408D-80C8-1DE72C33B5EA}</b:Guid>
    <b:Title>Research Methods for Business Students</b:Title>
    <b:Year>2013</b:Year>
    <b:City>India</b:City>
    <b:Publisher>Dorling Kindersley</b:Publisher>
    <b:Author>
      <b:Author>
        <b:NameList>
          <b:Person>
            <b:Last>Saunders</b:Last>
            <b:First>Mark</b:First>
          </b:Person>
          <b:Person>
            <b:Last>Lewis</b:Last>
            <b:First>Philip</b:First>
          </b:Person>
          <b:Person>
            <b:Last>Thornhill</b:Last>
            <b:First>Adrian</b:First>
          </b:Person>
        </b:NameList>
      </b:Author>
    </b:Author>
    <b:Edition>5th</b:Edition>
    <b:RefOrder>244</b:RefOrder>
  </b:Source>
  <b:Source>
    <b:Tag>Kol06</b:Tag>
    <b:SourceType>JournalArticle</b:SourceType>
    <b:Guid>{B55A6D4B-BD42-49F7-9AB8-9B7C1312A053}</b:Guid>
    <b:Author>
      <b:Author>
        <b:NameList>
          <b:Person>
            <b:Last>Kollmann</b:Last>
            <b:First>T</b:First>
          </b:Person>
        </b:NameList>
      </b:Author>
    </b:Author>
    <b:Title>What is e-entrepreneurship?–fundamentals of company founding in the net economy</b:Title>
    <b:Year>2006</b:Year>
    <b:JournalName>International Journal of Technology Management</b:JournalName>
    <b:Pages>322-340</b:Pages>
    <b:Volume>33</b:Volume>
    <b:Issue>4</b:Issue>
    <b:RefOrder>245</b:RefOrder>
  </b:Source>
  <b:Source>
    <b:Tag>Mat09</b:Tag>
    <b:SourceType>JournalArticle</b:SourceType>
    <b:Guid>{106318B3-8381-4BB8-BF09-1331932981A8}</b:Guid>
    <b:Author>
      <b:Author>
        <b:NameList>
          <b:Person>
            <b:Last>Matlay</b:Last>
            <b:First>H</b:First>
          </b:Person>
          <b:Person>
            <b:Last>Martin</b:Last>
            <b:First>L</b:First>
            <b:Middle>M</b:Middle>
          </b:Person>
        </b:NameList>
      </b:Author>
    </b:Author>
    <b:Title>Collaborative and competitive strategies in virtual teams of e-entrepreneurs: A pan-European perspective</b:Title>
    <b:JournalName>Australasian Journal of Information Systems</b:JournalName>
    <b:Year>2009</b:Year>
    <b:Volume>16</b:Volume>
    <b:Issue>1</b:Issue>
    <b:RefOrder>246</b:RefOrder>
  </b:Source>
  <b:Source xmlns:b="http://schemas.openxmlformats.org/officeDocument/2006/bibliography">
    <b:Tag>Mat04</b:Tag>
    <b:SourceType>JournalArticle</b:SourceType>
    <b:Guid>{FC552337-FD78-4EC1-8124-C86692F43B96}</b:Guid>
    <b:Author>
      <b:Author>
        <b:NameList>
          <b:Person>
            <b:Last>Matlay</b:Last>
            <b:First>H</b:First>
          </b:Person>
        </b:NameList>
      </b:Author>
    </b:Author>
    <b:Title>E-entrepreneurship and small e-business development: towards a comparative research agenda</b:Title>
    <b:JournalName>Journal of Small Business and Enterprise Development</b:JournalName>
    <b:Year>2004</b:Year>
    <b:Pages>408-414</b:Pages>
    <b:Volume>11</b:Volume>
    <b:Issue>3</b:Issue>
    <b:RefOrder>247</b:RefOrder>
  </b:Source>
  <b:Source>
    <b:Tag>Bla07</b:Tag>
    <b:SourceType>JournalArticle</b:SourceType>
    <b:Guid>{B25C016E-EC87-4D7C-B7E9-0E3BE68CABC3}</b:Guid>
    <b:Author>
      <b:Author>
        <b:NameList>
          <b:Person>
            <b:Last>Blanchflower</b:Last>
            <b:First>D</b:First>
            <b:Middle>G</b:Middle>
          </b:Person>
          <b:Person>
            <b:Last>Oswald</b:Last>
            <b:First>A</b:First>
            <b:Middle>J</b:Middle>
          </b:Person>
        </b:NameList>
      </b:Author>
    </b:Author>
    <b:Title>What Makes a Young Entrepreneur, IZA Discussion Papers 3139</b:Title>
    <b:JournalName>Institute for the Study of Labor (IZA)</b:JournalName>
    <b:Year>2007</b:Year>
    <b:Comments>IZA Discussion Papers 3139</b:Comments>
    <b:RefOrder>248</b:RefOrder>
  </b:Source>
  <b:Source>
    <b:Tag>Hun03</b:Tag>
    <b:SourceType>BookSection</b:SourceType>
    <b:Guid>{4FD785A6-B9E2-4643-88D4-D31A6919127F}</b:Guid>
    <b:Author>
      <b:Author>
        <b:NameList>
          <b:Person>
            <b:Last>Hunter</b:Last>
            <b:First>M</b:First>
            <b:Middle>G</b:Middle>
          </b:Person>
          <b:Person>
            <b:Last>Long</b:Last>
            <b:First>W</b:First>
            <b:Middle>A</b:Middle>
          </b:Person>
        </b:NameList>
      </b:Author>
    </b:Author>
    <b:Title>Adopting the entrepreneurial process in the study of information systems and small business</b:Title>
    <b:Year>2003</b:Year>
    <b:Pages>1-14</b:Pages>
    <b:BookTitle> Managing IT in government, business &amp; communities</b:BookTitle>
    <b:Publisher>IGI Global</b:Publisher>
    <b:RefOrder>249</b:RefOrder>
  </b:Source>
  <b:Source>
    <b:Tag>Zha07</b:Tag>
    <b:SourceType>ConferenceProceedings</b:SourceType>
    <b:Guid>{DFA91883-6B84-4295-8F4A-A42CA101DF88}</b:Guid>
    <b:Author>
      <b:Author>
        <b:NameList>
          <b:Person>
            <b:Last>Zhao</b:Last>
            <b:First>F</b:First>
          </b:Person>
        </b:NameList>
      </b:Author>
    </b:Author>
    <b:Title>Issues and challenges facing e-entrepreneurship and e-innovation</b:Title>
    <b:Year>2007</b:Year>
    <b:Pages>945-948</b:Pages>
    <b:Publisher>IGI Global</b:Publisher>
    <b:ConferenceName>18th Annual Information Resources Management Association International Conference</b:ConferenceName>
    <b:RefOrder>250</b:RefOrder>
  </b:Source>
  <b:Source>
    <b:Tag>Man06</b:Tag>
    <b:SourceType>JournalArticle</b:SourceType>
    <b:Guid>{70995299-CFD0-4CF5-AD06-8AFD590692EC}</b:Guid>
    <b:Author>
      <b:Author>
        <b:NameList>
          <b:Person>
            <b:Last>Manuel</b:Last>
            <b:First>E</b:First>
          </b:Person>
        </b:NameList>
      </b:Author>
    </b:Author>
    <b:Title>e-Enterpreuneurship</b:Title>
    <b:Year>2006</b:Year>
    <b:URL>https://mpra.ub.uni-muenchen.de/2237/1/MPRA_paper_2237.pdf</b:URL>
    <b:JournalName>Munich Personal RePEc Archive</b:JournalName>
    <b:Volume>Paper No. 2237</b:Volume>
    <b:Issue>13</b:Issue>
    <b:RefOrder>251</b:RefOrder>
  </b:Source>
  <b:Source>
    <b:Tag>Rum05</b:Tag>
    <b:SourceType>BookSection</b:SourceType>
    <b:Guid>{B950991D-4DC4-4CB1-AFC9-39B7835F91A7}</b:Guid>
    <b:Author>
      <b:Author>
        <b:NameList>
          <b:Person>
            <b:Last>Rumelt</b:Last>
            <b:First>R</b:First>
            <b:Middle>P</b:Middle>
          </b:Person>
        </b:NameList>
      </b:Author>
    </b:Author>
    <b:Title>Theory, strategy, and entrepreneurship</b:Title>
    <b:Pages>11-32</b:Pages>
    <b:Year>2005</b:Year>
    <b:Publisher>Springer, Boston, MA</b:Publisher>
    <b:BookTitle>Handbook of entrepreneurship research</b:BookTitle>
    <b:RefOrder>252</b:RefOrder>
  </b:Source>
  <b:Source>
    <b:Tag>HLa07</b:Tag>
    <b:SourceType>Book</b:SourceType>
    <b:Guid>{690C843A-CF1F-40F9-97DF-8BCA646D506A}</b:Guid>
    <b:Author>
      <b:Author>
        <b:NameList>
          <b:Person>
            <b:Last>Landstrom</b:Last>
            <b:First>H</b:First>
          </b:Person>
        </b:NameList>
      </b:Author>
    </b:Author>
    <b:Title>Pioneers in entrepreneurship and small business research (Vol. 8)</b:Title>
    <b:Year>2007</b:Year>
    <b:Publisher>Springer Science &amp; Business Media</b:Publisher>
    <b:RefOrder>253</b:RefOrder>
  </b:Source>
  <b:Source>
    <b:Tag>Rey05</b:Tag>
    <b:SourceType>JournalArticle</b:SourceType>
    <b:Guid>{BF25D655-4AB3-4A2A-A4DD-0DA2256D2C57}</b:Guid>
    <b:Author>
      <b:Author>
        <b:NameList>
          <b:Person>
            <b:Last>Reynolds</b:Last>
            <b:First>P</b:First>
            <b:Middle>D</b:Middle>
          </b:Person>
        </b:NameList>
      </b:Author>
    </b:Author>
    <b:Title>Understanding business creation: Serendipity and scope in two decades of business creation studies</b:Title>
    <b:Year>2005</b:Year>
    <b:Pages>359-364</b:Pages>
    <b:JournalName>Small Business Economics</b:JournalName>
    <b:Volume>24</b:Volume>
    <b:Issue>4</b:Issue>
    <b:RefOrder>254</b:RefOrder>
  </b:Source>
  <b:Source>
    <b:Tag>Héb89</b:Tag>
    <b:SourceType>JournalArticle</b:SourceType>
    <b:Guid>{C3DFC1DC-3F63-481A-8443-07A06065FB84}</b:Guid>
    <b:Author>
      <b:Author>
        <b:NameList>
          <b:Person>
            <b:Last>Hébert</b:Last>
            <b:First>R</b:First>
            <b:Middle>F</b:Middle>
          </b:Person>
          <b:Person>
            <b:Last>Link</b:Last>
            <b:First>A</b:First>
            <b:Middle>N</b:Middle>
          </b:Person>
        </b:NameList>
      </b:Author>
    </b:Author>
    <b:Title>In search of the meaning of entrepreneurship</b:Title>
    <b:JournalName>Small business economics</b:JournalName>
    <b:Year>1989</b:Year>
    <b:Pages>39-49</b:Pages>
    <b:Volume>1</b:Volume>
    <b:Issue>1</b:Issue>
    <b:RefOrder>255</b:RefOrder>
  </b:Source>
  <b:Source>
    <b:Tag>Sha14</b:Tag>
    <b:SourceType>JournalArticle</b:SourceType>
    <b:Guid>{2D7B38D4-E785-4ED2-9B36-62489ED59A6B}</b:Guid>
    <b:Author>
      <b:Author>
        <b:NameList>
          <b:Person>
            <b:Last>Sharma</b:Last>
            <b:First>M</b:First>
          </b:Person>
          <b:Person>
            <b:Last>Pathak</b:Last>
            <b:First>D</b:First>
          </b:Person>
          <b:Person>
            <b:Last>Chowhan</b:Last>
            <b:First>S</b:First>
          </b:Person>
        </b:NameList>
      </b:Author>
    </b:Author>
    <b:Title>E-Business: Strategic Management Practice for New Entrepreneurship</b:Title>
    <b:JournalName>Social Science Research Network</b:JournalName>
    <b:Year>2014</b:Year>
    <b:RefOrder>256</b:RefOrder>
  </b:Source>
  <b:Source>
    <b:Tag>Fin01</b:Tag>
    <b:SourceType>JournalArticle</b:SourceType>
    <b:Guid>{1B20B38E-3699-4C8C-9E8B-5EC0755CA4D6}</b:Guid>
    <b:Author>
      <b:Author>
        <b:NameList>
          <b:Person>
            <b:Last>Finkelstein</b:Last>
            <b:First>S</b:First>
          </b:Person>
        </b:NameList>
      </b:Author>
    </b:Author>
    <b:Title>Internet startups: so why can't they win?</b:Title>
    <b:Year>2001</b:Year>
    <b:JournalName>Journal of Business Strategy</b:JournalName>
    <b:Pages>16-21</b:Pages>
    <b:Volume>22</b:Volume>
    <b:Issue>4</b:Issue>
    <b:RefOrder>257</b:RefOrder>
  </b:Source>
  <b:Source>
    <b:Tag>McN09</b:Tag>
    <b:SourceType>Book</b:SourceType>
    <b:Guid>{77E9B656-E36B-4FF9-8836-E29260D960B0}</b:Guid>
    <b:Author>
      <b:Author>
        <b:NameList>
          <b:Person>
            <b:Last>McNurlin</b:Last>
            <b:First>BC</b:First>
          </b:Person>
          <b:Person>
            <b:Last>Sprague</b:Last>
            <b:First>R</b:First>
            <b:Middle>H</b:Middle>
          </b:Person>
          <b:Person>
            <b:Last>Bui</b:Last>
            <b:First>T</b:First>
          </b:Person>
        </b:NameList>
      </b:Author>
    </b:Author>
    <b:Title>Information Systems Management in Practice</b:Title>
    <b:Year>2009</b:Year>
    <b:Publisher>Pearson Education, Inc</b:Publisher>
    <b:Edition>8th</b:Edition>
    <b:RefOrder>258</b:RefOrder>
  </b:Source>
  <b:Source>
    <b:Tag>Bro14</b:Tag>
    <b:SourceType>JournalArticle</b:SourceType>
    <b:Guid>{BD9E92B2-BA7A-486F-8660-572E01F3549F}</b:Guid>
    <b:Author>
      <b:Author>
        <b:NameList>
          <b:Person>
            <b:Last>Brooks</b:Last>
            <b:First>G</b:First>
          </b:Person>
          <b:Person>
            <b:Last>Heffner</b:Last>
            <b:First>A</b:First>
          </b:Person>
          <b:Person>
            <b:Last>Henderson</b:Last>
            <b:First>D</b:First>
          </b:Person>
        </b:NameList>
      </b:Author>
    </b:Author>
    <b:Title>A SWOT analysis of competitive knowledge from social media for a small start-up business.</b:Title>
    <b:JournalName>The Review of Business Information Systems (Online)</b:JournalName>
    <b:Year>2014</b:Year>
    <b:Pages>23</b:Pages>
    <b:Volume>18</b:Volume>
    <b:Issue>1</b:Issue>
    <b:RefOrder>259</b:RefOrder>
  </b:Source>
  <b:Source>
    <b:Tag>Bra10</b:Tag>
    <b:SourceType>JournalArticle</b:SourceType>
    <b:Guid>{09EAC5D3-5978-499E-B25D-137E046DF45D}</b:Guid>
    <b:Author>
      <b:Author>
        <b:NameList>
          <b:Person>
            <b:Last>Brandel</b:Last>
            <b:First>M</b:First>
          </b:Person>
        </b:NameList>
      </b:Author>
    </b:Author>
    <b:Title>are you LISTENING?</b:Title>
    <b:JournalName>Computerworld</b:JournalName>
    <b:Year>2010</b:Year>
    <b:Pages>13-15</b:Pages>
    <b:Volume>44</b:Volume>
    <b:Issue>13</b:Issue>
    <b:RefOrder>260</b:RefOrder>
  </b:Source>
  <b:Source>
    <b:Tag>Edl10</b:Tag>
    <b:SourceType>JournalArticle</b:SourceType>
    <b:Guid>{15DDA614-3562-4769-8C71-B0647E24B312}</b:Guid>
    <b:Author>
      <b:Author>
        <b:NameList>
          <b:Person>
            <b:Last>Edleman</b:Last>
            <b:First>D</b:First>
          </b:Person>
        </b:NameList>
      </b:Author>
    </b:Author>
    <b:Title>Branding in the digital age: You’re Spending Your Money in All the Wrong Places</b:Title>
    <b:JournalName>Harvard Business Review</b:JournalName>
    <b:Year>2010</b:Year>
    <b:Pages>62-69</b:Pages>
    <b:Volume>88</b:Volume>
    <b:Issue>12</b:Issue>
    <b:RefOrder>261</b:RefOrder>
  </b:Source>
  <b:Source>
    <b:Tag>Elz09</b:Tag>
    <b:SourceType>JournalArticle</b:SourceType>
    <b:Guid>{C6BB5DD4-8832-4006-9730-54EB12E2BA51}</b:Guid>
    <b:Author>
      <b:Author>
        <b:NameList>
          <b:Person>
            <b:Last>Elzinga</b:Last>
            <b:First>D</b:First>
          </b:Person>
          <b:Person>
            <b:Last>Mulder</b:Last>
            <b:First>S</b:First>
          </b:Person>
          <b:Person>
            <b:Last>Vetvik</b:Last>
            <b:First>O</b:First>
            <b:Middle>J</b:Middle>
          </b:Person>
        </b:NameList>
      </b:Author>
    </b:Author>
    <b:Title>The consumer decision journey</b:Title>
    <b:JournalName>McKinsey Quarterly</b:JournalName>
    <b:Year>2009</b:Year>
    <b:Pages>96-107</b:Pages>
    <b:Volume>3</b:Volume>
    <b:RefOrder>262</b:RefOrder>
  </b:Source>
  <b:Source>
    <b:Tag>Phi10</b:Tag>
    <b:SourceType>JournalArticle</b:SourceType>
    <b:Guid>{9C61DE73-7797-48D2-B248-DE8793DFE584}</b:Guid>
    <b:Author>
      <b:Author>
        <b:NameList>
          <b:Person>
            <b:Last>Phillips</b:Last>
            <b:First>M</b:First>
          </b:Person>
          <b:Person>
            <b:Last>McFadden</b:Last>
            <b:First>D</b:First>
            <b:Middle>T</b:Middle>
          </b:Person>
          <b:Person>
            <b:Last>Sullins</b:Last>
            <b:First>M</b:First>
          </b:Person>
        </b:NameList>
      </b:Author>
    </b:Author>
    <b:Title>How effective is social networking for direct marketers</b:Title>
    <b:JournalName>Journal of Food Distribution Research</b:JournalName>
    <b:Year>2010</b:Year>
    <b:Pages>96-100</b:Pages>
    <b:Volume>41</b:Volume>
    <b:Issue>1</b:Issue>
    <b:RefOrder>263</b:RefOrder>
  </b:Source>
  <b:Source>
    <b:Tag>Mat05</b:Tag>
    <b:SourceType>JournalArticle</b:SourceType>
    <b:Guid>{8582FDB8-7265-48C9-9580-C6510E05F2D5}</b:Guid>
    <b:Author>
      <b:Author>
        <b:NameList>
          <b:Person>
            <b:Last>Matlay</b:Last>
            <b:First>H</b:First>
          </b:Person>
          <b:Person>
            <b:Last>Westhead</b:Last>
            <b:First>P</b:First>
          </b:Person>
        </b:NameList>
      </b:Author>
    </b:Author>
    <b:Title>Virtual teams and the rise of e-entrepreneurship in Europe</b:Title>
    <b:JournalName>International Small Business Journal</b:JournalName>
    <b:Year>2005</b:Year>
    <b:Pages>279-302</b:Pages>
    <b:Volume>23</b:Volume>
    <b:Issue>3</b:Issue>
    <b:RefOrder>264</b:RefOrder>
  </b:Source>
  <b:Source>
    <b:Tag>Dru74</b:Tag>
    <b:SourceType>Book</b:SourceType>
    <b:Guid>{7D8070B3-5641-4286-B926-CF23B239531D}</b:Guid>
    <b:Author>
      <b:Author>
        <b:NameList>
          <b:Person>
            <b:Last>Drucker</b:Last>
            <b:First>P</b:First>
            <b:Middle>F</b:Middle>
          </b:Person>
        </b:NameList>
      </b:Author>
    </b:Author>
    <b:Title>Management: Tasks, Responsibilities, Practices</b:Title>
    <b:Year>1974</b:Year>
    <b:City>New York</b:City>
    <b:Publisher>Truman Talley Books, E. P. Dutton</b:Publisher>
    <b:Edition>1st</b:Edition>
    <b:RefOrder>265</b:RefOrder>
  </b:Source>
  <b:Source>
    <b:Tag>Mar09</b:Tag>
    <b:SourceType>JournalArticle</b:SourceType>
    <b:Guid>{BA8B7AED-5DC2-4AE8-B462-87156CCBFF01}</b:Guid>
    <b:Author>
      <b:Author>
        <b:NameList>
          <b:Person>
            <b:Last>Martin</b:Last>
            <b:First>D</b:First>
            <b:Middle>M</b:Middle>
          </b:Person>
        </b:NameList>
      </b:Author>
    </b:Author>
    <b:Title>The entrepreneurial marketing mix</b:Title>
    <b:JournalName>Qualitative Market Research: An International Journal</b:JournalName>
    <b:Year>2009</b:Year>
    <b:Pages>391-403</b:Pages>
    <b:Volume>12</b:Volume>
    <b:Issue>4</b:Issue>
    <b:RefOrder>266</b:RefOrder>
  </b:Source>
  <b:Source>
    <b:Tag>Sto00</b:Tag>
    <b:SourceType>JournalArticle</b:SourceType>
    <b:Guid>{B56DDAF3-D57D-49B0-B886-21EEA8111703}</b:Guid>
    <b:Author>
      <b:Author>
        <b:NameList>
          <b:Person>
            <b:Last>Stokes</b:Last>
            <b:First>D</b:First>
          </b:Person>
        </b:NameList>
      </b:Author>
    </b:Author>
    <b:Title>Entrepreneurial marketing: a conceptualisation from qualitative research</b:Title>
    <b:JournalName>Qualitative market research: an international journal</b:JournalName>
    <b:Year>2000</b:Year>
    <b:Pages>47-54</b:Pages>
    <b:Volume>3</b:Volume>
    <b:Issue>1</b:Issue>
    <b:RefOrder>267</b:RefOrder>
  </b:Source>
  <b:Source>
    <b:Tag>Zon04</b:Tag>
    <b:SourceType>JournalArticle</b:SourceType>
    <b:Guid>{5D81C425-C728-423D-BDCB-BDFF0A904746}</b:Guid>
    <b:Author>
      <b:Author>
        <b:NameList>
          <b:Person>
            <b:Last>Zontanos</b:Last>
            <b:First>G</b:First>
          </b:Person>
          <b:Person>
            <b:Last>Anderson</b:Last>
            <b:First>A</b:First>
            <b:Middle>R</b:Middle>
          </b:Person>
        </b:NameList>
      </b:Author>
    </b:Author>
    <b:Title>Relationships, marketing and small business: an exploration of links in theory and practice</b:Title>
    <b:JournalName>Qualitative market research: an international journal</b:JournalName>
    <b:Year>2004</b:Year>
    <b:Pages>228-236</b:Pages>
    <b:Volume>7</b:Volume>
    <b:Issue>3</b:Issue>
    <b:RefOrder>268</b:RefOrder>
  </b:Source>
  <b:Source>
    <b:Tag>Kot12</b:Tag>
    <b:SourceType>Book</b:SourceType>
    <b:Guid>{9A7B0FF5-EBD4-4012-9173-1501CA3A240D}</b:Guid>
    <b:Author>
      <b:Author>
        <b:NameList>
          <b:Person>
            <b:Last>Kotler</b:Last>
            <b:First>P</b:First>
          </b:Person>
          <b:Person>
            <b:Last>Armstrong</b:Last>
            <b:First>G</b:First>
          </b:Person>
        </b:NameList>
      </b:Author>
    </b:Author>
    <b:Title>Principles of Marketing</b:Title>
    <b:Year>2012</b:Year>
    <b:Publisher>Pearson Education</b:Publisher>
    <b:Edition>14th</b:Edition>
    <b:RefOrder>269</b:RefOrder>
  </b:Source>
  <b:Source>
    <b:Tag>Man17</b:Tag>
    <b:SourceType>DocumentFromInternetSite</b:SourceType>
    <b:Guid>{0470074A-3188-42F0-A9A3-6F083EF19D45}</b:Guid>
    <b:Author>
      <b:Author>
        <b:NameList>
          <b:Person>
            <b:Last>Manjoo</b:Last>
            <b:First>F</b:First>
          </b:Person>
        </b:NameList>
      </b:Author>
    </b:Author>
    <b:Year>2017</b:Year>
    <b:Month>10</b:Month>
    <b:Day>18</b:Day>
    <b:InternetSiteTitle>The New York Times</b:InternetSiteTitle>
    <b:URL>https://www.nytimes.com/2017/10/18/technology/frightful-five-start-ups.html</b:URL>
    <b:RefOrder>270</b:RefOrder>
  </b:Source>
  <b:Source>
    <b:Tag>Mey</b:Tag>
    <b:SourceType>BookSection</b:SourceType>
    <b:Guid>{EDB36A4D-565E-413C-A5FE-19AAEE42A152}</b:Guid>
    <b:Author>
      <b:Author>
        <b:NameList>
          <b:Person>
            <b:Last>Meyer</b:Last>
            <b:First>G</b:First>
            <b:Middle>D</b:Middle>
          </b:Person>
          <b:Person>
            <b:Last>Neck</b:Last>
            <b:First>H</b:First>
            <b:Middle>M</b:Middle>
          </b:Person>
          <b:Person>
            <b:Last>Meeks</b:Last>
            <b:First>M</b:First>
            <b:Middle>D</b:Middle>
          </b:Person>
        </b:NameList>
      </b:Author>
    </b:Author>
    <b:Title>The entrepreneurship‐strategic management interface</b:Title>
    <b:BookTitle>Strategic entrepreneurship: Creating a new mindset</b:BookTitle>
    <b:Pages>17-44</b:Pages>
    <b:Year>2017</b:Year>
    <b:Publisher>Oxford, UK:Blackwell</b:Publisher>
    <b:RefOrder>271</b:RefOrder>
  </b:Source>
  <b:Source>
    <b:Tag>Tur15</b:Tag>
    <b:SourceType>Book</b:SourceType>
    <b:Guid>{AB885EA0-D751-4854-BB32-6EEAE3CA9EC2}</b:Guid>
    <b:Author>
      <b:Author>
        <b:NameList>
          <b:Person>
            <b:Last>Turban</b:Last>
            <b:First>E</b:First>
          </b:Person>
          <b:Person>
            <b:Last>King</b:Last>
            <b:First>D</b:First>
          </b:Person>
          <b:Person>
            <b:Last>Lee</b:Last>
            <b:First>J</b:First>
            <b:Middle>K</b:Middle>
          </b:Person>
          <b:Person>
            <b:Last>Liang</b:Last>
            <b:First>T</b:First>
            <b:Middle>P</b:Middle>
          </b:Person>
          <b:Person>
            <b:Last>Turban</b:Last>
            <b:First>D</b:First>
            <b:Middle>C</b:Middle>
          </b:Person>
        </b:NameList>
      </b:Author>
    </b:Author>
    <b:Title>Electronic commerce: A managerial and social networks perspective</b:Title>
    <b:Year>2015</b:Year>
    <b:Publisher>Springer</b:Publisher>
    <b:Edition>8th</b:Edition>
    <b:RefOrder>272</b:RefOrder>
  </b:Source>
  <b:Source>
    <b:Tag>Ngi14</b:Tag>
    <b:SourceType>JournalArticle</b:SourceType>
    <b:Guid>{EFC93C6E-9568-497B-99DF-7DB7352018B9}</b:Guid>
    <b:Author>
      <b:Author>
        <b:NameList>
          <b:Person>
            <b:Last>Ngige</b:Last>
            <b:First>C</b:First>
            <b:Middle>D</b:Middle>
          </b:Person>
        </b:NameList>
      </b:Author>
    </b:Author>
    <b:Title>Management as a Factor of Production and as an Economic Resource</b:Title>
    <b:Year>2014</b:Year>
    <b:JournalName>International Journal of Humanities and Social Science</b:JournalName>
    <b:Pages>162-166</b:Pages>
    <b:Volume>4</b:Volume>
    <b:Issue>6</b:Issue>
    <b:RefOrder>273</b:RefOrder>
  </b:Source>
  <b:Source>
    <b:Tag>Ade13</b:Tag>
    <b:SourceType>JournalArticle</b:SourceType>
    <b:Guid>{949497D7-18E3-497C-BA7F-11FFAD888FED}</b:Guid>
    <b:Author>
      <b:Author>
        <b:NameList>
          <b:Person>
            <b:Last>Ademola</b:Last>
            <b:First>I</b:First>
            <b:Middle>S</b:Middle>
          </b:Person>
          <b:Person>
            <b:Last>Olaleye</b:Last>
            <b:First>S</b:First>
            <b:Middle>O</b:Middle>
          </b:Person>
          <b:Person>
            <b:Last>Olusuyi</b:Last>
            <b:First>A</b:First>
            <b:Middle>E</b:Middle>
          </b:Person>
          <b:Person>
            <b:Last>Edun</b:Last>
            <b:First>F</b:First>
          </b:Person>
        </b:NameList>
      </b:Author>
    </b:Author>
    <b:Title>Why small scale businesses failed as a remedy to unemployment problem in Nigeria</b:Title>
    <b:JournalName>Journal of Humanities and Social Science</b:JournalName>
    <b:Year>2013</b:Year>
    <b:Pages>68-93</b:Pages>
    <b:Volume>8</b:Volume>
    <b:Issue>4</b:Issue>
    <b:RefOrder>274</b:RefOrder>
  </b:Source>
  <b:Source>
    <b:Tag>Mag02</b:Tag>
    <b:SourceType>JournalArticle</b:SourceType>
    <b:Guid>{2088D49D-D050-46A6-8D1A-C256141EFF4D}</b:Guid>
    <b:Author>
      <b:Author>
        <b:NameList>
          <b:Person>
            <b:Last>Maguire</b:Last>
            <b:First>S</b:First>
          </b:Person>
        </b:NameList>
      </b:Author>
    </b:Author>
    <b:Title>Identifying risks during information system development: managing the process</b:Title>
    <b:JournalName>Information Management &amp; Computer Security</b:JournalName>
    <b:Year>2002</b:Year>
    <b:Pages>126-134</b:Pages>
    <b:Volume>10</b:Volume>
    <b:Issue>3</b:Issue>
    <b:RefOrder>275</b:RefOrder>
  </b:Source>
  <b:Source>
    <b:Tag>Cou18</b:Tag>
    <b:SourceType>InternetSite</b:SourceType>
    <b:Guid>{832D01FF-A1A1-4A9B-A096-FD95B79994E3}</b:Guid>
    <b:Title>Country Profile Thailand</b:Title>
    <b:URL>http://www.intracen.org/exporters/organic-products/country-focus/Country-Profile-Thailand/</b:URL>
    <b:ProductionCompany>Department of Agriculture (DOA)</b:ProductionCompany>
    <b:YearAccessed>2018</b:YearAccessed>
    <b:MonthAccessed>November</b:MonthAccessed>
    <b:DayAccessed>15</b:DayAccessed>
    <b:Institution>The International Trade Centre (ITC) </b:Institution>
    <b:RefOrder>276</b:RefOrder>
  </b:Source>
  <b:Source>
    <b:Tag>it217</b:Tag>
    <b:SourceType>ArticleInAPeriodical</b:SourceType>
    <b:Guid>{112B47B3-49A4-4EB7-960C-0EE6845D2B54}</b:Guid>
    <b:Title>What is Thailand 4.0 – ไทยแลนด์ 4.0 คืออะไร</b:Title>
    <b:Year>2017</b:Year>
    <b:Publisher>IT 24 hrs</b:Publisher>
    <b:City>Bangkok</b:City>
    <b:Author>
      <b:Author>
        <b:Corporate>it24hrs</b:Corporate>
      </b:Author>
    </b:Author>
    <b:YearAccessed>2018</b:YearAccessed>
    <b:MonthAccessed>March</b:MonthAccessed>
    <b:DayAccessed>14</b:DayAccessed>
    <b:URL>https://www.it24hrs.com/2017/thailand-4-0/</b:URL>
    <b:PeriodicalTitle>IT 24 hrs</b:PeriodicalTitle>
    <b:Month>January</b:Month>
    <b:Day>5</b:Day>
    <b:RefOrder>277</b:RefOrder>
  </b:Source>
  <b:Source>
    <b:Tag>OEC13</b:Tag>
    <b:SourceType>Report</b:SourceType>
    <b:Guid>{C695CBE1-3E9C-4127-9766-CA78B85BE8B6}</b:Guid>
    <b:Title>Structural Policy Country Notes for Emerging Asia</b:Title>
    <b:Year>2013</b:Year>
    <b:City>Paris</b:City>
    <b:Publisher>OECD Publishing</b:Publisher>
    <b:Author>
      <b:Author>
        <b:NameList>
          <b:Person>
            <b:Last>OECD</b:Last>
          </b:Person>
        </b:NameList>
      </b:Author>
    </b:Author>
    <b:Institution>Economic Outlook for Southeast Asia</b:Institution>
    <b:ShortTitle>China and India 2014: Beyond the Middle-Income Trap</b:ShortTitle>
    <b:Comments>OECD (2013)</b:Comments>
    <b:YearAccessed>2018</b:YearAccessed>
    <b:MonthAccessed>March</b:MonthAccessed>
    <b:DayAccessed>14</b:DayAccessed>
    <b:URL>https://doi.org/10.1787/saeo-2014-en</b:URL>
    <b:RefOrder>278</b:RefOrder>
  </b:Source>
  <b:Source>
    <b:Tag>Buk18</b:Tag>
    <b:SourceType>Report</b:SourceType>
    <b:Guid>{FD850135-7F8E-4F37-95F6-7AE39AEE7DF2}</b:Guid>
    <b:Title>Development Implications of Digital Economies</b:Title>
    <b:Year>2018</b:Year>
    <b:Pages>3</b:Pages>
    <b:Publisher>Centre for Development Informatics</b:Publisher>
    <b:City>Manchester</b:City>
    <b:Author>
      <b:Author>
        <b:NameList>
          <b:Person>
            <b:Last>Bukht</b:Last>
            <b:First>Rumana</b:First>
          </b:Person>
          <b:Person>
            <b:Last>Heeks</b:Last>
            <b:First>Richard</b:First>
          </b:Person>
        </b:NameList>
      </b:Author>
    </b:Author>
    <b:Department>Global Development Institute, SEED</b:Department>
    <b:Institution>University of Manchester</b:Institution>
    <b:ThesisType>Research</b:ThesisType>
    <b:ShortTitle>Digital Economy Policy: The Case Example of Thailand</b:ShortTitle>
    <b:Comments>Development Implications of Digital Economies</b:Comments>
    <b:YearAccessed>2018</b:YearAccessed>
    <b:MonthAccessed>November</b:MonthAccessed>
    <b:DayAccessed>14</b:DayAccessed>
    <b:RefOrder>279</b:RefOrder>
  </b:Source>
  <b:Source>
    <b:Tag>Agr18</b:Tag>
    <b:SourceType>InternetSite</b:SourceType>
    <b:Guid>{D0059E74-FDC5-4A8D-AA07-AA9DA8096FD3}</b:Guid>
    <b:Title>Agricultural value chains …integrated risks and optimal financing in the one district, one factory programme</b:Title>
    <b:Year>2018</b:Year>
    <b:Month>September</b:Month>
    <b:Day>29</b:Day>
    <b:InternetSiteTitle>B&amp;FT online</b:InternetSiteTitle>
    <b:URL>https://thebftonline.com/2018/business/agribusiness/agricultural-value-chains-integrated-risks-and-optimal-financing-in-the-one-district-one-factory-programme/ </b:URL>
    <b:ShortTitle>Agricultural value chains</b:ShortTitle>
    <b:RefOrder>280</b:RefOrder>
  </b:Source>
  <b:Source>
    <b:Tag>htt</b:Tag>
    <b:SourceType>InternetSite</b:SourceType>
    <b:Guid>{501B7299-773A-4588-9240-A2F65AFF6246}</b:Guid>
    <b:URL>https://en.wikipedia.org/wiki/Agriculture_in_Thailand</b:URL>
    <b:Title>Wikipedia</b:Title>
    <b:YearAccessed>2018</b:YearAccessed>
    <b:MonthAccessed>May</b:MonthAccessed>
    <b:DayAccessed>12</b:DayAccessed>
    <b:ShortTitle>Agriculture in Thailand</b:ShortTitle>
    <b:RefOrder>281</b:RefOrder>
  </b:Source>
  <b:Source>
    <b:Tag>TRA</b:Tag>
    <b:SourceType>InternetSite</b:SourceType>
    <b:Guid>{CD73B311-E6F7-4171-88C6-74099A9E5BEB}</b:Guid>
    <b:InternetSiteTitle>Trading Economics</b:InternetSiteTitle>
    <b:URL>https://tradingeconomics.com/thailand/gdp-from-agriculture</b:URL>
    <b:Author>
      <b:ProducerName>
        <b:NameList>
          <b:Person>
            <b:Last>Sousa</b:Last>
            <b:Middle>J Fernandes</b:Middle>
            <b:First>Antonio </b:First>
          </b:Person>
          <b:Person>
            <b:Last>Fedec</b:Last>
            <b:First>Anna</b:First>
          </b:Person>
        </b:NameList>
      </b:ProducerName>
    </b:Author>
    <b:ProductionCompany>IECONOMICS INC</b:ProductionCompany>
    <b:RefOrder>282</b:RefOrder>
  </b:Source>
  <b:Source>
    <b:Tag>it218</b:Tag>
    <b:SourceType>ArticleInAPeriodical</b:SourceType>
    <b:Guid>{E3D4FCC2-E842-44D6-B45B-1BCB63717FF0}</b:Guid>
    <b:Title>NBTC discloses statistics on the use of mobile phones in Thailand in 2018 using the mobile network hit 3 million terabytes: กสทช. เผยสถิติการใช้มือถือไทย ปี 2560 ใช้เน็ตมือถือกระหน่ำ 3 ล้านเทราไบต์</b:Title>
    <b:Year>2018</b:Year>
    <b:Month>April</b:Month>
    <b:Day>5</b:Day>
    <b:URL>https://www.it24hrs.com/2018/smartphone-thailand-3g-4g-static-data/</b:URL>
    <b:InternetSiteTitle>www.it24hrs.com</b:InternetSiteTitle>
    <b:ProductionCompany>it24hrs</b:ProductionCompany>
    <b:PeriodicalTitle>IT 24 hrs</b:PeriodicalTitle>
    <b:Author>
      <b:Author>
        <b:Corporate>it24hrs</b:Corporate>
      </b:Author>
    </b:Author>
    <b:RefOrder>283</b:RefOrder>
  </b:Source>
  <b:Source>
    <b:Tag>Cha16</b:Tag>
    <b:SourceType>JournalArticle</b:SourceType>
    <b:Guid>{CE10FBD1-0161-49EF-A9E2-08D7D729CF5C}</b:Guid>
    <b:Year>2016</b:Year>
    <b:Month>June</b:Month>
    <b:Author>
      <b:Author>
        <b:NameList>
          <b:Person>
            <b:Last>Chatchalearmpol</b:Last>
            <b:First>Achara</b:First>
          </b:Person>
          <b:Person>
            <b:Last>Pongsuwan</b:Last>
            <b:First>Wuttipong</b:First>
          </b:Person>
          <b:Person>
            <b:Last>Vachalobol</b:Last>
            <b:First>Leelavadee</b:First>
          </b:Person>
        </b:NameList>
      </b:Author>
    </b:Author>
    <b:Pages>58-64.</b:Pages>
    <b:Volume>8, No. 3</b:Volume>
    <b:Issue>ISSN 2220-3796</b:Issue>
    <b:Title>Social Media Perception Affecting the Business of PTT Public Company Limited</b:Title>
    <b:JournalName>Information Management and Business Review</b:JournalName>
    <b:RefOrder>284</b:RefOrder>
  </b:Source>
  <b:Source xmlns:b="http://schemas.openxmlformats.org/officeDocument/2006/bibliography">
    <b:Tag>Placeholder2</b:Tag>
    <b:SourceType>JournalArticle</b:SourceType>
    <b:Guid>{90C29E00-4A38-4106-9575-D52EDE3B36E4}</b:Guid>
    <b:Author>
      <b:Author>
        <b:NameList>
          <b:Person>
            <b:Last>Khongmanee</b:Last>
            <b:First>Paradorn</b:First>
          </b:Person>
          <b:Person>
            <b:Last>Pongsuwan</b:Last>
            <b:First>Wuttipong</b:First>
          </b:Person>
          <b:Person>
            <b:Last>Thanawastien</b:Last>
            <b:First>Suchai</b:First>
          </b:Person>
        </b:NameList>
      </b:Author>
    </b:Author>
    <b:Title>Smart Drivers:Travelling Management for Smart Employees</b:Title>
    <b:JournalName>Elixir International Journal</b:JournalName>
    <b:Publisher>Elixir Org.</b:Publisher>
    <b:Volume>Behaviour 112 (2017)</b:Volume>
    <b:StandardNumber>48951-48953</b:StandardNumber>
    <b:RefOrder>285</b:RefOrder>
  </b:Source>
  <b:Source>
    <b:Tag>Dou16</b:Tag>
    <b:SourceType>ConferenceProceedings</b:SourceType>
    <b:Guid>{67FCA4A6-A512-4F9D-972F-18E9C0116EB3}</b:Guid>
    <b:Title>Social Communication for Smart Farmers: A Case Study on Durian Farmers.</b:Title>
    <b:Year>2016</b:Year>
    <b:City>Fukuoka</b:City>
    <b:Author>
      <b:Author>
        <b:NameList>
          <b:Person>
            <b:Last>Doungvichitkul</b:Last>
            <b:First>Samard</b:First>
          </b:Person>
          <b:Person>
            <b:Last>Pongsuwan</b:Last>
            <b:First>Wuttipong</b:First>
          </b:Person>
          <b:Person>
            <b:Last>Thanawastien</b:Last>
            <b:First>Suchai</b:First>
          </b:Person>
        </b:NameList>
      </b:Author>
    </b:Author>
    <b:Pages>Equity and Social Justice, August 2-3, 2016. Fukuoka, Japan ISSN 2188-6865.</b:Pages>
    <b:LCID>1033</b:LCID>
    <b:ConferenceName>The Asian Symposium on Education, Equity and Social Justice</b:ConferenceName>
    <b:StandardNumber>ISSN 2188-6865</b:StandardNumber>
    <b:RefOrder>286</b:RefOrder>
  </b:Source>
  <b:Source>
    <b:Tag>Wik18</b:Tag>
    <b:SourceType>InternetSite</b:SourceType>
    <b:Guid>{B0083C8B-AA6B-44C6-9D0F-535284A1AD80}</b:Guid>
    <b:Title>Wikipedia</b:Title>
    <b:URL>https://en.wikipedia.org/wiki/Business_Process_Model_and_Notation</b:URL>
    <b:ShortTitle>Business Process Model and Notation</b:ShortTitle>
    <b:YearAccessed>2018</b:YearAccessed>
    <b:MonthAccessed>March</b:MonthAccessed>
    <b:DayAccessed>31</b:DayAccessed>
    <b:RefOrder>287</b:RefOrder>
  </b:Source>
  <b:Source>
    <b:Tag>SBa15</b:Tag>
    <b:SourceType>Book</b:SourceType>
    <b:Guid>{C4BCBAD3-C72B-453B-95F0-116AE382139B}</b:Guid>
    <b:Author>
      <b:Author>
        <b:NameList>
          <b:Person>
            <b:Last>Basarik</b:Last>
            <b:First>A.</b:First>
          </b:Person>
          <b:Person>
            <b:Last>Yildirim</b:Last>
            <b:First> S.</b:First>
          </b:Person>
        </b:NameList>
      </b:Author>
    </b:Author>
    <b:Title>A Case study of Sharing Farm Machinery in Turkey</b:Title>
    <b:Year>2015</b:Year>
    <b:Publisher>International Journal of Natural and Engineering Sciences</b:Publisher>
    <b:Volume>9(3)</b:Volume>
    <b:StandardNumber>ISSN: 1307-1149</b:StandardNumber>
    <b:Pages>01-05</b:Pages>
    <b:URL>www.nobel.gen.tr</b:URL>
    <b:RefOrder>288</b:RefOrder>
  </b:Source>
  <b:Source>
    <b:Tag>Tha18</b:Tag>
    <b:SourceType>InternetSite</b:SourceType>
    <b:Guid>{DA6AB1AA-21C7-4D6F-B76F-E9B5556D9AD6}</b:Guid>
    <b:Title>Thailand: Rural population, percent</b:Title>
    <b:InternetSiteTitle>The Global Economy</b:InternetSiteTitle>
    <b:URL>https://www.theglobaleconomy.com/Thailand/rural_population_percent/</b:URL>
    <b:ProductionCompany> The World Bank</b:ProductionCompany>
    <b:YearAccessed>2018</b:YearAccessed>
    <b:MonthAccessed>October</b:MonthAccessed>
    <b:DayAccessed>20</b:DayAccessed>
    <b:ShortTitle>Thailand: Rural population, percent of total population</b:ShortTitle>
    <b:RefOrder>289</b:RefOrder>
  </b:Source>
  <b:Source>
    <b:Tag>Kho</b:Tag>
    <b:SourceType>JournalArticle</b:SourceType>
    <b:Guid>{7C0A2674-87F4-4B2C-9F68-F081407FE02F}</b:Guid>
    <b:Author>
      <b:Author>
        <b:NameList>
          <b:Person>
            <b:Last>Khongmanee</b:Last>
            <b:First>Paradorn</b:First>
          </b:Person>
          <b:Person>
            <b:Last>Pongsuwan</b:Last>
            <b:First>Wuttipong</b:First>
          </b:Person>
          <b:Person>
            <b:Last>Thanawastien</b:Last>
            <b:First>Suchai</b:First>
          </b:Person>
        </b:NameList>
      </b:Author>
    </b:Author>
    <b:Title>Smart Drivers:Travelling Management for Smart Employees</b:Title>
    <b:JournalName>Elixir International Journal</b:JournalName>
    <b:Publisher>Elixir Org.</b:Publisher>
    <b:Volume>Behaviour 112 (2017)</b:Volume>
    <b:StandardNumber>48951-48953</b:StandardNumber>
    <b:Year>2017</b:Year>
    <b:RefOrder>290</b:RefOrder>
  </b:Source>
  <b:Source>
    <b:Tag>Div18</b:Tag>
    <b:SourceType>Misc</b:SourceType>
    <b:Guid>{67DB3BDB-F7AB-4CF1-8B8A-4C2DEFB0F0EF}</b:Guid>
    <b:Year>2018</b:Year>
    <b:URL>http://ttid.nbtc.go.th/mobile_subscribers.html</b:URL>
    <b:Author>
      <b:Author>
        <b:Corporate>NBTC, The Office of National Broadcasting and Telecommunications Commission</b:Corporate>
      </b:Author>
    </b:Author>
    <b:ProductionCompany>NBTC, Thailand Office of National Broadcasting and Telecommunications Commission</b:ProductionCompany>
    <b:Publisher>Division of Telecommunication Economics Research and Information Center, Telecommunication Policy and Resource Management Bureau</b:Publisher>
    <b:Title>Mobile Subscribers in Thailand</b:Title>
    <b:LCID>1033</b:LCID>
    <b:RefOrder>291</b:RefOrder>
  </b:Source>
  <b:Source>
    <b:Tag>Gal19</b:Tag>
    <b:SourceType>InternetSite</b:SourceType>
    <b:Guid>{49EAAC4B-7A17-4663-9F7E-ED245373A15F}</b:Guid>
    <b:Title>Pakistan Economic survey 2018-19</b:Title>
    <b:Year>2019</b:Year>
    <b:City>Pakistan</b:City>
    <b:Publisher>GILANI RESEARCH FOUNDATION POLLS</b:Publisher>
    <b:Author>
      <b:Author>
        <b:Corporate>Gallup &amp; Gilani</b:Corporate>
      </b:Author>
    </b:Author>
    <b:ThesisType>SPECIAL PRESS RELEASES</b:ThesisType>
    <b:YearAccessed>2019</b:YearAccessed>
    <b:MonthAccessed>September</b:MonthAccessed>
    <b:DayAccessed>24</b:DayAccessed>
    <b:RefOrder>292</b:RefOrder>
  </b:Source>
  <b:Source>
    <b:Tag>Kaz19</b:Tag>
    <b:SourceType>Report</b:SourceType>
    <b:Guid>{613D4D4A-1F44-4B4F-9CC8-58CCA384ED3F}</b:Guid>
    <b:Author>
      <b:Author>
        <b:NameList>
          <b:Person>
            <b:Last>Rizvi</b:Last>
            <b:First>Kazim</b:First>
            <b:Middle>Raza</b:Middle>
          </b:Person>
        </b:NameList>
      </b:Author>
    </b:Author>
    <b:Title>Pakistan's textile sector exports decline 1.42 percent in FY19</b:Title>
    <b:Year>2019</b:Year>
    <b:Publisher>customnews.pk</b:Publisher>
    <b:City>Pakistan</b:City>
    <b:YearAccessed>2019</b:YearAccessed>
    <b:MonthAccessed>November</b:MonthAccessed>
    <b:DayAccessed>16</b:DayAccessed>
    <b:URL>www.customnews.pk</b:URL>
    <b:RefOrder>293</b:RefOrder>
  </b:Source>
  <b:Source>
    <b:Tag>Tra19</b:Tag>
    <b:SourceType>Report</b:SourceType>
    <b:Guid>{AEE88712-004B-40EF-AD34-DE4BA64832CF}</b:Guid>
    <b:Author>
      <b:Author>
        <b:NameList>
          <b:Person>
            <b:Last>Tradingeconomics</b:Last>
          </b:Person>
        </b:NameList>
      </b:Author>
    </b:Author>
    <b:Title>Pakistan Cement production</b:Title>
    <b:Year>2019</b:Year>
    <b:Publisher>tradingeconomics.com</b:Publisher>
    <b:City>Pakistan</b:City>
    <b:YearAccessed>2019</b:YearAccessed>
    <b:MonthAccessed>November</b:MonthAccessed>
    <b:DayAccessed>16</b:DayAccessed>
    <b:RefOrder>294</b:RefOrder>
  </b:Source>
  <b:Source>
    <b:Tag>Pak19</b:Tag>
    <b:SourceType>InternetSite</b:SourceType>
    <b:Guid>{433573A5-3DD0-4BB2-B90D-847E057C0078}</b:Guid>
    <b:Department>Ministry of Finance</b:Department>
    <b:Institution>Government of Pakistan</b:Institution>
    <b:YearAccessed>2019</b:YearAccessed>
    <b:MonthAccessed>November</b:MonthAccessed>
    <b:DayAccessed>20</b:DayAccessed>
    <b:URL>http://www.finance.gov.pk/survey_1213.html</b:URL>
    <b:Title>Pakistan Economic Survey 2012-13</b:Title>
    <b:RefOrder>295</b:RefOrder>
  </b:Source>
  <b:Source>
    <b:Tag>All19</b:Tag>
    <b:SourceType>InternetSite</b:SourceType>
    <b:Guid>{61D089ED-1812-4CF1-8E15-89EC3C6E398A}</b:Guid>
    <b:Title>All Pakistan Cement Manufacturer Association</b:Title>
    <b:InternetSiteTitle>www.apcma.com</b:InternetSiteTitle>
    <b:YearAccessed>2019</b:YearAccessed>
    <b:MonthAccessed>November</b:MonthAccessed>
    <b:DayAccessed>12</b:DayAccessed>
    <b:URL>http://apcma.com/data_history.html</b:URL>
    <b:RefOrder>296</b:RefOrder>
  </b:Source>
  <b:Source>
    <b:Tag>Fra74</b:Tag>
    <b:SourceType>JournalArticle</b:SourceType>
    <b:Guid>{F3FAD0F6-5197-492E-A5FF-B798D8BA8ECA}</b:Guid>
    <b:Author>
      <b:Author>
        <b:NameList>
          <b:Person>
            <b:Last>Fraser</b:Last>
            <b:First>D.R</b:First>
          </b:Person>
          <b:Person>
            <b:Last>Philips</b:Last>
            <b:First>W</b:First>
          </b:Person>
          <b:Person>
            <b:Last>Rose</b:Last>
            <b:First>P.S</b:First>
          </b:Person>
        </b:NameList>
      </b:Author>
    </b:Author>
    <b:Title>A Canonical Analysis of Bank Performance</b:Title>
    <b:JournalName>Journal of Financial and Quantitative Analysis</b:JournalName>
    <b:Year>1974</b:Year>
    <b:Pages>287-295</b:Pages>
    <b:Volume>9</b:Volume>
    <b:Issue>2</b:Issue>
    <b:RefOrder>297</b:RefOrder>
  </b:Source>
  <b:Source>
    <b:Tag>Dou11</b:Tag>
    <b:SourceType>BookSection</b:SourceType>
    <b:Guid>{4D3203F5-C3EC-47C0-A424-6706E80A8B71}</b:Guid>
    <b:Author>
      <b:Author>
        <b:NameList>
          <b:Person>
            <b:Last>Dougherty</b:Last>
            <b:First>C</b:First>
          </b:Person>
        </b:NameList>
      </b:Author>
      <b:BookAuthor>
        <b:NameList>
          <b:Person>
            <b:Last>Dougherty</b:Last>
            <b:First>Christopher</b:First>
          </b:Person>
        </b:NameList>
      </b:BookAuthor>
    </b:Author>
    <b:Year>2016</b:Year>
    <b:Publisher>Oxford University Press</b:Publisher>
    <b:Edition>5</b:Edition>
    <b:BookTitle>Introduction to Econometrics</b:BookTitle>
    <b:Pages>608</b:Pages>
    <b:RefOrder>298</b:RefOrder>
  </b:Source>
  <b:Source>
    <b:Tag>Jen86</b:Tag>
    <b:SourceType>JournalArticle</b:SourceType>
    <b:Guid>{93D2D135-D19B-443C-AE72-5040765BF9A3}</b:Guid>
    <b:Author>
      <b:Author>
        <b:NameList>
          <b:Person>
            <b:Last>Jensen</b:Last>
            <b:First>M.</b:First>
            <b:Middle>C</b:Middle>
          </b:Person>
        </b:NameList>
      </b:Author>
    </b:Author>
    <b:Title>Agency Costs of Free Cash Flow, Corporate Finance, and Takeovers</b:Title>
    <b:JournalName>American Economic Review</b:JournalName>
    <b:Year>1986</b:Year>
    <b:Pages>323-329</b:Pages>
    <b:Volume>76</b:Volume>
    <b:Issue>2</b:Issue>
    <b:RefOrder>299</b:RefOrder>
  </b:Source>
  <b:Source>
    <b:Tag>Fol06</b:Tag>
    <b:SourceType>JournalArticle</b:SourceType>
    <b:Guid>{5D3366E4-1067-4D21-8D2F-0479106D15DD}</b:Guid>
    <b:Author>
      <b:Author>
        <b:Corporate>Foley, C. Fritz; Hartzell, Jay C; Titman, Sheridan; Twite, Garry</b:Corporate>
      </b:Author>
    </b:Author>
    <b:Title>Why do firms hold so much cash? A tax-based explanation</b:Title>
    <b:JournalName>Journal of Financial Economics, Elsevier</b:JournalName>
    <b:Year>2007</b:Year>
    <b:Month>December</b:Month>
    <b:Pages>579-607</b:Pages>
    <b:Volume>86</b:Volume>
    <b:Issue>3</b:Issue>
    <b:RefOrder>300</b:RefOrder>
  </b:Source>
  <b:Source>
    <b:Tag>Opl99</b:Tag>
    <b:SourceType>JournalArticle</b:SourceType>
    <b:Guid>{354BD3E9-B7BE-461E-8184-C2162BEDD286}</b:Guid>
    <b:Author>
      <b:Author>
        <b:NameList>
          <b:Person>
            <b:Last>Opler</b:Last>
            <b:First>T</b:First>
          </b:Person>
          <b:Person>
            <b:Last>Pinkowitz</b:Last>
            <b:First>L</b:First>
          </b:Person>
          <b:Person>
            <b:Last>Stulz</b:Last>
            <b:First>R</b:First>
          </b:Person>
          <b:Person>
            <b:Last>Williamson</b:Last>
            <b:First>R</b:First>
          </b:Person>
        </b:NameList>
      </b:Author>
    </b:Author>
    <b:Title>The Determinants and Implications of Corporate Cash Holdings</b:Title>
    <b:JournalName>Journal of Financial Economics</b:JournalName>
    <b:Year>1999</b:Year>
    <b:Pages>3-46</b:Pages>
    <b:Volume>52</b:Volume>
    <b:RefOrder>301</b:RefOrder>
  </b:Source>
  <b:Source>
    <b:Tag>Mil66</b:Tag>
    <b:SourceType>JournalArticle</b:SourceType>
    <b:Guid>{46F0DF60-78D7-4B7B-83DC-E427CF18B73C}</b:Guid>
    <b:Author>
      <b:Author>
        <b:NameList>
          <b:Person>
            <b:Last>Miller</b:Last>
            <b:First>Merton</b:First>
            <b:Middle>H</b:Middle>
          </b:Person>
          <b:Person>
            <b:Last>Orr</b:Last>
            <b:First>Deniel</b:First>
          </b:Person>
        </b:NameList>
      </b:Author>
    </b:Author>
    <b:Title>A Model of the Demand for Money by Firms</b:Title>
    <b:JournalName>Quarterly Journal of Economics</b:JournalName>
    <b:Year>1966</b:Year>
    <b:Pages>413-435</b:Pages>
    <b:Month>August</b:Month>
    <b:Volume>80</b:Volume>
    <b:Issue>3</b:Issue>
    <b:RefOrder>302</b:RefOrder>
  </b:Source>
  <b:Source>
    <b:Tag>Sin08</b:Tag>
    <b:SourceType>JournalArticle</b:SourceType>
    <b:Guid>{BF62FE41-3B24-4407-AA29-8C8E9C175A18}</b:Guid>
    <b:Author>
      <b:Author>
        <b:NameList>
          <b:Person>
            <b:Last>Singh</b:Last>
            <b:First>J.P</b:First>
          </b:Person>
          <b:Person>
            <b:Last>Pandey</b:Last>
            <b:First>S</b:First>
          </b:Person>
        </b:NameList>
      </b:Author>
    </b:Author>
    <b:Title>Impact of Working Capital Management in the Profitability of Hindalco Industries Limited</b:Title>
    <b:JournalName>The Icfai University Journal of Financial Economics</b:JournalName>
    <b:Year>2008</b:Year>
    <b:Pages>62-72</b:Pages>
    <b:Volume>6</b:Volume>
    <b:Issue>4</b:Issue>
    <b:RefOrder>303</b:RefOrder>
  </b:Source>
  <b:Source>
    <b:Tag>Bou90</b:Tag>
    <b:SourceType>JournalArticle</b:SourceType>
    <b:Guid>{ED7663A8-73D4-4D45-A1D0-5A870B7905E2}</b:Guid>
    <b:Author>
      <b:Author>
        <b:NameList>
          <b:Person>
            <b:Last>Boulding</b:Last>
            <b:First>William</b:First>
          </b:Person>
          <b:Person>
            <b:Last>Staelin</b:Last>
            <b:First>Richard</b:First>
          </b:Person>
        </b:NameList>
      </b:Author>
    </b:Author>
    <b:Title>Environment, Market Share, and Market Power</b:Title>
    <b:JournalName>Management Science</b:JournalName>
    <b:Year>1990</b:Year>
    <b:Pages>1160-1177</b:Pages>
    <b:Month>October</b:Month>
    <b:Volume>36</b:Volume>
    <b:Issue>10</b:Issue>
    <b:RefOrder>304</b:RefOrder>
  </b:Source>
  <b:Source>
    <b:Tag>Nan12</b:Tag>
    <b:SourceType>JournalArticle</b:SourceType>
    <b:Guid>{E17E191D-3A20-412B-8D01-407EE65E12FE}</b:Guid>
    <b:Author>
      <b:Author>
        <b:NameList>
          <b:Person>
            <b:Last>Nandi</b:Last>
            <b:First>Kartik</b:First>
            <b:Middle>Chandra</b:Middle>
          </b:Person>
        </b:NameList>
      </b:Author>
    </b:Author>
    <b:Title>TRENDS IN LIQUIDITY MANAGEMENT AND THEIR IMPACT ON PROFITABILITY:  A CASE STUDY</b:Title>
    <b:JournalName>Great Lakes Herald</b:JournalName>
    <b:Year>2012</b:Year>
    <b:Volume>6</b:Volume>
    <b:Issue>1</b:Issue>
    <b:Pages>16-30</b:Pages>
    <b:RefOrder>305</b:RefOrder>
  </b:Source>
  <b:Source>
    <b:Tag>Fit051</b:Tag>
    <b:SourceType>ConferenceProceedings</b:SourceType>
    <b:Guid>{DBEF057B-9B3A-426C-A2EA-7CDEB991EB87}</b:Guid>
    <b:Author>
      <b:Author>
        <b:Corporate>Fitzsimmons, Jason R; Steffens, Paul; Douglas, Evan J</b:Corporate>
      </b:Author>
    </b:Author>
    <b:Title>Growth and Profitability in Small and Medium Sized Australian Firms</b:Title>
    <b:Year>2005</b:Year>
    <b:Month>February</b:Month>
    <b:ConferenceName>AGSE Entrepreneurship Exchange, Melbourne</b:ConferenceName>
    <b:YearAccessed>2019</b:YearAccessed>
    <b:MonthAccessed>November</b:MonthAccessed>
    <b:DayAccessed>14</b:DayAccessed>
    <b:RefOrder>306</b:RefOrder>
  </b:Source>
  <b:Source>
    <b:Tag>Luc</b:Tag>
    <b:SourceType>JournalArticle</b:SourceType>
    <b:Guid>{2A6345E7-43CD-41B8-A6F0-F45606835FA2}</b:Guid>
    <b:Author>
      <b:Author>
        <b:Corporate>Lucius, Harold W; Habte-Giorgis, Berhe; Lee, Jooh</b:Corporate>
      </b:Author>
    </b:Author>
    <b:Title>Empirical Study of the Strategic Impact of Major Marketing Factors on Firms Accounting Performance in The Pharmaceutical Industry</b:Title>
    <b:Year>2008</b:Year>
    <b:JournalName>Business Research Yearbook</b:JournalName>
    <b:Pages>205-209</b:Pages>
    <b:Volume>XV</b:Volume>
    <b:Issue>3</b:Issue>
    <b:RefOrder>307</b:RefOrder>
  </b:Source>
  <b:Source>
    <b:Tag>Ver71</b:Tag>
    <b:SourceType>JournalArticle</b:SourceType>
    <b:Guid>{C90D93B8-379A-4C22-9153-C99CF6D34DD2}</b:Guid>
    <b:Author>
      <b:Author>
        <b:NameList>
          <b:Person>
            <b:Last>Vernon</b:Last>
            <b:First>J</b:First>
            <b:Middle>R</b:Middle>
          </b:Person>
        </b:NameList>
      </b:Author>
    </b:Author>
    <b:Title>Separation of Ownership and Control and Profit Rates, the Evidence from Banking: Comment</b:Title>
    <b:JournalName>Journal of Financial and Quantitative Analysis</b:JournalName>
    <b:Year>1971</b:Year>
    <b:Pages>615-625</b:Pages>
    <b:Month>January</b:Month>
    <b:Volume>6</b:Volume>
    <b:Issue>1</b:Issue>
    <b:RefOrder>308</b:RefOrder>
  </b:Source>
  <b:Source>
    <b:Tag>Eme71</b:Tag>
    <b:SourceType>JournalArticle</b:SourceType>
    <b:Guid>{18D7885A-D765-426F-999C-D49C21DBC93D}</b:Guid>
    <b:Author>
      <b:Author>
        <b:NameList>
          <b:Person>
            <b:Last>Emery</b:Last>
            <b:First>John</b:First>
            <b:Middle>T</b:Middle>
          </b:Person>
        </b:NameList>
      </b:Author>
    </b:Author>
    <b:Title>Risk, Returns, and the Morphology of Commercial Banking</b:Title>
    <b:JournalName>Journal of Financial and Quantitative Analysis</b:JournalName>
    <b:Year>1971</b:Year>
    <b:Pages>763-776</b:Pages>
    <b:Month>March</b:Month>
    <b:Volume>6</b:Volume>
    <b:Issue>2</b:Issue>
    <b:RefOrder>309</b:RefOrder>
  </b:Source>
  <b:Source>
    <b:Tag>Pel68</b:Tag>
    <b:SourceType>JournalArticle</b:SourceType>
    <b:Guid>{2221FB07-9CFE-4029-B0E4-C8C079610386}</b:Guid>
    <b:Author>
      <b:Author>
        <b:NameList>
          <b:Person>
            <b:Last>Peltzman</b:Last>
            <b:First>Sam</b:First>
          </b:Person>
        </b:NameList>
      </b:Author>
    </b:Author>
    <b:Title>Bank Stock Prices and the Effects of Regulation of the Banking Structure</b:Title>
    <b:JournalName>The Journal of Business, University of Chicago press</b:JournalName>
    <b:Year>1968</b:Year>
    <b:Pages>413</b:Pages>
    <b:Volume>41</b:Volume>
    <b:RefOrder>310</b:RefOrder>
  </b:Source>
  <b:Source>
    <b:Tag>Mol92</b:Tag>
    <b:SourceType>JournalArticle</b:SourceType>
    <b:Guid>{0B579211-87AD-4768-9079-087AD6B49FCD}</b:Guid>
    <b:Author>
      <b:Author>
        <b:NameList>
          <b:Person>
            <b:Last>Molyneux</b:Last>
            <b:First>P</b:First>
          </b:Person>
          <b:Person>
            <b:Last>Thornton</b:Last>
            <b:First>J</b:First>
          </b:Person>
        </b:NameList>
      </b:Author>
    </b:Author>
    <b:Title>Determinants of European Bank Profitability: A Note</b:Title>
    <b:JournalName>Journal of Banking and Finance</b:JournalName>
    <b:Year>1992</b:Year>
    <b:Pages>1173-1178</b:Pages>
    <b:Volume>16</b:Volume>
    <b:Issue>6</b:Issue>
    <b:RefOrder>311</b:RefOrder>
  </b:Source>
  <b:Source>
    <b:Tag>All11</b:Tag>
    <b:SourceType>ConferenceProceedings</b:SourceType>
    <b:Guid>{76C7169C-3B75-42B0-BC01-05B364AED8A1}</b:Guid>
    <b:Author>
      <b:Author>
        <b:Corporate>Allen,A.J, Shaik,S., Myles,A.E., &amp; Yeboah,O.A</b:Corporate>
      </b:Author>
    </b:Author>
    <b:Title>Determinants of Profitability Performance: An Analysis of Class I Railroads in the United States.</b:Title>
    <b:Year>2011</b:Year>
    <b:YearAccessed>2019</b:YearAccessed>
    <b:MonthAccessed>November</b:MonthAccessed>
    <b:DayAccessed>14</b:DayAccessed>
    <b:URL>https://www.researchgate.net/publication/228353196_Determinants_of_Profitability_Performance_An_Analysis_of_Class_I_Railroads_in_the_United_States/citation/download</b:URL>
    <b:ConferenceName>Southern Agricultural Economics Association Annual Meeting, Corpus Christi, TX</b:ConferenceName>
    <b:RefOrder>312</b:RefOrder>
  </b:Source>
  <b:Source>
    <b:Tag>Ahm99</b:Tag>
    <b:SourceType>JournalArticle</b:SourceType>
    <b:Guid>{721A4E81-1555-4AA4-92E5-D8307F515BFC}</b:Guid>
    <b:Author>
      <b:Author>
        <b:Corporate>Ahmed,A., &amp; Khababa,N</b:Corporate>
      </b:Author>
    </b:Author>
    <b:Title>Performance of the Banking Sector in Saudi Arabia</b:Title>
    <b:Pages>30-36</b:Pages>
    <b:Year>1999</b:Year>
    <b:JournalName>Journal of Financial Management and Analysis</b:JournalName>
    <b:Volume>12</b:Volume>
    <b:Issue>2</b:Issue>
    <b:RefOrder>313</b:RefOrder>
  </b:Source>
  <b:Source>
    <b:Tag>Kwa82</b:Tag>
    <b:SourceType>JournalArticle</b:SourceType>
    <b:Guid>{19A5B6B9-E0F6-4F01-B882-F91F399AB411}</b:Guid>
    <b:Author>
      <b:Author>
        <b:Corporate>Kwast, M. L., &amp; John, T .R</b:Corporate>
      </b:Author>
    </b:Author>
    <b:Title>Pricing, Operating Efficiency, and Profitability among Large Commercial Banks</b:Title>
    <b:JournalName>Journal of Banking and Finance</b:JournalName>
    <b:Year>1982</b:Year>
    <b:Pages>233-254</b:Pages>
    <b:Volume>6</b:Volume>
    <b:Issue>2</b:Issue>
    <b:RefOrder>314</b:RefOrder>
  </b:Source>
  <b:Source>
    <b:Tag>Gen12</b:Tag>
    <b:SourceType>JournalArticle</b:SourceType>
    <b:Guid>{349CA7AE-C35F-4FDC-B16E-30CA38478EE7}</b:Guid>
    <b:Author>
      <b:Author>
        <b:NameList>
          <b:Person>
            <b:Last>Genchev</b:Last>
            <b:First>Evgeni</b:First>
          </b:Person>
        </b:NameList>
      </b:Author>
    </b:Author>
    <b:Title>Effects of market share on the bank’s profitability</b:Title>
    <b:JournalName>Review of Applied Socio- Economic Research</b:JournalName>
    <b:Year>2012</b:Year>
    <b:Pages>87</b:Pages>
    <b:Volume>3</b:Volume>
    <b:Issue>1</b:Issue>
    <b:RefOrder>315</b:RefOrder>
  </b:Source>
  <b:Source>
    <b:Tag>Kha12</b:Tag>
    <b:SourceType>JournalArticle</b:SourceType>
    <b:Guid>{A42E62B4-95CD-4F34-BBF0-F6EADA7CE519}</b:Guid>
    <b:Author>
      <b:Author>
        <b:NameList>
          <b:Person>
            <b:Last>Khan</b:Last>
            <b:First>Zeeshan</b:First>
          </b:Person>
          <b:Person>
            <b:Last>Jawaid</b:Last>
            <b:First>Syed</b:First>
            <b:Middle>Tehseen</b:Middle>
          </b:Person>
          <b:Person>
            <b:Last>Arif</b:Last>
            <b:First>Imtiaz</b:First>
          </b:Person>
          <b:Person>
            <b:Last>Khan</b:Last>
            <b:First>Muhammad</b:First>
            <b:Middle>Nadeem</b:Middle>
          </b:Person>
        </b:NameList>
      </b:Author>
    </b:Author>
    <b:Title>Working capital management and firm’s profitability in Pakistan: A disaggregated analysis</b:Title>
    <b:JournalName>African Journal of Business Management</b:JournalName>
    <b:Year>2012</b:Year>
    <b:Pages>3253-3261</b:Pages>
    <b:Month>March</b:Month>
    <b:Volume>6</b:Volume>
    <b:Issue>9</b:Issue>
    <b:RefOrder>316</b:RefOrder>
  </b:Source>
  <b:Source>
    <b:Tag>Sal11</b:Tag>
    <b:SourceType>JournalArticle</b:SourceType>
    <b:Guid>{C25DE144-7B5B-465E-87BB-818B6340B41B}</b:Guid>
    <b:Author>
      <b:Author>
        <b:NameList>
          <b:Person>
            <b:Last>Saleem</b:Last>
            <b:First>Qasim</b:First>
          </b:Person>
          <b:Person>
            <b:Last>Rehman</b:Last>
            <b:First>Ramiz</b:First>
            <b:Middle>Ur</b:Middle>
          </b:Person>
        </b:NameList>
      </b:Author>
    </b:Author>
    <b:Title>Impacts of liquidity ratios on profitability (Case of oil and gas companies of Pakistan)</b:Title>
    <b:Year>2011</b:Year>
    <b:Month>July</b:Month>
    <b:JournalName>Interdisciplinary Journal of Research in Business</b:JournalName>
    <b:Pages>95-98</b:Pages>
    <b:Volume>1</b:Volume>
    <b:Issue>7</b:Issue>
    <b:RefOrder>317</b:RefOrder>
  </b:Source>
  <b:Source>
    <b:Tag>Nag</b:Tag>
    <b:SourceType>JournalArticle</b:SourceType>
    <b:Guid>{550B0F79-DEE3-4FC9-B4E9-6DE8BA59FC0C}</b:Guid>
    <b:Author>
      <b:Author>
        <b:NameList>
          <b:Person>
            <b:Last>Nagy</b:Last>
            <b:First>Neil</b:First>
          </b:Person>
          <b:Person>
            <b:Last>Newman</b:Last>
            <b:First>Dr</b:First>
          </b:Person>
          <b:Person>
            <b:Last>Nelson</b:Last>
            <b:First>Dr</b:First>
          </b:Person>
        </b:NameList>
      </b:Author>
    </b:Author>
    <b:Title>Determinants of Profitability: What factors play a role when assessing a firm's return on assets?</b:Title>
    <b:JournalName>The University of Akron</b:JournalName>
    <b:Year>2009</b:Year>
    <b:RefOrder>318</b:RefOrder>
  </b:Source>
  <b:Source>
    <b:Tag>Dec94</b:Tag>
    <b:SourceType>JournalArticle</b:SourceType>
    <b:Guid>{06A61BB7-A87C-420F-8F44-63830C92E31A}</b:Guid>
    <b:Author>
      <b:Author>
        <b:NameList>
          <b:Person>
            <b:Last>Dechant</b:Last>
            <b:First>K</b:First>
          </b:Person>
          <b:Person>
            <b:Last>Altman</b:Last>
            <b:First>B</b:First>
          </b:Person>
          <b:Person>
            <b:Last>Downing</b:Last>
            <b:First>R.M</b:First>
          </b:Person>
          <b:Person>
            <b:Last>Keeney</b:Last>
            <b:First>T</b:First>
          </b:Person>
        </b:NameList>
      </b:Author>
    </b:Author>
    <b:Title>Environmental  leadership:  From  compliance to  competitive  advantage</b:Title>
    <b:JournalName>Academy of Management Executive</b:JournalName>
    <b:Year>1994</b:Year>
    <b:Pages>7-28</b:Pages>
    <b:Volume>8</b:Volume>
    <b:Issue>3</b:Issue>
    <b:RefOrder>319</b:RefOrder>
  </b:Source>
  <b:Source>
    <b:Tag>Obe10</b:Tag>
    <b:SourceType>JournalArticle</b:SourceType>
    <b:Guid>{F917A3CC-D309-4288-BD82-60C7104E831F}</b:Guid>
    <b:Author>
      <b:Author>
        <b:NameList>
          <b:Person>
            <b:Last>Obert</b:Last>
            <b:First>Matarirano</b:First>
          </b:Person>
          <b:Person>
            <b:Last>Olawale</b:Last>
            <b:First>Fatoki</b:First>
          </b:Person>
        </b:NameList>
      </b:Author>
    </b:Author>
    <b:Title>Does debt really matter on the profitability of small firms? A perspective on small manufacturing firms in Bulawayo, Zimbabwe</b:Title>
    <b:JournalName>African Journal of Business Management</b:JournalName>
    <b:Year>2010</b:Year>
    <b:Pages>1709-1716</b:Pages>
    <b:Month>August</b:Month>
    <b:Day>4</b:Day>
    <b:Volume>4</b:Volume>
    <b:Issue>9</b:Issue>
    <b:RefOrder>320</b:RefOrder>
  </b:Source>
  <b:Source>
    <b:Tag>Coa07</b:Tag>
    <b:SourceType>JournalArticle</b:SourceType>
    <b:Guid>{90F2CE57-DA15-4671-91F3-32AD8DB87429}</b:Guid>
    <b:Author>
      <b:Author>
        <b:NameList>
          <b:Person>
            <b:Last>Coad</b:Last>
            <b:First>A</b:First>
          </b:Person>
        </b:NameList>
      </b:Author>
    </b:Author>
    <b:Title>Testing the principle of ‘growth of the fitter’: The relationship between profitas and firm growth</b:Title>
    <b:JournalName>Structural Change and Economic Dynamics</b:JournalName>
    <b:Year>2007</b:Year>
    <b:Pages>370-386</b:Pages>
    <b:Volume>18</b:Volume>
    <b:Issue>3</b:Issue>
    <b:RefOrder>321</b:RefOrder>
  </b:Source>
  <b:Source>
    <b:Tag>Mol94</b:Tag>
    <b:SourceType>JournalArticle</b:SourceType>
    <b:Guid>{3206FC0D-43B2-4B83-9D4C-64AD16FCBAA6}</b:Guid>
    <b:Author>
      <b:Author>
        <b:NameList>
          <b:Person>
            <b:Last>Molyneux</b:Last>
          </b:Person>
          <b:Person>
            <b:Last>Philip</b:Last>
          </b:Person>
          <b:Person>
            <b:Last>William</b:Last>
            <b:First>D.M.</b:First>
            <b:Middle>Lloyd</b:Middle>
          </b:Person>
          <b:Person>
            <b:Last>John</b:Last>
            <b:First>Thornton</b:First>
          </b:Person>
        </b:NameList>
      </b:Author>
    </b:Author>
    <b:Title>Competitive Condition in European Banking</b:Title>
    <b:JournalName>Journal of Banking and Finance</b:JournalName>
    <b:Year>1994</b:Year>
    <b:Pages>445-459</b:Pages>
    <b:Month>May</b:Month>
    <b:Volume>18</b:Volume>
    <b:Issue>3</b:Issue>
    <b:RefOrder>322</b:RefOrder>
  </b:Source>
  <b:Source>
    <b:Tag>Şam08</b:Tag>
    <b:SourceType>JournalArticle</b:SourceType>
    <b:Guid>{1B126237-C4CB-4A54-9BFC-43F54B6AE067}</b:Guid>
    <b:Author>
      <b:Author>
        <b:NameList>
          <b:Person>
            <b:Last>Şamiloğlu</b:Last>
            <b:First>F</b:First>
          </b:Person>
          <b:Person>
            <b:Last>Demirgüneş</b:Last>
            <b:First>K</b:First>
          </b:Person>
        </b:NameList>
      </b:Author>
    </b:Author>
    <b:Title>The Effect of Working Capital Management on Firm Profitability in Turkey</b:Title>
    <b:JournalName>The International Journal of Applied Economics and Finance</b:JournalName>
    <b:Year>2008</b:Year>
    <b:Pages>44-50</b:Pages>
    <b:Volume>2</b:Volume>
    <b:Issue>1</b:Issue>
    <b:RefOrder>323</b:RefOrder>
  </b:Source>
  <b:Source>
    <b:Tag>Bag12</b:Tag>
    <b:SourceType>JournalArticle</b:SourceType>
    <b:Guid>{055FD13C-5386-4FFF-BFA3-0C8D3E6F7A07}</b:Guid>
    <b:Author>
      <b:Author>
        <b:Corporate>Bagchi, B; Khamrui, B</b:Corporate>
      </b:Author>
    </b:Author>
    <b:Title>Relationship between Working Capital Management and Profitability: A Study of Selected FMCG Companies in India</b:Title>
    <b:JournalName>Business and Economics Journal</b:JournalName>
    <b:Year>2012</b:Year>
    <b:Month>May</b:Month>
    <b:Pages>1-11</b:Pages>
    <b:Volume>2012: BEJ-60</b:Volume>
    <b:RefOrder>324</b:RefOrder>
  </b:Source>
  <b:Source>
    <b:Tag>Bou89</b:Tag>
    <b:SourceType>JournalArticle</b:SourceType>
    <b:Guid>{7F57C0A2-F37C-410D-8862-99FC7E0053D2}</b:Guid>
    <b:Author>
      <b:Author>
        <b:NameList>
          <b:Person>
            <b:Last>Bourke</b:Last>
            <b:First>Philip</b:First>
          </b:Person>
        </b:NameList>
      </b:Author>
    </b:Author>
    <b:Title>Concentration and Other Determinants of Bank Profitability in Europe, North America and Australia</b:Title>
    <b:JournalName>Journal of Banking and Finance</b:JournalName>
    <b:Year>1989</b:Year>
    <b:Pages>65-67</b:Pages>
    <b:Volume>13</b:Volume>
    <b:Issue>1</b:Issue>
    <b:RefOrder>325</b:RefOrder>
  </b:Source>
  <b:Source>
    <b:Tag>Har04</b:Tag>
    <b:SourceType>JournalArticle</b:SourceType>
    <b:Guid>{0FDD2374-C050-465A-B4C2-C95BB88791CE}</b:Guid>
    <b:Author>
      <b:Author>
        <b:NameList>
          <b:Person>
            <b:Last>Haron</b:Last>
            <b:First>Professor</b:First>
            <b:Middle>Sudin</b:Middle>
          </b:Person>
        </b:NameList>
      </b:Author>
    </b:Author>
    <b:Title>DETERMINANTS OF ISLAMIC BANK PROFITABILITY</b:Title>
    <b:JournalName>Global Journal of Finance and Economics. USA</b:JournalName>
    <b:Year>2004</b:Year>
    <b:Month>March</b:Month>
    <b:Volume>1</b:Volume>
    <b:Issue>1</b:Issue>
    <b:Pages>2-18</b:Pages>
    <b:RefOrder>326</b:RefOrder>
  </b:Source>
  <b:Source>
    <b:Tag>Har95</b:Tag>
    <b:SourceType>JournalArticle</b:SourceType>
    <b:Guid>{84B0CFF2-CA71-4CAB-B7FE-FF04FC7BC656}</b:Guid>
    <b:Author>
      <b:Author>
        <b:NameList>
          <b:Person>
            <b:Last>Hart</b:Last>
            <b:First>S</b:First>
          </b:Person>
        </b:NameList>
      </b:Author>
    </b:Author>
    <b:Title>A  natural-resource-based  view  of  the  firm</b:Title>
    <b:JournalName>Academy  of  Management  Review</b:JournalName>
    <b:Year>1995</b:Year>
    <b:Pages>986-1014</b:Pages>
    <b:Volume>20</b:Volume>
    <b:Issue>4</b:Issue>
    <b:RefOrder>327</b:RefOrder>
  </b:Source>
  <b:Source>
    <b:Tag>Hay11</b:Tag>
    <b:SourceType>JournalArticle</b:SourceType>
    <b:Guid>{696A6D02-CF27-4551-8986-D8818349B84D}</b:Guid>
    <b:Author>
      <b:Author>
        <b:NameList>
          <b:Person>
            <b:Last>Hayajneh</b:Last>
            <b:First>Osama</b:First>
            <b:Middle>Suhail</b:Middle>
          </b:Person>
          <b:Person>
            <b:Last>Yassine</b:Last>
            <b:First>Fatima</b:First>
            <b:Middle>Lahcen Ait</b:Middle>
          </b:Person>
        </b:NameList>
      </b:Author>
    </b:Author>
    <b:Title>The Impact of Working Capital Efficiency on Profitability – an Empirical Analysis on Jordanian Manufacturing Firms</b:Title>
    <b:Year>2011</b:Year>
    <b:JournalName>International Research Journal of Finance and Economics</b:JournalName>
    <b:Pages>67-76</b:Pages>
    <b:Volume>66</b:Volume>
    <b:RefOrder>328</b:RefOrder>
  </b:Source>
  <b:Source>
    <b:Tag>Heg77</b:Tag>
    <b:SourceType>JournalArticle</b:SourceType>
    <b:Guid>{310F5D56-F0B0-4270-BBB1-C2AB97C2DE45}</b:Guid>
    <b:Author>
      <b:Author>
        <b:NameList>
          <b:Person>
            <b:Last>Heggested</b:Last>
            <b:First>A.A.</b:First>
          </b:Person>
        </b:NameList>
      </b:Author>
    </b:Author>
    <b:Title>Market Structure, Risk, and Profitability in Commercial Banking</b:Title>
    <b:JournalName>Journal of Finance</b:JournalName>
    <b:Year>1977</b:Year>
    <b:Pages>1207-1216</b:Pages>
    <b:Volume>32</b:Volume>
    <b:Issue>4</b:Issue>
    <b:RefOrder>329</b:RefOrder>
  </b:Source>
  <b:Source>
    <b:Tag>Kes90</b:Tag>
    <b:SourceType>JournalArticle</b:SourceType>
    <b:Guid>{73C7D8BB-89A9-4370-AC74-0C5C69BC3CC6}</b:Guid>
    <b:Author>
      <b:Author>
        <b:NameList>
          <b:Person>
            <b:Last>Kessides</b:Last>
            <b:First>I.N</b:First>
          </b:Person>
        </b:NameList>
      </b:Author>
    </b:Author>
    <b:Title>Internal Versus External Market Conditions and Firm Profitability: An Exploratory Model</b:Title>
    <b:JournalName>Economic Journal</b:JournalName>
    <b:Year>1990</b:Year>
    <b:Volume>100</b:Volume>
    <b:Issue>402</b:Issue>
    <b:Pages>773-792</b:Pages>
    <b:RefOrder>330</b:RefOrder>
  </b:Source>
  <b:Source>
    <b:Tag>Lee10</b:Tag>
    <b:SourceType>JournalArticle</b:SourceType>
    <b:Guid>{2315495F-449B-487E-9D9C-8800BC1EC016}</b:Guid>
    <b:Author>
      <b:Author>
        <b:NameList>
          <b:Person>
            <b:Last>Lee</b:Last>
            <b:First>Soeki</b:First>
          </b:Person>
        </b:NameList>
      </b:Author>
    </b:Author>
    <b:Title>Effects of Capital Intensity on Firm Performance: U.S. Restaurant Industry</b:Title>
    <b:JournalName>Journal of Hospitality Financial Management</b:JournalName>
    <b:Year>2010</b:Year>
    <b:Volume>18</b:Volume>
    <b:Issue>1</b:Issue>
    <b:Pages>1-13</b:Pages>
    <b:RefOrder>331</b:RefOrder>
  </b:Source>
  <b:Source>
    <b:Tag>Raz11</b:Tag>
    <b:SourceType>JournalArticle</b:SourceType>
    <b:Guid>{B95D8559-B8CE-49EF-B211-CA3C8FDACF3D}</b:Guid>
    <b:Author>
      <b:Author>
        <b:Corporate>Raza,S.A., Farooq,M.S., &amp; Khan,N</b:Corporate>
      </b:Author>
    </b:Author>
    <b:Title>Firm and Industry Effects on Firm Profitability: An Empirical Analysis of KSE</b:Title>
    <b:JournalName>International Research Journal of Finance and Economics</b:JournalName>
    <b:Year>2011</b:Year>
    <b:ShortTitle>MPRA_paper_36797</b:ShortTitle>
    <b:YearAccessed>2019</b:YearAccessed>
    <b:MonthAccessed>november</b:MonthAccessed>
    <b:DayAccessed>15</b:DayAccessed>
    <b:RefOrder>332</b:RefOrder>
  </b:Source>
  <b:Source>
    <b:Tag>Sho79</b:Tag>
    <b:SourceType>JournalArticle</b:SourceType>
    <b:Guid>{99F369A0-4CA8-4967-8C82-789D3984BA1E}</b:Guid>
    <b:Author>
      <b:Author>
        <b:NameList>
          <b:Person>
            <b:Last>Short</b:Last>
            <b:First>B.K.</b:First>
          </b:Person>
        </b:NameList>
      </b:Author>
    </b:Author>
    <b:Title>The Relation between Commercial Bank Profit Rates and Banking Concentration in Canada, Western Europe and Japan</b:Title>
    <b:JournalName>Journal of Banking and Finance</b:JournalName>
    <b:Year>1979</b:Year>
    <b:Pages>209-219</b:Pages>
    <b:Volume>3</b:Volume>
    <b:Issue>3</b:Issue>
    <b:RefOrder>333</b:RefOrder>
  </b:Source>
  <b:Source>
    <b:Tag>Shr95</b:Tag>
    <b:SourceType>JournalArticle</b:SourceType>
    <b:Guid>{369EB787-D79A-4C7B-976B-883278669086}</b:Guid>
    <b:Author>
      <b:Author>
        <b:NameList>
          <b:Person>
            <b:Last>Shrivastava</b:Last>
            <b:First>P</b:First>
          </b:Person>
        </b:NameList>
      </b:Author>
    </b:Author>
    <b:Title>The  role  of corporations in achieving ecological  sustainability.</b:Title>
    <b:JournalName>Academy of Management review</b:JournalName>
    <b:Year>1995</b:Year>
    <b:Pages>936-960</b:Pages>
    <b:Volume>20</b:Volume>
    <b:Issue>4</b:Issue>
    <b:RefOrder>334</b:RefOrder>
  </b:Source>
  <b:Source>
    <b:Tag>Smi85</b:Tag>
    <b:SourceType>JournalArticle</b:SourceType>
    <b:Guid>{D2ADCB92-CC25-4F9C-863D-AF1769347AE6}</b:Guid>
    <b:Author>
      <b:Author>
        <b:NameList>
          <b:Person>
            <b:Last>Smirlock</b:Last>
            <b:First>M</b:First>
          </b:Person>
        </b:NameList>
      </b:Author>
    </b:Author>
    <b:Title>Evidence on the (Non)Relationship between Concentration and Profitability in Banking</b:Title>
    <b:JournalName>Journal of Money, Credit and Banking</b:JournalName>
    <b:Year>1985</b:Year>
    <b:Pages>69-83</b:Pages>
    <b:Volume>17</b:Volume>
    <b:Issue>1</b:Issue>
    <b:RefOrder>335</b:RefOrder>
  </b:Source>
  <b:Source>
    <b:Tag>Blo061</b:Tag>
    <b:SourceType>JournalArticle</b:SourceType>
    <b:Guid>{09A2CEC8-ACB6-4BC1-B8B2-11FB60F0ACB4}</b:Guid>
    <b:Author>
      <b:Author>
        <b:NameList>
          <b:Person>
            <b:Last>Blossfeld</b:Last>
            <b:First>-P</b:First>
            <b:Middle>H</b:Middle>
          </b:Person>
          <b:Person>
            <b:Last>Mills</b:Last>
            <b:First>M</b:First>
          </b:Person>
          <b:Person>
            <b:Last>Bernardi</b:Last>
            <b:First>F</b:First>
          </b:Person>
        </b:NameList>
      </b:Author>
    </b:Author>
    <b:Title>Globalization, Uncertainty and Men’s Careers: An International Comparison</b:Title>
    <b:JournalName>Cheltenham and Northampton, MA: Edward Elgar</b:JournalName>
    <b:Year>2006</b:Year>
    <b:RefOrder>336</b:RefOrder>
  </b:Source>
  <b:Source>
    <b:Tag>Hof03</b:Tag>
    <b:SourceType>JournalArticle</b:SourceType>
    <b:Guid>{28652152-1591-403D-975B-9B54C502A9F5}</b:Guid>
    <b:Author>
      <b:Author>
        <b:NameList>
          <b:Person>
            <b:Last>Hoffmeyer-Zlotnik</b:Last>
            <b:First>J.</b:First>
            <b:Middle>H. P</b:Middle>
          </b:Person>
          <b:Person>
            <b:Last>Wolf</b:Last>
            <b:First>C</b:First>
          </b:Person>
        </b:NameList>
      </b:Author>
    </b:Author>
    <b:Title>Advances in Cross-National Comparison: A European Working Book for Demographic and Socio-Economic Variables</b:Title>
    <b:JournalName>New York: Kluwer and Plenum</b:JournalName>
    <b:Year>2003</b:Year>
    <b:RefOrder>337</b:RefOrder>
  </b:Source>
  <b:Source>
    <b:Tag>Cas04</b:Tag>
    <b:SourceType>JournalArticle</b:SourceType>
    <b:Guid>{C7DC1907-FF1D-46F3-9E39-D31039A3CB9C}</b:Guid>
    <b:Author>
      <b:Author>
        <b:NameList>
          <b:Person>
            <b:Last>Castilla</b:Last>
            <b:First>J</b:First>
            <b:Middle>E</b:Middle>
          </b:Person>
        </b:NameList>
      </b:Author>
    </b:Author>
    <b:Title>Organizing Health Care: A Comparative Analysis of National Institutions and Inequality over Time</b:Title>
    <b:JournalName>International Sociology</b:JournalName>
    <b:Year>2004</b:Year>
    <b:Pages>403–35</b:Pages>
    <b:Volume>19</b:Volume>
    <b:Issue>4</b:Issue>
    <b:RefOrder>338</b:RefOrder>
  </b:Source>
  <b:Source>
    <b:Tag>Fra05</b:Tag>
    <b:SourceType>JournalArticle</b:SourceType>
    <b:Guid>{DC68E8A8-CF5B-47E0-A51A-9AD8AB8584E2}</b:Guid>
    <b:Author>
      <b:Author>
        <b:NameList>
          <b:Person>
            <b:Last>Fraile</b:Last>
            <b:First>M</b:First>
          </b:Person>
          <b:Person>
            <b:Last>Ferrer</b:Last>
            <b:First>M</b:First>
          </b:Person>
        </b:NameList>
      </b:Author>
    </b:Author>
    <b:Title>Explaining the Determinants of Public Support for Cuts in Unemployment Benefits Spending across OECD Countries</b:Title>
    <b:JournalName>International Sociology</b:JournalName>
    <b:Year>2005</b:Year>
    <b:Pages>459–81</b:Pages>
    <b:Volume>20</b:Volume>
    <b:Issue>4</b:Issue>
    <b:RefOrder>339</b:RefOrder>
  </b:Source>
  <b:Source>
    <b:Tag>Eri92</b:Tag>
    <b:SourceType>JournalArticle</b:SourceType>
    <b:Guid>{F04C4B46-0F2D-493F-9BC9-3BD47C8EA986}</b:Guid>
    <b:Author>
      <b:Author>
        <b:NameList>
          <b:Person>
            <b:Last>Erikson</b:Last>
            <b:First>R</b:First>
          </b:Person>
          <b:Person>
            <b:Last>Goldthorpe</b:Last>
            <b:First>H</b:First>
            <b:Middle>J</b:Middle>
          </b:Person>
        </b:NameList>
      </b:Author>
    </b:Author>
    <b:Title>The Constant Flux: A Study of Class Mobility in Industrial Societies</b:Title>
    <b:JournalName>Oxford: Oxford University Press</b:JournalName>
    <b:Year>1992</b:Year>
    <b:RefOrder>340</b:RefOrder>
  </b:Source>
  <b:Source>
    <b:Tag>Mil06</b:Tag>
    <b:SourceType>JournalArticle</b:SourceType>
    <b:Guid>{37A7F020-1B64-4E98-932A-4239F32D99F9}</b:Guid>
    <b:Author>
      <b:Author>
        <b:NameList>
          <b:Person>
            <b:Last>Mills</b:Last>
            <b:First>Melinda</b:First>
          </b:Person>
          <b:Person>
            <b:Last>van de Bunt</b:Last>
            <b:First>Gerhard</b:First>
            <b:Middle>G</b:Middle>
          </b:Person>
          <b:Person>
            <b:Last>Bruijn</b:Last>
            <b:First>Jeanne</b:First>
            <b:Middle>de</b:Middle>
          </b:Person>
        </b:NameList>
      </b:Author>
    </b:Author>
    <b:Title>Comparative Research:Persistent Problems and Promising Solutions</b:Title>
    <b:JournalName>International Sociology</b:JournalName>
    <b:Year>2006</b:Year>
    <b:Pages>619–631</b:Pages>
    <b:Volume>21</b:Volume>
    <b:Issue>5</b:Issue>
    <b:RefOrder>341</b:RefOrder>
  </b:Source>
  <b:Source>
    <b:Tag>Ahm</b:Tag>
    <b:SourceType>JournalArticle</b:SourceType>
    <b:Guid>{4883D0EF-C422-48B9-819A-E411ABC726F5}</b:Guid>
    <b:Author>
      <b:Author>
        <b:NameList>
          <b:Person>
            <b:Last>Ahmed</b:Last>
            <b:First>Yasin</b:First>
          </b:Person>
        </b:NameList>
      </b:Author>
    </b:Author>
    <b:Title>Textile Industry of Pakistan</b:Title>
    <b:JournalName>Report on Textile Industry of Pakistan, Horizon Securities (SMC-Pvt) Ltd</b:JournalName>
    <b:Year>n.d.</b:Year>
    <b:RefOrder>342</b:RefOrder>
  </b:Source>
  <b:Source>
    <b:Tag>Kha10</b:Tag>
    <b:SourceType>JournalArticle</b:SourceType>
    <b:Guid>{61BFAAD6-9F91-4320-9A2A-DEADAC25C6CF}</b:Guid>
    <b:Author>
      <b:Author>
        <b:NameList>
          <b:Person>
            <b:Last>Khan</b:Last>
            <b:First>Aftab</b:First>
            <b:Middle>A</b:Middle>
          </b:Person>
          <b:Person>
            <b:Last>Khan</b:Last>
            <b:First>Mehreen</b:First>
          </b:Person>
        </b:NameList>
      </b:Author>
    </b:Author>
    <b:Title>Pakistan Textile Industry Facing New Challenges</b:Title>
    <b:JournalName>Research Journal of Internatıonal Studıes</b:JournalName>
    <b:Year>2010</b:Year>
    <b:Issue>14</b:Issue>
    <b:RefOrder>343</b:RefOrder>
  </b:Source>
  <b:Source>
    <b:Tag>Sidnd</b:Tag>
    <b:SourceType>JournalArticle</b:SourceType>
    <b:Guid>{A60E0986-F727-42FF-9649-DE5D81ABDE77}</b:Guid>
    <b:Author>
      <b:Author>
        <b:NameList>
          <b:Person>
            <b:Last>Siddique</b:Last>
          </b:Person>
          <b:Person>
            <b:Last>Rizwan</b:Last>
            <b:First>Dr.</b:First>
          </b:Person>
          <b:Person>
            <b:Last>Shaheen</b:Last>
          </b:Person>
          <b:Person>
            <b:Last>Iffat</b:Last>
          </b:Person>
          <b:Person>
            <b:Last>Akbar</b:Last>
          </b:Person>
          <b:Person>
            <b:Last>Waseem</b:Last>
          </b:Person>
          <b:Person>
            <b:Last>Malik</b:Last>
          </b:Person>
          <b:Person>
            <b:Last>Asif</b:Last>
            <b:First>Maham</b:First>
          </b:Person>
        </b:NameList>
      </b:Author>
    </b:Author>
    <b:Title>Textile Sector  is  the  backbone of Pakistan’s economy. The ills  faced by the sector  and its contribution towards economic development</b:Title>
    <b:JournalName>syndicate Report</b:JournalName>
    <b:Year>n.d.</b:Year>
    <b:RefOrder>344</b:RefOrder>
  </b:Source>
  <b:Source>
    <b:Tag>inv1</b:Tag>
    <b:SourceType>JournalArticle</b:SourceType>
    <b:Guid>{35C38326-52E0-4128-A749-84AF59835732}</b:Guid>
    <b:Title>investor information guide</b:Title>
    <b:JournalName>BOARD OF INVESTMENT, GOVERNMENT OF PAKISTAN</b:JournalName>
    <b:RefOrder>345</b:RefOrder>
  </b:Source>
  <b:Source>
    <b:Tag>Placeholder3</b:Tag>
    <b:SourceType>JournalArticle</b:SourceType>
    <b:Guid>{06245E0D-4C48-41B4-808C-15A5C2AF5247}</b:Guid>
    <b:Author>
      <b:Author>
        <b:NameList>
          <b:Person>
            <b:Last>Short</b:Last>
            <b:First>Brock</b:First>
            <b:Middle>K</b:Middle>
          </b:Person>
        </b:NameList>
      </b:Author>
    </b:Author>
    <b:Title>The Relation between Commercial Bank Profit Rates and Banking Concentration in Canada, Western Europe and Japan</b:Title>
    <b:JournalName>Journal of Banking and Finance</b:JournalName>
    <b:Year>1979</b:Year>
    <b:Pages>209-219</b:Pages>
    <b:Volume>3</b:Volume>
    <b:RefOrder>346</b:RefOrder>
  </b:Source>
  <b:Source>
    <b:Tag>Placeholder4</b:Tag>
    <b:SourceType>JournalArticle</b:SourceType>
    <b:Guid>{934DB92F-4798-454C-982F-3D3C667ABCDD}</b:Guid>
    <b:Author>
      <b:Author>
        <b:NameList>
          <b:Person>
            <b:Last>Bourke</b:Last>
            <b:First>Philip</b:First>
          </b:Person>
        </b:NameList>
      </b:Author>
    </b:Author>
    <b:Title>Concentration and Other Determinants of Bank Profitability in Europe, North America and Australia</b:Title>
    <b:JournalName>Journal of Banking and Finance</b:JournalName>
    <b:Year>1989</b:Year>
    <b:Pages>65-67</b:Pages>
    <b:Volume>13</b:Volume>
    <b:RefOrder>347</b:RefOrder>
  </b:Source>
  <b:Source>
    <b:Tag>Han89</b:Tag>
    <b:SourceType>JournalArticle</b:SourceType>
    <b:Guid>{F05B1031-2731-498A-BE6E-1BFB2BF8C3EB}</b:Guid>
    <b:Author>
      <b:Author>
        <b:NameList>
          <b:Person>
            <b:Last>Hansen</b:Last>
            <b:First>G</b:First>
          </b:Person>
          <b:Person>
            <b:Last>Wernerfelt</b:Last>
            <b:First>B</b:First>
          </b:Person>
        </b:NameList>
      </b:Author>
    </b:Author>
    <b:Title>Determinants of Firm Performance: The Relative Importance of Economic and Organizational Factors</b:Title>
    <b:JournalName>Strategic Management Journal</b:JournalName>
    <b:Year>1989</b:Year>
    <b:Pages>399-511</b:Pages>
    <b:Volume>10</b:Volume>
    <b:Issue>5</b:Issue>
    <b:RefOrder>348</b:RefOrder>
  </b:Source>
  <b:Source>
    <b:Tag>Placeholder5</b:Tag>
    <b:SourceType>JournalArticle</b:SourceType>
    <b:Guid>{292876EE-2448-4782-8A6A-FADD8B40C770}</b:Guid>
    <b:Author>
      <b:Author>
        <b:NameList>
          <b:Person>
            <b:Last>Smirlock</b:Last>
            <b:First>M</b:First>
          </b:Person>
        </b:NameList>
      </b:Author>
    </b:Author>
    <b:Title>Evidence on the (Non)Relationship between Concentration and Profitability in Banking</b:Title>
    <b:JournalName>Journal of Money, Credit and Banking</b:JournalName>
    <b:Year>1985</b:Year>
    <b:Pages>69-83</b:Pages>
    <b:Volume>17</b:Volume>
    <b:RefOrder>349</b:RefOrder>
  </b:Source>
  <b:Source>
    <b:Tag>Hir84</b:Tag>
    <b:SourceType>JournalArticle</b:SourceType>
    <b:Guid>{0062C9D0-AC55-4BB7-AD5C-BC75A53CBFBE}</b:Guid>
    <b:Author>
      <b:Author>
        <b:NameList>
          <b:Person>
            <b:Last>Hirschey</b:Last>
            <b:First>Mark</b:First>
          </b:Person>
          <b:Person>
            <b:Last>Wichern</b:Last>
            <b:First>W</b:First>
          </b:Person>
        </b:NameList>
      </b:Author>
    </b:Author>
    <b:Title>Accounting and Market-Value Measures of profitability:Consistency, Determinants, and Uses</b:Title>
    <b:JournalName>Journal of Business and Economic Statistics</b:JournalName>
    <b:Year>1984</b:Year>
    <b:Pages>375-383</b:Pages>
    <b:Volume>2</b:Volume>
    <b:Issue>4</b:Issue>
    <b:RefOrder>350</b:RefOrder>
  </b:Source>
  <b:Source>
    <b:Tag>Placeholder6</b:Tag>
    <b:SourceType>JournalArticle</b:SourceType>
    <b:Guid>{0B1889A7-C16A-447E-87AE-BB8F71F28496}</b:Guid>
    <b:Author>
      <b:Author>
        <b:NameList>
          <b:Person>
            <b:Last>Raza</b:Last>
            <b:First>Syed</b:First>
            <b:Middle>Ali</b:Middle>
          </b:Person>
          <b:Person>
            <b:Last>Farooq</b:Last>
            <b:First>M</b:First>
            <b:Middle>Shoaib</b:Middle>
          </b:Person>
          <b:Person>
            <b:Last>Khan</b:Last>
            <b:First>Nadeem</b:First>
          </b:Person>
        </b:NameList>
      </b:Author>
    </b:Author>
    <b:Title>Firm and Industry Effects on Firm Profitability: An Empirical Analysis of KSE</b:Title>
    <b:JournalName>International Research Journal of Finance and Economics</b:JournalName>
    <b:Year>2011</b:Year>
    <b:RefOrder>351</b:RefOrder>
  </b:Source>
  <b:Source>
    <b:Tag>Placeholder7</b:Tag>
    <b:SourceType>JournalArticle</b:SourceType>
    <b:Guid>{65D42D04-4928-46B2-8AD5-DF3AC5264361}</b:Guid>
    <b:Author>
      <b:Author>
        <b:NameList>
          <b:Person>
            <b:Last>Kessides</b:Last>
            <b:First>I</b:First>
            <b:Middle>N</b:Middle>
          </b:Person>
        </b:NameList>
      </b:Author>
    </b:Author>
    <b:Title>Internal Versus External Market Conditions and Firm Profitability: An Exploratory Model</b:Title>
    <b:JournalName>Economic Journal</b:JournalName>
    <b:Year>1990</b:Year>
    <b:Volume>100</b:Volume>
    <b:Issue>402</b:Issue>
    <b:RefOrder>352</b:RefOrder>
  </b:Source>
  <b:Source>
    <b:Tag>Heg76</b:Tag>
    <b:SourceType>JournalArticle</b:SourceType>
    <b:Guid>{8F0D7E94-78C5-48C0-A291-7F3E1C12512E}</b:Guid>
    <b:Author>
      <b:Author>
        <b:NameList>
          <b:Person>
            <b:Last>Heggested</b:Last>
            <b:First>Arnold</b:First>
            <b:Middle>A</b:Middle>
          </b:Person>
          <b:Person>
            <b:Last>Mingo</b:Last>
            <b:First>John</b:First>
            <b:Middle>J</b:Middle>
          </b:Person>
        </b:NameList>
      </b:Author>
    </b:Author>
    <b:Title>Price, Non-prices, and Concentration in Commercial Banking</b:Title>
    <b:JournalName>Journal of Money, Credit, and Banking</b:JournalName>
    <b:Year>1976</b:Year>
    <b:Pages>107-17</b:Pages>
    <b:Volume>8 </b:Volume>
    <b:Issue>2</b:Issue>
    <b:RefOrder>353</b:RefOrder>
  </b:Source>
  <b:Source>
    <b:Tag>Placeholder8</b:Tag>
    <b:SourceType>JournalArticle</b:SourceType>
    <b:Guid>{704F3ECB-F0EE-43D5-8378-6B9643322808}</b:Guid>
    <b:Author>
      <b:Author>
        <b:NameList>
          <b:Person>
            <b:Last>Heggested</b:Last>
            <b:First>Arnold</b:First>
            <b:Middle>A</b:Middle>
          </b:Person>
        </b:NameList>
      </b:Author>
    </b:Author>
    <b:Title>Market Structure, Risk, and Profitability in Commercial Banking</b:Title>
    <b:JournalName>Journal of Finance</b:JournalName>
    <b:Year>1977</b:Year>
    <b:Pages>1207-1216</b:Pages>
    <b:Volume>32</b:Volume>
    <b:RefOrder>354</b:RefOrder>
  </b:Source>
  <b:Source>
    <b:Tag>Mol921</b:Tag>
    <b:SourceType>JournalArticle</b:SourceType>
    <b:Guid>{2AD4BFB4-BC32-4C0D-8312-8325FD28A275}</b:Guid>
    <b:Author>
      <b:Author>
        <b:NameList>
          <b:Person>
            <b:Last>Molyneux</b:Last>
            <b:First>P</b:First>
          </b:Person>
          <b:Person>
            <b:Last>Thornton</b:Last>
            <b:First>J</b:First>
          </b:Person>
        </b:NameList>
      </b:Author>
    </b:Author>
    <b:Title>Determinants of European Bank Profitability: A Note</b:Title>
    <b:JournalName>Journal of Banking and Finance</b:JournalName>
    <b:Year>1992</b:Year>
    <b:Pages>1173-1178</b:Pages>
    <b:Volume>16</b:Volume>
    <b:Issue>6</b:Issue>
    <b:RefOrder>355</b:RefOrder>
  </b:Source>
  <b:Source>
    <b:Tag>Placeholder9</b:Tag>
    <b:SourceType>JournalArticle</b:SourceType>
    <b:Guid>{F02ABECD-4BD3-4F2C-9C7E-5D50BC0E14FE}</b:Guid>
    <b:Author>
      <b:Author>
        <b:NameList>
          <b:Person>
            <b:Last>Kwast</b:Last>
            <b:First>Mayron</b:First>
            <b:Middle>L</b:Middle>
          </b:Person>
          <b:Person>
            <b:Last>John</b:Last>
            <b:First>T</b:First>
            <b:Middle>Rose</b:Middle>
          </b:Person>
        </b:NameList>
      </b:Author>
    </b:Author>
    <b:Title>Pricing, Operating Efficiency, and Profitability among Large Commercial Banks</b:Title>
    <b:JournalName>Journal of Banking and Finance</b:JournalName>
    <b:Year>1982</b:Year>
    <b:Pages>233-254</b:Pages>
    <b:Month>June</b:Month>
    <b:Volume>6</b:Volume>
    <b:Issue>2</b:Issue>
    <b:RefOrder>356</b:RefOrder>
  </b:Source>
  <b:Source>
    <b:Tag>Fra71</b:Tag>
    <b:SourceType>JournalArticle</b:SourceType>
    <b:Guid>{FDC803E6-0826-49CD-9787-E065D36EA231}</b:Guid>
    <b:Author>
      <b:Author>
        <b:NameList>
          <b:Person>
            <b:Last>Fraser</b:Last>
            <b:First>D</b:First>
            <b:Middle>R</b:Middle>
          </b:Person>
          <b:Person>
            <b:Last>Rose</b:Last>
            <b:First>P.</b:First>
            <b:Middle>S. Rose</b:Middle>
          </b:Person>
        </b:NameList>
      </b:Author>
    </b:Author>
    <b:Title>More on Banking Structure and Performance: The Evidence from Texas</b:Title>
    <b:JournalName>Journal of Financial and Quantitative Analysis</b:JournalName>
    <b:Year>1971</b:Year>
    <b:Pages>601-611</b:Pages>
    <b:Month>January</b:Month>
    <b:Volume>6</b:Volume>
    <b:RefOrder>357</b:RefOrder>
  </b:Source>
  <b:Source>
    <b:Tag>Tho77</b:Tag>
    <b:SourceType>JournalArticle</b:SourceType>
    <b:Guid>{00959FB3-0306-48B3-964A-48E8F5A0C108}</b:Guid>
    <b:Author>
      <b:Author>
        <b:NameList>
          <b:Person>
            <b:Last>Thomadikis</b:Last>
            <b:First>S.B</b:First>
          </b:Person>
        </b:NameList>
      </b:Author>
    </b:Author>
    <b:Title>A Value-Based Test of Profitability and Market Structure</b:Title>
    <b:JournalName>Review of Economics and Statistics</b:JournalName>
    <b:Year>1977</b:Year>
    <b:Pages>179-185</b:Pages>
    <b:Volume>59</b:Volume>
    <b:RefOrder>358</b:RefOrder>
  </b:Source>
  <b:Source>
    <b:Tag>Gil84</b:Tag>
    <b:SourceType>JournalArticle</b:SourceType>
    <b:Guid>{7B62B938-8F7C-4E7D-B25A-FAC01AC6A254}</b:Guid>
    <b:Author>
      <b:Author>
        <b:NameList>
          <b:Person>
            <b:Last>Gilbert</b:Last>
            <b:First>R.</b:First>
            <b:Middle>Alton</b:Middle>
          </b:Person>
        </b:NameList>
      </b:Author>
    </b:Author>
    <b:Title>Bank Market Structure and Competition: A Survey</b:Title>
    <b:JournalName>Journal of Money, Credit and Banking</b:JournalName>
    <b:Year>1984</b:Year>
    <b:Pages>617-45</b:Pages>
    <b:Month>November</b:Month>
    <b:Volume>4</b:Volume>
    <b:Issue>2</b:Issue>
    <b:RefOrder>359</b:RefOrder>
  </b:Source>
  <b:Source>
    <b:Tag>Placeholder10</b:Tag>
    <b:SourceType>JournalArticle</b:SourceType>
    <b:Guid>{EEEEF6F1-040E-4920-9B58-4BB5C99B934D}</b:Guid>
    <b:Author>
      <b:Author>
        <b:NameList>
          <b:Person>
            <b:Last>Allen</b:Last>
            <b:First>Albert</b:First>
            <b:Middle>J</b:Middle>
          </b:Person>
          <b:Person>
            <b:Last>Shaik</b:Last>
            <b:First>Saleem</b:First>
          </b:Person>
          <b:Person>
            <b:Last>Myles</b:Last>
            <b:First>Albert</b:First>
            <b:Middle>E</b:Middle>
          </b:Person>
          <b:Person>
            <b:Last>Yeboah</b:Last>
            <b:First>Osei-Agyeman</b:First>
          </b:Person>
        </b:NameList>
      </b:Author>
    </b:Author>
    <b:Title>Determinants of Profitability Perf ormance: An Analysis of Class I Railroads in the United States</b:Title>
    <b:JournalName>Southern Agricultural Economics Association Annual Meeting, Corpus Christi, TX</b:JournalName>
    <b:Year>2011</b:Year>
    <b:Month>February</b:Month>
    <b:RefOrder>360</b:RefOrder>
  </b:Source>
  <b:Source>
    <b:Tag>Bru99</b:Tag>
    <b:SourceType>JournalArticle</b:SourceType>
    <b:Guid>{415E8A66-01EB-4716-A2ED-7BC30D88524A}</b:Guid>
    <b:Author>
      <b:Author>
        <b:NameList>
          <b:Person>
            <b:Last>Brush</b:Last>
            <b:First>Thomas</b:First>
            <b:Middle>H</b:Middle>
          </b:Person>
          <b:Person>
            <b:Last>Philip</b:Last>
            <b:First>Bromiley</b:First>
          </b:Person>
          <b:Person>
            <b:Last>Margaretha</b:Last>
            <b:First>Hendrickx</b:First>
          </b:Person>
        </b:NameList>
      </b:Author>
    </b:Author>
    <b:Title>The relative Influence of Industry and Corporation on Business Segment Performance: An Alternative Estimate</b:Title>
    <b:JournalName>Strategic management Journal</b:JournalName>
    <b:Year>1999</b:Year>
    <b:Pages>519-547</b:Pages>
    <b:Volume>20</b:Volume>
    <b:Issue>6</b:Issue>
    <b:RefOrder>361</b:RefOrder>
  </b:Source>
  <b:Source>
    <b:Tag>Pow96</b:Tag>
    <b:SourceType>JournalArticle</b:SourceType>
    <b:Guid>{40225D1A-4279-4C23-B5E9-E5812B9BB628}</b:Guid>
    <b:Author>
      <b:Author>
        <b:NameList>
          <b:Person>
            <b:Last>Powell</b:Last>
            <b:First>Thomas</b:First>
            <b:Middle>C</b:Middle>
          </b:Person>
        </b:NameList>
      </b:Author>
    </b:Author>
    <b:Title>How Much Does Industry Matter? An Alternative Empirical Test</b:Title>
    <b:JournalName>Strategic Management Journal</b:JournalName>
    <b:Year>1996</b:Year>
    <b:Pages>323-334</b:Pages>
    <b:Volume>17</b:Volume>
    <b:Issue>4</b:Issue>
    <b:RefOrder>362</b:RefOrder>
  </b:Source>
  <b:Source>
    <b:Tag>Placeholder11</b:Tag>
    <b:SourceType>JournalArticle</b:SourceType>
    <b:Guid>{3BCE7673-D411-4852-BDD9-16C6482761A9}</b:Guid>
    <b:Author>
      <b:Author>
        <b:NameList>
          <b:Person>
            <b:Last>Haron</b:Last>
            <b:First>Professor</b:First>
            <b:Middle>Sudin</b:Middle>
          </b:Person>
        </b:NameList>
      </b:Author>
    </b:Author>
    <b:Title>DETERMINANTS OF ISLAMIC BANK PROFITABILITY</b:Title>
    <b:JournalName>Global Journal of Finance and Economics. USA</b:JournalName>
    <b:Year>2004</b:Year>
    <b:Month>March</b:Month>
    <b:Volume>1</b:Volume>
    <b:Issue>1</b:Issue>
    <b:RefOrder>363</b:RefOrder>
  </b:Source>
  <b:Source>
    <b:Tag>Koe80</b:Tag>
    <b:SourceType>JournalArticle</b:SourceType>
    <b:Guid>{D7A9A572-0997-42C6-B4A6-511229B71284}</b:Guid>
    <b:Author>
      <b:Author>
        <b:NameList>
          <b:Person>
            <b:Last>Koehn</b:Last>
            <b:First>M</b:First>
          </b:Person>
          <b:Person>
            <b:Last>Santomero</b:Last>
            <b:First>A.M</b:First>
          </b:Person>
        </b:NameList>
      </b:Author>
    </b:Author>
    <b:Title>Regulation of bank capital and portfolio risk</b:Title>
    <b:JournalName>Journal of Finance</b:JournalName>
    <b:Year>1980</b:Year>
    <b:Pages>1235-1250</b:Pages>
    <b:Volume>35</b:Volume>
    <b:RefOrder>364</b:RefOrder>
  </b:Source>
  <b:Source>
    <b:Tag>Rum91</b:Tag>
    <b:SourceType>JournalArticle</b:SourceType>
    <b:Guid>{021D9993-2D7F-4529-B55F-939215CB8BA1}</b:Guid>
    <b:Author>
      <b:Author>
        <b:NameList>
          <b:Person>
            <b:Last>Rumelt</b:Last>
            <b:First>R.P</b:First>
          </b:Person>
        </b:NameList>
      </b:Author>
    </b:Author>
    <b:Title>How much does industry matter?</b:Title>
    <b:JournalName>Strategic management Journal</b:JournalName>
    <b:Year>1991</b:Year>
    <b:Pages>167-185</b:Pages>
    <b:Volume>12</b:Volume>
    <b:Issue>3</b:Issue>
    <b:RefOrder>365</b:RefOrder>
  </b:Source>
  <b:Source>
    <b:Tag>Heg79</b:Tag>
    <b:SourceType>JournalArticle</b:SourceType>
    <b:Guid>{E5A46734-C756-44AD-9AAB-CAD20F837BB0}</b:Guid>
    <b:Author>
      <b:Author>
        <b:NameList>
          <b:Person>
            <b:Last>Heggested</b:Last>
            <b:First>Arnold</b:First>
            <b:Middle>A</b:Middle>
          </b:Person>
        </b:NameList>
      </b:Author>
    </b:Author>
    <b:Title>Market Structure, Competition, and Performance in Financial Industries: A Survey of Banking Studies</b:Title>
    <b:JournalName>in Issues in Financial Regulation,Franklin R. Edwards (ed.), New York: McGraw-Hill</b:JournalName>
    <b:Year>1979</b:Year>
    <b:Pages>449-90</b:Pages>
    <b:RefOrder>366</b:RefOrder>
  </b:Source>
  <b:Source>
    <b:Tag>Per92</b:Tag>
    <b:SourceType>JournalArticle</b:SourceType>
    <b:Guid>{44DFB384-F030-46EB-9B86-DAFB7323583E}</b:Guid>
    <b:Author>
      <b:Author>
        <b:NameList>
          <b:Person>
            <b:Last>Perry</b:Last>
            <b:First>P</b:First>
          </b:Person>
        </b:NameList>
      </b:Author>
    </b:Author>
    <b:Title>Do banks gain or loss from inflation</b:Title>
    <b:JournalName>Journal of retail banking</b:JournalName>
    <b:Year>1992</b:Year>
    <b:Pages>25-30</b:Pages>
    <b:Volume>14</b:Volume>
    <b:Issue>2</b:Issue>
    <b:RefOrder>367</b:RefOrder>
  </b:Source>
  <b:Source>
    <b:Tag>Rev80</b:Tag>
    <b:SourceType>JournalArticle</b:SourceType>
    <b:Guid>{9B089089-5E32-4ED1-AD4C-82E660BD1002}</b:Guid>
    <b:Author>
      <b:Author>
        <b:NameList>
          <b:Person>
            <b:Last>Revell</b:Last>
            <b:First>J.S</b:First>
          </b:Person>
        </b:NameList>
      </b:Author>
    </b:Author>
    <b:Title>Costs and Margins in Banking: An International Survey, Paris, Organization for Economic Co-operation and Development</b:Title>
    <b:Year>1980</b:Year>
    <b:RefOrder>368</b:RefOrder>
  </b:Source>
  <b:Source>
    <b:Tag>Placeholder12</b:Tag>
    <b:SourceType>JournalArticle</b:SourceType>
    <b:Guid>{1A566ADE-29D7-41E2-9324-DDB15DFE8356}</b:Guid>
    <b:Author>
      <b:Author>
        <b:NameList>
          <b:Person>
            <b:Last>Ahmed</b:Last>
            <b:First>A</b:First>
          </b:Person>
          <b:Person>
            <b:Last>Khababa</b:Last>
            <b:First>N</b:First>
          </b:Person>
        </b:NameList>
      </b:Author>
    </b:Author>
    <b:Title>Performance of the Banking Sector in Saudi Arabia.</b:Title>
    <b:JournalName>Journal of Financial Management and Analysis</b:JournalName>
    <b:Year>1999</b:Year>
    <b:Pages>30-36</b:Pages>
    <b:Volume>12</b:Volume>
    <b:Issue>2</b:Issue>
    <b:RefOrder>369</b:RefOrder>
  </b:Source>
  <b:Source>
    <b:Tag>Ste94</b:Tag>
    <b:SourceType>JournalArticle</b:SourceType>
    <b:Guid>{31CE6F55-7E18-4BD8-945A-856178876576}</b:Guid>
    <b:Author>
      <b:Author>
        <b:NameList>
          <b:Person>
            <b:Last>Steinherr</b:Last>
            <b:First>A</b:First>
          </b:Person>
          <b:Person>
            <b:Last>Huveneers</b:Last>
            <b:First>C</b:First>
          </b:Person>
        </b:NameList>
      </b:Author>
    </b:Author>
    <b:Title>On the Performance of Differently Regulated Financial Institutions: Some Empirical Evidence</b:Title>
    <b:JournalName>Journal of Banking and Finance</b:JournalName>
    <b:Year>1994</b:Year>
    <b:Pages>271-306</b:Pages>
    <b:Volume>18</b:Volume>
    <b:RefOrder>370</b:RefOrder>
  </b:Source>
  <b:Source>
    <b:Tag>Phi64</b:Tag>
    <b:SourceType>JournalArticle</b:SourceType>
    <b:Guid>{48645282-8AE2-4D7F-9E67-1CE46C778D1A}</b:Guid>
    <b:Author>
      <b:Author>
        <b:NameList>
          <b:Person>
            <b:Last>Philips</b:Last>
            <b:First>Almarin</b:First>
          </b:Person>
        </b:NameList>
      </b:Author>
    </b:Author>
    <b:Title>Competition, Confusion and Commercial Banking</b:Title>
    <b:JournalName>Journal of Finance</b:JournalName>
    <b:Year>1964</b:Year>
    <b:Pages>32-45</b:Pages>
    <b:Month>March</b:Month>
    <b:Volume>19</b:Volume>
    <b:Issue>1</b:Issue>
    <b:RefOrder>371</b:RefOrder>
  </b:Source>
  <b:Source>
    <b:Tag>Mul78</b:Tag>
    <b:SourceType>JournalArticle</b:SourceType>
    <b:Guid>{E4834540-1012-4253-8C4E-6F9521785134}</b:Guid>
    <b:Author>
      <b:Author>
        <b:NameList>
          <b:Person>
            <b:Last>Mullineaux</b:Last>
            <b:First>D.J</b:First>
          </b:Person>
        </b:NameList>
      </b:Author>
    </b:Author>
    <b:Title>Economies of Scale and Organizational Efficiency in Banking: A Profit-Function Approach</b:Title>
    <b:JournalName>Journal of Finance</b:JournalName>
    <b:Year>1978</b:Year>
    <b:Pages>259-280</b:Pages>
    <b:Volume>33</b:Volume>
    <b:RefOrder>372</b:RefOrder>
  </b:Source>
  <b:Source>
    <b:Tag>McC77</b:Tag>
    <b:SourceType>JournalArticle</b:SourceType>
    <b:Guid>{C43DD4E2-38F9-45A2-AD1B-7A85F468A95B}</b:Guid>
    <b:Author>
      <b:Author>
        <b:NameList>
          <b:Person>
            <b:Last>McCall</b:Last>
            <b:First>Alan</b:First>
            <b:Middle>S</b:Middle>
          </b:Person>
          <b:Person>
            <b:Last>Peterson</b:Last>
            <b:First>Manferd</b:First>
            <b:Middle>O</b:Middle>
          </b:Person>
        </b:NameList>
      </b:Author>
    </b:Author>
    <b:Title>The Impact of De Novo Commercial bank Entry</b:Title>
    <b:JournalName>Journal of Finance</b:JournalName>
    <b:Year>1977</b:Year>
    <b:Pages>1586-1604.</b:Pages>
    <b:Month>December</b:Month>
    <b:Volume>32</b:Volume>
    <b:Issue>5</b:Issue>
    <b:RefOrder>373</b:RefOrder>
  </b:Source>
  <b:Source>
    <b:Tag>Fra72</b:Tag>
    <b:SourceType>JournalArticle</b:SourceType>
    <b:Guid>{782C1475-34A5-4A2E-BD7B-60B8F2BE5D5A}</b:Guid>
    <b:Author>
      <b:Author>
        <b:NameList>
          <b:Person>
            <b:Last>Fraser</b:Last>
            <b:First>Donald</b:First>
            <b:Middle>R</b:Middle>
          </b:Person>
          <b:Person>
            <b:Last>Rose</b:Last>
            <b:First>Peter</b:First>
            <b:Middle>S</b:Middle>
          </b:Person>
        </b:NameList>
      </b:Author>
    </b:Author>
    <b:Title>Bank Entry and Bank Performance</b:Title>
    <b:JournalName>Journal of Finance</b:JournalName>
    <b:Year>1972</b:Year>
    <b:Pages>65-78</b:Pages>
    <b:Volume>21</b:Volume>
    <b:Issue>1</b:Issue>
    <b:RefOrder>374</b:RefOrder>
  </b:Source>
  <b:Source>
    <b:Tag>Mac93</b:Tag>
    <b:SourceType>JournalArticle</b:SourceType>
    <b:Guid>{FACCE1CE-8A18-44FE-99E0-B200FD3B2675}</b:Guid>
    <b:Author>
      <b:Author>
        <b:NameList>
          <b:Person>
            <b:Last>Machin</b:Last>
          </b:Person>
          <b:Person>
            <b:Last>Van Reenan</b:Last>
            <b:First>J</b:First>
          </b:Person>
        </b:NameList>
      </b:Author>
    </b:Author>
    <b:Title>Profit Margins and the Business Cycle: Evidence from U.K. Manufacturing Firms</b:Title>
    <b:JournalName>Journal of Industrial Economics</b:JournalName>
    <b:Year>1993</b:Year>
    <b:Pages>29-49</b:Pages>
    <b:Volume>41</b:Volume>
    <b:Issue>1</b:Issue>
    <b:RefOrder>375</b:RefOrder>
  </b:Source>
  <b:Source>
    <b:Tag>McD99</b:Tag>
    <b:SourceType>JournalArticle</b:SourceType>
    <b:Guid>{3273C0D6-21AD-4062-8659-C7CF3F0D3545}</b:Guid>
    <b:Author>
      <b:Author>
        <b:NameList>
          <b:Person>
            <b:Last>McDonald</b:Last>
            <b:First>James</b:First>
            <b:Middle>Ted</b:Middle>
          </b:Person>
        </b:NameList>
      </b:Author>
    </b:Author>
    <b:Title>The Determinants of Firm Profitability in Australian Manufacturing</b:Title>
    <b:JournalName>The Economic Society of Australia</b:JournalName>
    <b:Year>1999</b:Year>
    <b:Pages>115-26</b:Pages>
    <b:Volume>75</b:Volume>
    <b:Issue>229</b:Issue>
    <b:RefOrder>376</b:RefOrder>
  </b:Source>
  <b:Source>
    <b:Tag>Kam03</b:Tag>
    <b:SourceType>JournalArticle</b:SourceType>
    <b:Guid>{786B6F42-30F7-433C-9F2F-E0F23DD5EDC4}</b:Guid>
    <b:Author>
      <b:Author>
        <b:NameList>
          <b:Person>
            <b:Last>Kambhampati</b:Last>
            <b:First>U</b:First>
          </b:Person>
          <b:Person>
            <b:Last>Parikh</b:Last>
            <b:First>A</b:First>
          </b:Person>
        </b:NameList>
      </b:Author>
    </b:Author>
    <b:Title>Disciplining Firms: The Impact of Trade Reforms on Profit Margins in Indian Industry</b:Title>
    <b:JournalName>Applied Economics</b:JournalName>
    <b:Year>2003</b:Year>
    <b:Pages>461-470</b:Pages>
    <b:Volume>35</b:Volume>
    <b:RefOrder>377</b:RefOrder>
  </b:Source>
  <b:Source>
    <b:Tag>Lev97</b:Tag>
    <b:SourceType>JournalArticle</b:SourceType>
    <b:Guid>{A2C66130-8E91-4A95-B28A-6BDCDA045DE0}</b:Guid>
    <b:Author>
      <b:Author>
        <b:NameList>
          <b:Person>
            <b:Last>Levy</b:Last>
            <b:First>Haim</b:First>
          </b:Person>
        </b:NameList>
      </b:Author>
    </b:Author>
    <b:Title>Risk and Return: An Experimental Analysis</b:Title>
    <b:JournalName>International Economic Review</b:JournalName>
    <b:Year>1997</b:Year>
    <b:Pages>119-149</b:Pages>
    <b:Volume>38</b:Volume>
    <b:Issue>1</b:Issue>
    <b:RefOrder>378</b:RefOrder>
  </b:Source>
  <b:Source>
    <b:Tag>Cam96</b:Tag>
    <b:SourceType>JournalArticle</b:SourceType>
    <b:Guid>{9B43C505-0B0B-4804-AAA6-CCD345A18BCE}</b:Guid>
    <b:Author>
      <b:Author>
        <b:NameList>
          <b:Person>
            <b:Last>Campbell</b:Last>
            <b:First>John</b:First>
            <b:Middle>Y</b:Middle>
          </b:Person>
        </b:NameList>
      </b:Author>
    </b:Author>
    <b:Title>Understanding Risk and Return</b:Title>
    <b:JournalName>Journal of Political Economy</b:JournalName>
    <b:Year>1996</b:Year>
    <b:Pages>298-345</b:Pages>
    <b:Volume>104</b:Volume>
    <b:Issue>2</b:Issue>
    <b:RefOrder>379</b:RefOrder>
  </b:Source>
  <b:Source>
    <b:Tag>Hes66</b:Tag>
    <b:SourceType>JournalArticle</b:SourceType>
    <b:Guid>{80FF0D9D-ED05-4059-9E62-2D824781F609}</b:Guid>
    <b:Author>
      <b:Author>
        <b:NameList>
          <b:Person>
            <b:Last>Hester</b:Last>
            <b:First>Donald</b:First>
            <b:Middle>D</b:Middle>
          </b:Person>
          <b:Person>
            <b:Last>Zoellner</b:Last>
            <b:First>John</b:First>
            <b:Middle>F</b:Middle>
          </b:Person>
        </b:NameList>
      </b:Author>
    </b:Author>
    <b:Title>The Relation between Bank Portfolios and Earnings: An Econometric Analysis</b:Title>
    <b:JournalName>Review of Economics and Statistics</b:JournalName>
    <b:Year>1966</b:Year>
    <b:Pages>372-386</b:Pages>
    <b:Month>November</b:Month>
    <b:Volume>48</b:Volume>
    <b:RefOrder>380</b:RefOrder>
  </b:Source>
  <b:Source>
    <b:Tag>Placeholder13</b:Tag>
    <b:SourceType>JournalArticle</b:SourceType>
    <b:Guid>{B608468D-D083-4342-BD25-55B01D1DEE82}</b:Guid>
    <b:Author>
      <b:Author>
        <b:NameList>
          <b:Person>
            <b:Last>Fraser</b:Last>
            <b:First>D.R</b:First>
          </b:Person>
          <b:Person>
            <b:Last>Philips</b:Last>
            <b:First>W</b:First>
          </b:Person>
          <b:Person>
            <b:Last>Rose</b:Last>
            <b:First>P.S</b:First>
          </b:Person>
        </b:NameList>
      </b:Author>
    </b:Author>
    <b:Title>A Canonical Analysis of Bank Performance</b:Title>
    <b:JournalName>Journal of Financial and Quantitative Analysis</b:JournalName>
    <b:Year>1974</b:Year>
    <b:Pages>287-295</b:Pages>
    <b:Volume>9</b:Volume>
    <b:RefOrder>381</b:RefOrder>
  </b:Source>
  <b:Source>
    <b:Tag>Gan01</b:Tag>
    <b:SourceType>JournalArticle</b:SourceType>
    <b:Guid>{F2AFABE3-7349-46AB-880F-89BA5FC9C42A}</b:Guid>
    <b:Author>
      <b:Author>
        <b:NameList>
          <b:Person>
            <b:Last>Ganesan</b:Last>
            <b:First>P</b:First>
          </b:Person>
        </b:NameList>
      </b:Author>
    </b:Author>
    <b:Title>Determinants of Profits and Profitability of Public Sector Banks in India: A Profit Function Approach</b:Title>
    <b:JournalName>Journal of Financial Management and Analysis</b:JournalName>
    <b:Year>2001</b:Year>
    <b:Pages>27-37</b:Pages>
    <b:Volume>14</b:Volume>
    <b:Issue>1</b:Issue>
    <b:RefOrder>382</b:RefOrder>
  </b:Source>
  <b:Source>
    <b:Tag>Ras10</b:Tag>
    <b:SourceType>JournalArticle</b:SourceType>
    <b:Guid>{DCE6B51D-5E53-4F3D-B5DB-566B0B391EF3}</b:Guid>
    <b:Author>
      <b:Author>
        <b:NameList>
          <b:Person>
            <b:Last>Rasiah</b:Last>
            <b:First>D</b:First>
          </b:Person>
        </b:NameList>
      </b:Author>
    </b:Author>
    <b:Title>Review of Literature and Theories on Determinants of Commercial Bank Profitability</b:Title>
    <b:JournalName>Journal of Performance Management</b:JournalName>
    <b:Year>2010</b:Year>
    <b:RefOrder>383</b:RefOrder>
  </b:Source>
  <b:Source>
    <b:Tag>Lim09</b:Tag>
    <b:SourceType>JournalArticle</b:SourceType>
    <b:Guid>{C6C3DBA3-041F-4669-843A-3EB030CF77D7}</b:Guid>
    <b:Author>
      <b:Author>
        <b:NameList>
          <b:Person>
            <b:Last>Lim</b:Last>
            <b:First>S</b:First>
          </b:Person>
          <b:Person>
            <b:Last>Lovell</b:Last>
            <b:First>K</b:First>
          </b:Person>
        </b:NameList>
      </b:Author>
    </b:Author>
    <b:Title>Profit and Productivity of U.S. Class I Railroads</b:Title>
    <b:JournalName>Managerial and Decision Economics</b:JournalName>
    <b:Year>2009</b:Year>
    <b:Pages>423–442</b:Pages>
    <b:Volume>30</b:Volume>
    <b:RefOrder>384</b:RefOrder>
  </b:Source>
  <b:Source>
    <b:Tag>BAS03</b:Tag>
    <b:SourceType>JournalArticle</b:SourceType>
    <b:Guid>{EC55FC1D-E83E-4810-BE43-2B406D4A4BB4}</b:Guid>
    <b:Author>
      <b:Author>
        <b:NameList>
          <b:Person>
            <b:Last>BASHIR</b:Last>
            <b:First>ABDEL-HAMEED</b:First>
            <b:Middle>M</b:Middle>
          </b:Person>
        </b:NameList>
      </b:Author>
    </b:Author>
    <b:Title>DETERMINANTS OF PROFITABILITY IN ISLAMIC BANKS: SOME EVIDENCE FROM THE MIDDLE EAST</b:Title>
    <b:JournalName>Islamic Economic Studies</b:JournalName>
    <b:Year>2003</b:Year>
    <b:Month>September</b:Month>
    <b:Volume>11</b:Volume>
    <b:Issue>1</b:Issue>
    <b:RefOrder>385</b:RefOrder>
  </b:Source>
  <b:Source>
    <b:Tag>Roq96</b:Tag>
    <b:SourceType>JournalArticle</b:SourceType>
    <b:Guid>{6EA8D629-1CCE-484B-AED0-3B5EE639490F}</b:Guid>
    <b:Author>
      <b:Author>
        <b:NameList>
          <b:Person>
            <b:Last>Roquebert</b:Last>
            <b:First>Jaime</b:First>
            <b:Middle>A</b:Middle>
          </b:Person>
          <b:Person>
            <b:Last>Robert</b:Last>
            <b:First>L.</b:First>
            <b:Middle>Philips</b:Middle>
          </b:Person>
          <b:Person>
            <b:Last>Peter</b:Last>
            <b:First>A.</b:First>
            <b:Middle>Westfall</b:Middle>
          </b:Person>
        </b:NameList>
      </b:Author>
    </b:Author>
    <b:Title>Markets vs. Management: What 'Drives' Profitability?</b:Title>
    <b:JournalName>Strategic Management Journal</b:JournalName>
    <b:Year>1996</b:Year>
    <b:Pages>653-664</b:Pages>
    <b:Volume>17</b:Volume>
    <b:Issue>8</b:Issue>
    <b:RefOrder>386</b:RefOrder>
  </b:Source>
  <b:Source>
    <b:Tag>Has68</b:Tag>
    <b:SourceType>JournalArticle</b:SourceType>
    <b:Guid>{CAF28EF6-AFE6-45F7-976B-111C14FA3E37}</b:Guid>
    <b:Author>
      <b:Author>
        <b:NameList>
          <b:Person>
            <b:Last>Haslem</b:Last>
            <b:First>John</b:First>
            <b:Middle>A</b:Middle>
          </b:Person>
        </b:NameList>
      </b:Author>
    </b:Author>
    <b:Title>A Statistical Analysis of the Relative Profitability of Commercial Banks</b:Title>
    <b:JournalName>Journal of Finance</b:JournalName>
    <b:Year>1968</b:Year>
    <b:Pages>167-176</b:Pages>
    <b:Volume>23</b:Volume>
    <b:RefOrder>387</b:RefOrder>
  </b:Source>
  <b:Source>
    <b:Tag>You96</b:Tag>
    <b:SourceType>JournalArticle</b:SourceType>
    <b:Guid>{5A55CD5C-D845-46AC-B9A3-C21EC2EA15F1}</b:Guid>
    <b:Author>
      <b:Author>
        <b:NameList>
          <b:Person>
            <b:Last>Youndt</b:Last>
            <b:First>M</b:First>
          </b:Person>
          <b:Person>
            <b:Last>Snell</b:Last>
            <b:First>S</b:First>
          </b:Person>
          <b:Person>
            <b:Last>Dean</b:Last>
            <b:First>J</b:First>
          </b:Person>
          <b:Person>
            <b:Last>Lepak</b:Last>
            <b:First>D</b:First>
          </b:Person>
        </b:NameList>
      </b:Author>
    </b:Author>
    <b:Title>Human Resource Management, Manufacturing Strategy and Firm Performance</b:Title>
    <b:JournalName>Academy of Management Journal</b:JournalName>
    <b:Year>1996</b:Year>
    <b:Pages>836-866</b:Pages>
    <b:Volume>39</b:Volume>
    <b:RefOrder>388</b:RefOrder>
  </b:Source>
  <b:Source>
    <b:Tag>Pfe94</b:Tag>
    <b:SourceType>JournalArticle</b:SourceType>
    <b:Guid>{E3FDCBCC-4B6E-49F6-B23C-7F7F57BCF610}</b:Guid>
    <b:Author>
      <b:Author>
        <b:NameList>
          <b:Person>
            <b:Last>Pfeffer</b:Last>
            <b:First>J</b:First>
          </b:Person>
        </b:NameList>
      </b:Author>
    </b:Author>
    <b:Title>Competitive  advantage  through  people: Unleashing the poer of the work force</b:Title>
    <b:JournalName>Boston: Harvard Business School Press</b:JournalName>
    <b:Year>1994</b:Year>
    <b:RefOrder>389</b:RefOrder>
  </b:Source>
  <b:Source>
    <b:Tag>Hus95</b:Tag>
    <b:SourceType>JournalArticle</b:SourceType>
    <b:Guid>{924E3966-13EA-4F55-B0AB-BE7575735C5D}</b:Guid>
    <b:Author>
      <b:Author>
        <b:NameList>
          <b:Person>
            <b:Last>Huselid</b:Last>
            <b:First>M</b:First>
          </b:Person>
        </b:NameList>
      </b:Author>
    </b:Author>
    <b:Title>The  impact  of  human  resource  management practices on turnover, productivity, and corporate financial performance</b:Title>
    <b:JournalName>Academy of Management journal</b:JournalName>
    <b:Year>1995</b:Year>
    <b:Pages>635-672</b:Pages>
    <b:Volume>38</b:Volume>
    <b:RefOrder>390</b:RefOrder>
  </b:Source>
  <b:Source>
    <b:Tag>Del96</b:Tag>
    <b:SourceType>JournalArticle</b:SourceType>
    <b:Guid>{31712D51-4875-4EBE-A9A8-EAFFF6DCB0B8}</b:Guid>
    <b:Author>
      <b:Author>
        <b:NameList>
          <b:Person>
            <b:Last>Delery</b:Last>
            <b:First>J</b:First>
          </b:Person>
          <b:Person>
            <b:Last>Doty</b:Last>
            <b:First>D.H</b:First>
          </b:Person>
        </b:NameList>
      </b:Author>
    </b:Author>
    <b:Title>Modes  of  theorizing  in strategic  human  resource  management:  Tests  of  universalistic,  contingency,  and  configurational  performance  predictions.</b:Title>
    <b:JournalName>Academy of Management Journal</b:JournalName>
    <b:Year>1996</b:Year>
    <b:Pages>802-835</b:Pages>
    <b:Volume>39</b:Volume>
    <b:RefOrder>391</b:RefOrder>
  </b:Source>
  <b:Source>
    <b:Tag>Placeholder14</b:Tag>
    <b:SourceType>JournalArticle</b:SourceType>
    <b:Guid>{C129FC6C-8AF8-4CCB-AFC7-AEE642C62EB5}</b:Guid>
    <b:Author>
      <b:Author>
        <b:NameList>
          <b:Person>
            <b:Last>Shrivastava</b:Last>
            <b:First>P</b:First>
          </b:Person>
        </b:NameList>
      </b:Author>
    </b:Author>
    <b:Title>The  role  of corporations in achieving ecological  sustainability.</b:Title>
    <b:JournalName>Academy of Management review</b:JournalName>
    <b:Year>1995</b:Year>
    <b:Pages>936-960</b:Pages>
    <b:Volume>20</b:Volume>
    <b:RefOrder>392</b:RefOrder>
  </b:Source>
  <b:Source>
    <b:Tag>Placeholder15</b:Tag>
    <b:SourceType>JournalArticle</b:SourceType>
    <b:Guid>{2F9AEF78-016E-44F7-9B8E-1DD8B9E24D75}</b:Guid>
    <b:Author>
      <b:Author>
        <b:NameList>
          <b:Person>
            <b:Last>Hart</b:Last>
            <b:First>S</b:First>
          </b:Person>
        </b:NameList>
      </b:Author>
    </b:Author>
    <b:Title>A  natural-resource-based  view  of  the  firm</b:Title>
    <b:JournalName>Academy  of  Management  Review</b:JournalName>
    <b:Year>1995</b:Year>
    <b:Pages>986-1014</b:Pages>
    <b:Volume>20</b:Volume>
    <b:RefOrder>393</b:RefOrder>
  </b:Source>
  <b:Source>
    <b:Tag>Rus97</b:Tag>
    <b:SourceType>JournalArticle</b:SourceType>
    <b:Guid>{996CE4A5-00F3-45FF-BA4D-EAEF0E839BB7}</b:Guid>
    <b:Author>
      <b:Author>
        <b:NameList>
          <b:Person>
            <b:Last>Russo</b:Last>
            <b:First>M</b:First>
          </b:Person>
          <b:Person>
            <b:Last>Foults</b:Last>
            <b:First>P</b:First>
          </b:Person>
        </b:NameList>
      </b:Author>
    </b:Author>
    <b:Title>A  resource-based perspective  on corporate environmental performance and profitability</b:Title>
    <b:JournalName>Academy of Management Journal</b:JournalName>
    <b:Year>1997</b:Year>
    <b:Pages>534-559</b:Pages>
    <b:Volume>40</b:Volume>
    <b:RefOrder>394</b:RefOrder>
  </b:Source>
  <b:Source>
    <b:Tag>Tho96</b:Tag>
    <b:SourceType>JournalArticle</b:SourceType>
    <b:Guid>{D4C75E76-B497-4874-AB48-6485EDFF9693}</b:Guid>
    <b:Author>
      <b:Author>
        <b:NameList>
          <b:Person>
            <b:Last>Thomas</b:Last>
            <b:First>D</b:First>
          </b:Person>
          <b:Person>
            <b:Last>Ely</b:Last>
            <b:First>R</b:First>
          </b:Person>
        </b:NameList>
      </b:Author>
    </b:Author>
    <b:Title>Making  differences  matter: A new paradigm for managing diversity</b:Title>
    <b:JournalName>Harvard Business Review</b:JournalName>
    <b:Year>1996</b:Year>
    <b:Pages>79-90</b:Pages>
    <b:Volume>74</b:Volume>
    <b:Issue>5</b:Issue>
    <b:RefOrder>395</b:RefOrder>
  </b:Source>
  <b:Source>
    <b:Tag>Rob97</b:Tag>
    <b:SourceType>JournalArticle</b:SourceType>
    <b:Guid>{BF825E37-7BE5-4DBA-9E91-AA35AD375F1D}</b:Guid>
    <b:Author>
      <b:Author>
        <b:NameList>
          <b:Person>
            <b:Last>Robinson</b:Last>
            <b:First>G</b:First>
          </b:Person>
          <b:Person>
            <b:Last>Dechant</b:Last>
            <b:First>K</b:First>
          </b:Person>
        </b:NameList>
      </b:Author>
    </b:Author>
    <b:Title>Building a business case for diversity</b:Title>
    <b:JournalName>Academy of Management Executive</b:JournalName>
    <b:Year>1997</b:Year>
    <b:Pages>21-31</b:Pages>
    <b:Volume>11</b:Volume>
    <b:Issue>3</b:Issue>
    <b:RefOrder>396</b:RefOrder>
  </b:Source>
  <b:Source>
    <b:Tag>Ull85</b:Tag>
    <b:SourceType>JournalArticle</b:SourceType>
    <b:Guid>{CA713F66-9720-4B79-BBFC-123F9B8969CB}</b:Guid>
    <b:Author>
      <b:Author>
        <b:NameList>
          <b:Person>
            <b:Last>Ullmann</b:Last>
            <b:First>A</b:First>
          </b:Person>
        </b:NameList>
      </b:Author>
    </b:Author>
    <b:Title>Data in  search  of  a theory:  A critical  examination  of the  relationships  among social  performance,  social  disclosure,  and  economic  performance</b:Title>
    <b:JournalName>Academy  of  Management review</b:JournalName>
    <b:Year>1985</b:Year>
    <b:Pages>540-577</b:Pages>
    <b:Volume>10</b:Volume>
    <b:RefOrder>397</b:RefOrder>
  </b:Source>
  <b:Source>
    <b:Tag>Coc84</b:Tag>
    <b:SourceType>JournalArticle</b:SourceType>
    <b:Guid>{F60B10AB-D54B-458B-8E21-246062F8C121}</b:Guid>
    <b:Author>
      <b:Author>
        <b:NameList>
          <b:Person>
            <b:Last>Cochran</b:Last>
            <b:First>P</b:First>
          </b:Person>
          <b:Person>
            <b:Last>Wood</b:Last>
            <b:First>R</b:First>
          </b:Person>
        </b:NameList>
      </b:Author>
    </b:Author>
    <b:Title>Corporate  social  responsibility  and  financial  performance</b:Title>
    <b:JournalName>Academy of Management Journal</b:JournalName>
    <b:Year>1984</b:Year>
    <b:Pages>42-56</b:Pages>
    <b:Volume>27</b:Volume>
    <b:RefOrder>398</b:RefOrder>
  </b:Source>
  <b:Source>
    <b:Tag>Aup85</b:Tag>
    <b:SourceType>JournalArticle</b:SourceType>
    <b:Guid>{B8397CF0-3539-4EF0-82C6-75CF93B14319}</b:Guid>
    <b:Author>
      <b:Author>
        <b:NameList>
          <b:Person>
            <b:Last>Aupperle</b:Last>
            <b:First>K</b:First>
          </b:Person>
          <b:Person>
            <b:Last>Carroll</b:Last>
            <b:First>A</b:First>
          </b:Person>
          <b:Person>
            <b:Last>Hatfield</b:Last>
            <b:First>J</b:First>
          </b:Person>
        </b:NameList>
      </b:Author>
    </b:Author>
    <b:Title>An  empirical  examination  of  the  relationship between  corporate  social  responsibility  and  profitability</b:Title>
    <b:JournalName>Academy of Management Journal</b:JournalName>
    <b:Year>1985</b:Year>
    <b:Pages>446-463</b:Pages>
    <b:Volume>28</b:Volume>
    <b:RefOrder>399</b:RefOrder>
  </b:Source>
  <b:Source>
    <b:Tag>Par75</b:Tag>
    <b:SourceType>JournalArticle</b:SourceType>
    <b:Guid>{8D6415D6-B962-4203-9253-E960745A8A9B}</b:Guid>
    <b:Author>
      <b:Author>
        <b:NameList>
          <b:Person>
            <b:Last>Parket</b:Last>
            <b:First>R</b:First>
          </b:Person>
          <b:Person>
            <b:Last>Eibert</b:Last>
            <b:First>H</b:First>
          </b:Person>
        </b:NameList>
      </b:Author>
    </b:Author>
    <b:Title>Social  responsibility:  The  underlying  factors</b:Title>
    <b:JournalName>Business  Horizons</b:JournalName>
    <b:Year>1975</b:Year>
    <b:Pages>5-10</b:Pages>
    <b:Volume>18</b:Volume>
    <b:RefOrder>400</b:RefOrder>
  </b:Source>
  <b:Source>
    <b:Tag>Bow75</b:Tag>
    <b:SourceType>JournalArticle</b:SourceType>
    <b:Guid>{9CF268A9-591A-4528-86AB-BB3C3CF9B4AB}</b:Guid>
    <b:Author>
      <b:Author>
        <b:NameList>
          <b:Person>
            <b:Last>Bowman</b:Last>
            <b:First>E</b:First>
          </b:Person>
          <b:Person>
            <b:Last>Haire</b:Last>
            <b:First>M</b:First>
          </b:Person>
        </b:NameList>
      </b:Author>
    </b:Author>
    <b:Title>A  strategic  posture  towards  CSR</b:Title>
    <b:JournalName>California  Management Review</b:JournalName>
    <b:Year>1975</b:Year>
    <b:Pages>49-58</b:Pages>
    <b:Volume>18</b:Volume>
    <b:Issue>2</b:Issue>
    <b:RefOrder>401</b:RefOrder>
  </b:Source>
  <b:Source>
    <b:Tag>Bra72</b:Tag>
    <b:SourceType>JournalArticle</b:SourceType>
    <b:Guid>{9AA09605-1433-4BC8-A211-11A85004D6F8}</b:Guid>
    <b:Author>
      <b:Author>
        <b:NameList>
          <b:Person>
            <b:Last>Bradgon</b:Last>
            <b:First>J.H</b:First>
          </b:Person>
          <b:Person>
            <b:Last>Marlin</b:Last>
            <b:First>J</b:First>
          </b:Person>
        </b:NameList>
      </b:Author>
    </b:Author>
    <b:Title>Is  pollution  profitable?</b:Title>
    <b:JournalName>Risk  Management</b:JournalName>
    <b:Year>1972</b:Year>
    <b:Pages>9-18</b:Pages>
    <b:Volume>19</b:Volume>
    <b:Issue>4</b:Issue>
    <b:RefOrder>402</b:RefOrder>
  </b:Source>
  <b:Source>
    <b:Tag>Sol85</b:Tag>
    <b:SourceType>JournalArticle</b:SourceType>
    <b:Guid>{C5B2E8E6-D5CD-403E-B205-355E13EEA4F7}</b:Guid>
    <b:Author>
      <b:Author>
        <b:NameList>
          <b:Person>
            <b:Last>Soloman</b:Last>
            <b:First>R</b:First>
          </b:Person>
          <b:Person>
            <b:Last>Hansen</b:Last>
            <b:First>K</b:First>
          </b:Person>
        </b:NameList>
      </b:Author>
    </b:Author>
    <b:Title>It's  good  business</b:Title>
    <b:JournalName>New  York: Atheneum</b:JournalName>
    <b:Year>1985</b:Year>
    <b:RefOrder>403</b:RefOrder>
  </b:Source>
  <b:Source>
    <b:Tag>Spi78</b:Tag>
    <b:SourceType>JournalArticle</b:SourceType>
    <b:Guid>{B5E9322B-0884-48A3-891D-3BB142D85AFB}</b:Guid>
    <b:Author>
      <b:Author>
        <b:NameList>
          <b:Person>
            <b:Last>Spicer</b:Last>
            <b:First>B.H</b:First>
          </b:Person>
        </b:NameList>
      </b:Author>
    </b:Author>
    <b:Title>Investors,  corporate  social  performance,  and  information  disclosure:  An empirical study</b:Title>
    <b:JournalName>Accounting  Review</b:JournalName>
    <b:Year>1978</b:Year>
    <b:Pages>94-111</b:Pages>
    <b:Volume>53</b:Volume>
    <b:RefOrder>404</b:RefOrder>
  </b:Source>
  <b:Source>
    <b:Tag>Mou86</b:Tag>
    <b:SourceType>JournalArticle</b:SourceType>
    <b:Guid>{CFE9795D-9564-41A4-BE83-32A43059375D}</b:Guid>
    <b:Author>
      <b:Author>
        <b:NameList>
          <b:Person>
            <b:Last>Moussavi</b:Last>
            <b:First>F</b:First>
          </b:Person>
          <b:Person>
            <b:Last>Evans</b:Last>
            <b:First>D</b:First>
          </b:Person>
        </b:NameList>
      </b:Author>
    </b:Author>
    <b:Title>An  attributional  approach  to measuring  corporate social performance</b:Title>
    <b:JournalName>Paper  presented  at the  Academy  of  Management  meetings,  San  Diego</b:JournalName>
    <b:Year>1986</b:Year>
    <b:RefOrder>405</b:RefOrder>
  </b:Source>
  <b:Source>
    <b:Tag>Van75</b:Tag>
    <b:SourceType>JournalArticle</b:SourceType>
    <b:Guid>{72EB65A3-84F0-480E-80AE-6F6BE1B4FA24}</b:Guid>
    <b:Author>
      <b:Author>
        <b:NameList>
          <b:Person>
            <b:Last>Vance</b:Last>
            <b:First>S</b:First>
          </b:Person>
        </b:NameList>
      </b:Author>
    </b:Author>
    <b:Title>Are socially  responsible  firms  good  investment  risks?</b:Title>
    <b:JournalName>Management Review</b:JournalName>
    <b:Year>1975</b:Year>
    <b:Pages>18-24</b:Pages>
    <b:Volume>64</b:Volume>
    <b:RefOrder>406</b:RefOrder>
  </b:Source>
  <b:Source>
    <b:Tag>Dav75</b:Tag>
    <b:SourceType>JournalArticle</b:SourceType>
    <b:Guid>{B6375D9A-7225-43FB-BCB3-CD1E0192DF00}</b:Guid>
    <b:Author>
      <b:Author>
        <b:NameList>
          <b:Person>
            <b:Last>Davis</b:Last>
            <b:First>L</b:First>
          </b:Person>
        </b:NameList>
      </b:Author>
    </b:Author>
    <b:Title>Five Propositions for Social Responsibility</b:Title>
    <b:JournalName>Business Horizons</b:JournalName>
    <b:Year>1975</b:Year>
    <b:Pages>19-24</b:Pages>
    <b:Month>June</b:Month>
    <b:RefOrder>407</b:RefOrder>
  </b:Source>
  <b:Source>
    <b:Tag>Dav04</b:Tag>
    <b:SourceType>JournalArticle</b:SourceType>
    <b:Guid>{76577799-2110-470F-BB03-79F6812C711D}</b:Guid>
    <b:Author>
      <b:Author>
        <b:NameList>
          <b:Person>
            <b:Last>Davis</b:Last>
            <b:First>Stan</b:First>
          </b:Person>
          <b:Person>
            <b:Last>Albright</b:Last>
            <b:First>Tom</b:First>
          </b:Person>
        </b:NameList>
      </b:Author>
    </b:Author>
    <b:Title>An investigation of the effect of Balanced Scorecard implementation on financial performance</b:Title>
    <b:JournalName>Management Accounting Research</b:JournalName>
    <b:Year>2004</b:Year>
    <b:Pages>135–153</b:Pages>
    <b:Volume>15</b:Volume>
    <b:RefOrder>408</b:RefOrder>
  </b:Source>
  <b:Source>
    <b:Tag>Bra04</b:Tag>
    <b:SourceType>JournalArticle</b:SourceType>
    <b:Guid>{197A40F9-E5E7-426F-94AE-D344A42F92AE}</b:Guid>
    <b:Author>
      <b:Author>
        <b:NameList>
          <b:Person>
            <b:Last>Braam</b:Last>
            <b:First>Geert</b:First>
            <b:Middle>J.M</b:Middle>
          </b:Person>
          <b:Person>
            <b:Last>Nijssen</b:Last>
            <b:First>Edwin</b:First>
            <b:Middle>J</b:Middle>
          </b:Person>
        </b:NameList>
      </b:Author>
    </b:Author>
    <b:Title>Performance effects of using the Balanced Scorecard: a note on the Dutch experience</b:Title>
    <b:JournalName>Long Range Planning</b:JournalName>
    <b:Year>2004</b:Year>
    <b:Pages>335–349</b:Pages>
    <b:Volume>37</b:Volume>
    <b:RefOrder>409</b:RefOrder>
  </b:Source>
  <b:Source>
    <b:Tag>Erh03</b:Tag>
    <b:SourceType>JournalArticle</b:SourceType>
    <b:Guid>{F7D03C00-43A3-496F-9D89-406409D290DC}</b:Guid>
    <b:Author>
      <b:Author>
        <b:NameList>
          <b:Person>
            <b:Last>Erhardt</b:Last>
            <b:First>Niclas</b:First>
            <b:Middle>L</b:Middle>
          </b:Person>
          <b:Person>
            <b:Last>Werbel</b:Last>
            <b:First>James</b:First>
            <b:Middle>D</b:Middle>
          </b:Person>
          <b:Person>
            <b:Last>Shrader</b:Last>
            <b:First>Charles</b:First>
            <b:Middle>B</b:Middle>
          </b:Person>
        </b:NameList>
      </b:Author>
    </b:Author>
    <b:Title>Board of Director Diversity and Firm Financial Performance</b:Title>
    <b:JournalName>CORPORATE GOVERNANCE</b:JournalName>
    <b:Year>2003</b:Year>
    <b:Month>April</b:Month>
    <b:Volume>11</b:Volume>
    <b:Issue>2</b:Issue>
    <b:RefOrder>410</b:RefOrder>
  </b:Source>
  <b:Source>
    <b:Tag>Tim00</b:Tag>
    <b:SourceType>JournalArticle</b:SourceType>
    <b:Guid>{6BF30B31-484D-4AFA-BD40-2F145C5BB1B8}</b:Guid>
    <b:Author>
      <b:Author>
        <b:NameList>
          <b:Person>
            <b:Last>Timmerman</b:Last>
            <b:First>T</b:First>
          </b:Person>
        </b:NameList>
      </b:Author>
    </b:Author>
    <b:Title>Racial Diversity, Age Diversity, Interdependence, and Team Performance</b:Title>
    <b:JournalName>Small Group Research</b:JournalName>
    <b:Year>2000</b:Year>
    <b:Pages>592–606</b:Pages>
    <b:Volume>31</b:Volume>
    <b:RefOrder>411</b:RefOrder>
  </b:Source>
  <b:Source>
    <b:Tag>Pet00</b:Tag>
    <b:SourceType>JournalArticle</b:SourceType>
    <b:Guid>{4B81FFD2-198F-4EF6-A5EB-F25AC5C8833B}</b:Guid>
    <b:Author>
      <b:Author>
        <b:NameList>
          <b:Person>
            <b:Last>Petersen</b:Last>
            <b:First>R</b:First>
          </b:Person>
        </b:NameList>
      </b:Author>
    </b:Author>
    <b:Title>The Management of a Diverse Workforce in the Business Environment of Israel and Possible Applications for South Africa</b:Title>
    <b:JournalName>Dissertation Abstracts International Section B: The Sciences and Engineering</b:JournalName>
    <b:Year>2000</b:Year>
    <b:Pages>4284</b:Pages>
    <b:Volume>60</b:Volume>
    <b:RefOrder>412</b:RefOrder>
  </b:Source>
  <b:Source>
    <b:Tag>Kil00</b:Tag>
    <b:SourceType>JournalArticle</b:SourceType>
    <b:Guid>{6506781B-A308-4C8E-9A01-E99906F3B705}</b:Guid>
    <b:Author>
      <b:Author>
        <b:NameList>
          <b:Person>
            <b:Last>Kilduff</b:Last>
            <b:First>M</b:First>
          </b:Person>
          <b:Person>
            <b:Last>Angelmar</b:Last>
            <b:First>R</b:First>
          </b:Person>
          <b:Person>
            <b:Last>Mehra</b:Last>
            <b:First>A</b:First>
          </b:Person>
        </b:NameList>
      </b:Author>
    </b:Author>
    <b:Title>Top Management-Team Diversity and Firm Performance: Examining the Role of Cognitions</b:Title>
    <b:JournalName>Organization Science</b:JournalName>
    <b:Year>2000</b:Year>
    <b:Pages>21–34</b:Pages>
    <b:Volume>11</b:Volume>
    <b:RefOrder>413</b:RefOrder>
  </b:Source>
  <b:Source>
    <b:Tag>Wat98</b:Tag>
    <b:SourceType>JournalArticle</b:SourceType>
    <b:Guid>{0BF07D78-8A21-4754-9696-2BC47329450D}</b:Guid>
    <b:Author>
      <b:Author>
        <b:NameList>
          <b:Person>
            <b:Last>Watson</b:Last>
            <b:First>W</b:First>
          </b:Person>
          <b:Person>
            <b:Last>Johnson</b:Last>
            <b:First>L</b:First>
          </b:Person>
          <b:Person>
            <b:Last>Merritt</b:Last>
            <b:First>D</b:First>
          </b:Person>
        </b:NameList>
      </b:Author>
    </b:Author>
    <b:Title>Team Orientation, Self-Orientation, and Diversity in Task Groups: Their Connection to Team Performance Over Time</b:Title>
    <b:JournalName>Group and Organization Management</b:JournalName>
    <b:Year>1998</b:Year>
    <b:Pages>161–189</b:Pages>
    <b:Volume>23</b:Volume>
    <b:RefOrder>414</b:RefOrder>
  </b:Source>
  <b:Source>
    <b:Tag>Boe97</b:Tag>
    <b:SourceType>JournalArticle</b:SourceType>
    <b:Guid>{B192BA42-2D1A-4CB6-B704-094C1602F974}</b:Guid>
    <b:Author>
      <b:Author>
        <b:NameList>
          <b:Person>
            <b:Last>Boeker</b:Last>
            <b:First>W</b:First>
          </b:Person>
        </b:NameList>
      </b:Author>
    </b:Author>
    <b:Title>Executive Migration and Strategic Change: The Effect of Top Manager Movement on Product-Market Entry</b:Title>
    <b:JournalName>Administrative Science Quarterly</b:JournalName>
    <b:Year>1997</b:Year>
    <b:Pages>213–237</b:Pages>
    <b:Volume>42</b:Volume>
    <b:RefOrder>415</b:RefOrder>
  </b:Source>
  <b:Source>
    <b:Tag>Pel96</b:Tag>
    <b:SourceType>JournalArticle</b:SourceType>
    <b:Guid>{FCE6B180-B0E4-4D12-A3E7-676278E94EB3}</b:Guid>
    <b:Author>
      <b:Author>
        <b:NameList>
          <b:Person>
            <b:Last>Pelled</b:Last>
            <b:First>L</b:First>
          </b:Person>
        </b:NameList>
      </b:Author>
    </b:Author>
    <b:Title>Demographic Diversity, Conflict, and Work Group Outcomes: An Intervening Process Theory</b:Title>
    <b:JournalName>Organization Science</b:JournalName>
    <b:Year>1996</b:Year>
    <b:Pages>615-631</b:Pages>
    <b:Volume>7</b:Volume>
    <b:RefOrder>416</b:RefOrder>
  </b:Source>
  <b:Source>
    <b:Tag>Mil96</b:Tag>
    <b:SourceType>JournalArticle</b:SourceType>
    <b:Guid>{0DFC1457-7303-4469-9DBF-F3C773433977}</b:Guid>
    <b:Author>
      <b:Author>
        <b:NameList>
          <b:Person>
            <b:Last>Milliken</b:Last>
            <b:First>F</b:First>
          </b:Person>
          <b:Person>
            <b:Last>Martins</b:Last>
            <b:First>L</b:First>
          </b:Person>
        </b:NameList>
      </b:Author>
    </b:Author>
    <b:Title>Searching for Common Threads: Understanding the Multiple Effects of Diversity in Organizational Groups</b:Title>
    <b:JournalName>Academy of Management Review</b:JournalName>
    <b:Year>1996</b:Year>
    <b:Pages>402-434</b:Pages>
    <b:Volume>21</b:Volume>
    <b:RefOrder>417</b:RefOrder>
  </b:Source>
  <b:Source>
    <b:Tag>Maz94</b:Tag>
    <b:SourceType>JournalArticle</b:SourceType>
    <b:Guid>{3723D51A-05AE-4CAC-8CB8-D148B69868DB}</b:Guid>
    <b:Author>
      <b:Author>
        <b:NameList>
          <b:Person>
            <b:Last>Maznevski</b:Last>
            <b:First>M.L</b:First>
          </b:Person>
        </b:NameList>
      </b:Author>
    </b:Author>
    <b:Title>Understanding Our Differences: Performance in Decision-Making Groups with Diverse Members</b:Title>
    <b:JournalName>Human Relations</b:JournalName>
    <b:Year>1994</b:Year>
    <b:Pages>531–552</b:Pages>
    <b:Volume>47</b:Volume>
    <b:RefOrder>418</b:RefOrder>
  </b:Source>
  <b:Source>
    <b:Tag>Wat93</b:Tag>
    <b:SourceType>JournalArticle</b:SourceType>
    <b:Guid>{B79B8810-6400-4421-ABDC-72F377657EB6}</b:Guid>
    <b:Author>
      <b:Author>
        <b:NameList>
          <b:Person>
            <b:Last>Watson</b:Last>
            <b:First>E</b:First>
          </b:Person>
          <b:Person>
            <b:Last>Kumar</b:Last>
            <b:First>K</b:First>
          </b:Person>
          <b:Person>
            <b:Last>Michaelsen</b:Last>
            <b:First>L</b:First>
          </b:Person>
        </b:NameList>
      </b:Author>
    </b:Author>
    <b:Title>Cultural Diversity’s Impact on Interaction Process and Performance: Comparing Homogeneous and Diverse Task Groups</b:Title>
    <b:JournalName>Academy of Management Journal</b:JournalName>
    <b:Year>1993</b:Year>
    <b:Pages>590–603</b:Pages>
    <b:Volume>36</b:Volume>
    <b:RefOrder>419</b:RefOrder>
  </b:Source>
  <b:Source>
    <b:Tag>Ban93</b:Tag>
    <b:SourceType>JournalArticle</b:SourceType>
    <b:Guid>{F68EBCCC-2A8E-48F8-BB8D-394EDA0073DB}</b:Guid>
    <b:Author>
      <b:Author>
        <b:NameList>
          <b:Person>
            <b:Last>Bantel</b:Last>
            <b:First>K</b:First>
          </b:Person>
        </b:NameList>
      </b:Author>
    </b:Author>
    <b:Title>Strategic Clarity in Banking: Role of Top Management-Team Demography</b:Title>
    <b:JournalName>Psychological Reports</b:JournalName>
    <b:Year>1993</b:Year>
    <b:Pages>1187–1203</b:Pages>
    <b:Volume>73</b:Volume>
    <b:RefOrder>420</b:RefOrder>
  </b:Source>
  <b:Source>
    <b:Tag>Dal99</b:Tag>
    <b:SourceType>JournalArticle</b:SourceType>
    <b:Guid>{1D92D909-19D8-4885-A410-E316130437C9}</b:Guid>
    <b:Author>
      <b:Author>
        <b:NameList>
          <b:Person>
            <b:Last>Dalton</b:Last>
            <b:First>Dan</b:First>
            <b:Middle>R</b:Middle>
          </b:Person>
          <b:Person>
            <b:Last>Daily</b:Last>
            <b:First>Catherine</b:First>
            <b:Middle>M</b:Middle>
          </b:Person>
          <b:Person>
            <b:Last>Johnson</b:Last>
            <b:First>Jonathan</b:First>
            <b:Middle>L</b:Middle>
          </b:Person>
          <b:Person>
            <b:Last>Ellstrand</b:Last>
            <b:First>Alan</b:First>
            <b:Middle>E</b:Middle>
          </b:Person>
        </b:NameList>
      </b:Author>
    </b:Author>
    <b:Title>Number of Directors and Financial Performance: A Meta-Analysis</b:Title>
    <b:JournalName>The Academy of Management Journal</b:JournalName>
    <b:Year>1999</b:Year>
    <b:Pages>674-686</b:Pages>
    <b:Month>December</b:Month>
    <b:Volume>42</b:Volume>
    <b:Issue>6</b:Issue>
    <b:RefOrder>421</b:RefOrder>
  </b:Source>
  <b:Source>
    <b:Tag>Flo90</b:Tag>
    <b:SourceType>JournalArticle</b:SourceType>
    <b:Guid>{799F3C91-B7F1-4857-B841-8B2E600955EE}</b:Guid>
    <b:Author>
      <b:Author>
        <b:NameList>
          <b:Person>
            <b:Last>Floyd</b:Last>
            <b:First>Steven.</b:First>
            <b:Middle>W</b:Middle>
          </b:Person>
          <b:Person>
            <b:Last>Wooldridge</b:Last>
            <b:First>Bill</b:First>
          </b:Person>
        </b:NameList>
      </b:Author>
    </b:Author>
    <b:Title>Path Analysis of the Relationship between Competitive Strategy, Information Technology, and Financial Performance</b:Title>
    <b:JournalName>Journal of Management Information Systems</b:JournalName>
    <b:Year>1990</b:Year>
    <b:Pages>47-64</b:Pages>
    <b:Volume>7</b:Volume>
    <b:Issue>1</b:Issue>
    <b:RefOrder>422</b:RefOrder>
  </b:Source>
  <b:Source>
    <b:Tag>Woo79</b:Tag>
    <b:SourceType>JournalArticle</b:SourceType>
    <b:Guid>{A6AE191D-9F3E-4841-800C-1921D5B2A658}</b:Guid>
    <b:Author>
      <b:Author>
        <b:NameList>
          <b:Person>
            <b:Last>Wood</b:Last>
            <b:First>Jr,</b:First>
            <b:Middle>D. Robley</b:Middle>
          </b:Person>
          <b:Person>
            <b:Last>LaForge</b:Last>
            <b:First>R.</b:First>
            <b:Middle>Lawrence</b:Middle>
          </b:Person>
        </b:NameList>
      </b:Author>
    </b:Author>
    <b:Title>The Impact of Comprehensive Planning on Financial Performance</b:Title>
    <b:JournalName>The Academy of Management Journal</b:JournalName>
    <b:Year>1979</b:Year>
    <b:Pages>516-526</b:Pages>
    <b:Month>September</b:Month>
    <b:Volume>22</b:Volume>
    <b:Issue>3</b:Issue>
    <b:RefOrder>423</b:RefOrder>
  </b:Source>
  <b:Source>
    <b:Tag>Ver98</b:Tag>
    <b:SourceType>JournalArticle</b:SourceType>
    <b:Guid>{239F40D8-FB8E-42A1-BD55-C07A357E62A0}</b:Guid>
    <b:Author>
      <b:Author>
        <b:NameList>
          <b:Person>
            <b:Last>Verschoor</b:Last>
            <b:First>Curtis</b:First>
            <b:Middle>C</b:Middle>
          </b:Person>
        </b:NameList>
      </b:Author>
    </b:Author>
    <b:Title>A Study of The Link Between a Corporation’s Financial Performance and Its Commitment to Ethics</b:Title>
    <b:JournalName>Journal of Business Ethics</b:JournalName>
    <b:Year>1998</b:Year>
    <b:Pages>1509–1516</b:Pages>
    <b:Volume>17</b:Volume>
    <b:RefOrder>424</b:RefOrder>
  </b:Source>
  <b:Source>
    <b:Tag>Sai08</b:Tag>
    <b:SourceType>JournalArticle</b:SourceType>
    <b:Guid>{3E592894-DA49-4E5F-8F67-00E7B64C0D46}</b:Guid>
    <b:Author>
      <b:Author>
        <b:NameList>
          <b:Person>
            <b:Last>Saito</b:Last>
            <b:First>Takuji</b:First>
          </b:Person>
        </b:NameList>
      </b:Author>
    </b:Author>
    <b:Title>Family firms and firm performance: Evidence from Japan</b:Title>
    <b:JournalName>J. Japanese Int. Economies</b:JournalName>
    <b:Year>2008</b:Year>
    <b:Pages>620–646</b:Pages>
    <b:Volume>22</b:Volume>
    <b:RefOrder>425</b:RefOrder>
  </b:Source>
  <b:Source>
    <b:Tag>Wes77</b:Tag>
    <b:SourceType>Book</b:SourceType>
    <b:Guid>{497327C1-728E-4AAA-9BD2-F5F60F7FFA71}</b:Guid>
    <b:Author>
      <b:Author>
        <b:NameList>
          <b:Person>
            <b:Last>Weston</b:Last>
            <b:First>John</b:First>
            <b:Middle>Fred</b:Middle>
          </b:Person>
          <b:Person>
            <b:Last>Brigham</b:Last>
            <b:First>Eugene.</b:First>
            <b:Middle>F</b:Middle>
          </b:Person>
        </b:NameList>
      </b:Author>
    </b:Author>
    <b:Title>Essentials of Managerial Finance</b:Title>
    <b:Year>1977</b:Year>
    <b:Pages>617</b:Pages>
    <b:Publisher>Dryden Press</b:Publisher>
    <b:RefOrder>426</b:RefOrder>
  </b:Source>
  <b:Source>
    <b:Tag>Kul73</b:Tag>
    <b:SourceType>JournalArticle</b:SourceType>
    <b:Guid>{86A95241-CB74-4ECE-A8DF-4F47111C253C}</b:Guid>
    <b:Author>
      <b:Author>
        <b:NameList>
          <b:Person>
            <b:Last>Kulshrestha</b:Last>
            <b:First>R.S</b:First>
          </b:Person>
        </b:NameList>
      </b:Author>
    </b:Author>
    <b:Title>Profitability in India's steel industry during the decade 1960-70</b:Title>
    <b:Year>1973</b:Year>
    <b:JournalName>A thesis submitted for the degree of PH.D depts. E.A.F.M., University of Rajasthan, jaipur</b:JournalName>
    <b:Pages>83</b:Pages>
    <b:RefOrder>427</b:RefOrder>
  </b:Source>
  <b:Source>
    <b:Tag>Placeholder16</b:Tag>
    <b:SourceType>BookSection</b:SourceType>
    <b:Guid>{4017CCBA-633D-43D6-AB17-D1102E22B84E}</b:Guid>
    <b:Author>
      <b:Author>
        <b:NameList>
          <b:Person>
            <b:Last>Dougherty</b:Last>
            <b:First>C</b:First>
          </b:Person>
        </b:NameList>
      </b:Author>
    </b:Author>
    <b:Title>Introduction to Econometrics</b:Title>
    <b:Year>2011</b:Year>
    <b:Publisher>Oxford University Press</b:Publisher>
    <b:Edition>4th </b:Edition>
    <b:RefOrder>428</b:RefOrder>
  </b:Source>
  <b:Source>
    <b:Tag>Brü05</b:Tag>
    <b:SourceType>JournalArticle</b:SourceType>
    <b:Guid>{E35A4060-F433-4355-BAB9-8B4BBBF03766}</b:Guid>
    <b:Author>
      <b:Author>
        <b:NameList>
          <b:Person>
            <b:Last>Brüderl</b:Last>
            <b:First>Josef</b:First>
          </b:Person>
        </b:NameList>
      </b:Author>
    </b:Author>
    <b:Title>Panel Data Analysis</b:Title>
    <b:Year>2005</b:Year>
    <b:JournalName>University of Mannheim</b:JournalName>
    <b:Month>March</b:Month>
    <b:RefOrder>429</b:RefOrder>
  </b:Source>
  <b:Source>
    <b:Tag>www12</b:Tag>
    <b:SourceType>DocumentFromInternetSite</b:SourceType>
    <b:Guid>{8D91142E-4A82-478B-832F-CC38A01F0A34}</b:Guid>
    <b:InternetSiteTitle>www.ehow.com</b:InternetSiteTitle>
    <b:YearAccessed>2012</b:YearAccessed>
    <b:MonthAccessed>10</b:MonthAccessed>
    <b:DayAccessed>1</b:DayAccessed>
    <b:Title>Why is Profit Important in a Business</b:Title>
    <b:RefOrder>430</b:RefOrder>
  </b:Source>
  <b:Source>
    <b:Tag>Wha12</b:Tag>
    <b:SourceType>DocumentFromInternetSite</b:SourceType>
    <b:Guid>{5B63A561-9FB2-4478-8C0F-88541A0F39A4}</b:Guid>
    <b:Title>What is Profit and why is it important</b:Title>
    <b:InternetSiteTitle>www.tutor2u.net</b:InternetSiteTitle>
    <b:YearAccessed>2012</b:YearAccessed>
    <b:MonthAccessed>10</b:MonthAccessed>
    <b:DayAccessed>1</b:DayAccessed>
    <b:RefOrder>431</b:RefOrder>
  </b:Source>
  <b:Source>
    <b:Tag>Why121</b:Tag>
    <b:SourceType>DocumentFromInternetSite</b:SourceType>
    <b:Guid>{676DDBAB-A070-4388-9250-3B3AE29CDA4F}</b:Guid>
    <b:Title>Why a business must be profitable</b:Title>
    <b:InternetSiteTitle>www.mind-trek.com</b:InternetSiteTitle>
    <b:YearAccessed>2012</b:YearAccessed>
    <b:MonthAccessed>10</b:MonthAccessed>
    <b:DayAccessed>1</b:DayAccessed>
    <b:RefOrder>432</b:RefOrder>
  </b:Source>
  <b:Source>
    <b:Tag>Res12</b:Tag>
    <b:SourceType>DocumentFromInternetSite</b:SourceType>
    <b:Guid>{558CEC78-8F86-41CD-BEB7-3988C5A57757}</b:Guid>
    <b:Title>Research on Cement Industry</b:Title>
    <b:InternetSiteTitle>prr.hec.gov.pk</b:InternetSiteTitle>
    <b:YearAccessed>2012</b:YearAccessed>
    <b:MonthAccessed>10</b:MonthAccessed>
    <b:DayAccessed>16</b:DayAccessed>
    <b:URL>http://prr.hec.gov.pk/Chapters/705S-1.pdf</b:URL>
    <b:RefOrder>433</b:RefOrder>
  </b:Source>
  <b:Source>
    <b:Tag>Roh12</b:Tag>
    <b:SourceType>DocumentFromInternetSite</b:SourceType>
    <b:Guid>{8DAC09CA-085C-4C54-9D9E-720BE11DC6E2}</b:Guid>
    <b:Author>
      <b:Author>
        <b:NameList>
          <b:Person>
            <b:Last>Rohail</b:Last>
            <b:First>Mirza</b:First>
            <b:Middle>B</b:Middle>
          </b:Person>
        </b:NameList>
      </b:Author>
    </b:Author>
    <b:Title>Cement Industry</b:Title>
    <b:InternetSiteTitle>http://economicpakistan.wordpress.com/2008/02/12/cement-industry/</b:InternetSiteTitle>
    <b:YearAccessed>2012</b:YearAccessed>
    <b:MonthAccessed>10</b:MonthAccessed>
    <b:DayAccessed>16</b:DayAccessed>
    <b:RefOrder>434</b:RefOrder>
  </b:Source>
  <b:Source>
    <b:Tag>Cha12</b:Tag>
    <b:SourceType>DocumentFromInternetSite</b:SourceType>
    <b:Guid>{14A7D001-5BB2-4631-8E3A-E598D73048AA}</b:Guid>
    <b:Title>Characteristics of a Comparative aresearch</b:Title>
    <b:InternetSiteTitle>http://www.ehow.com/info 8274567 characteristics-comparative-research-design.html#ixzz28xsPfQEk</b:InternetSiteTitle>
    <b:YearAccessed>2012</b:YearAccessed>
    <b:MonthAccessed>10</b:MonthAccessed>
    <b:DayAccessed>1</b:DayAccessed>
    <b:RefOrder>435</b:RefOrder>
  </b:Source>
  <b:Source>
    <b:Tag>The12</b:Tag>
    <b:SourceType>DocumentFromInternetSite</b:SourceType>
    <b:Guid>{A76C39FE-711B-4BC9-BFD4-29D097387219}</b:Guid>
    <b:Title>The Pakistan Textile Industry: An Overview</b:Title>
    <b:InternetSiteTitle>http://ezinearticles.com/?The-Pakistan-Textile-Industry---An-Overview&amp;id=708009</b:InternetSiteTitle>
    <b:YearAccessed>2012</b:YearAccessed>
    <b:MonthAccessed>10</b:MonthAccessed>
    <b:DayAccessed>16</b:DayAccessed>
    <b:RefOrder>436</b:RefOrder>
  </b:Source>
  <b:Source>
    <b:Tag>His12</b:Tag>
    <b:SourceType>DocumentFromInternetSite</b:SourceType>
    <b:Guid>{0FD3F5F0-18E8-43C1-A668-96E7304A34EE}</b:Guid>
    <b:Title>History of Pakistan Textile Industry</b:Title>
    <b:InternetSiteTitle>http://www.textileguides.com/history-of-pakistan-textile-industry.html</b:InternetSiteTitle>
    <b:YearAccessed>2012</b:YearAccessed>
    <b:MonthAccessed>10</b:MonthAccessed>
    <b:DayAccessed>16</b:DayAccessed>
    <b:RefOrder>437</b:RefOrder>
  </b:Source>
  <b:Source>
    <b:Tag>All12</b:Tag>
    <b:SourceType>DocumentFromInternetSite</b:SourceType>
    <b:Guid>{285FFCAE-86CE-4473-A12D-926F5B7F6E66}</b:Guid>
    <b:Title>All Pakistan Textile Mills Association (APTMA) (Various Issues) Annual Report</b:Title>
    <b:YearAccessed>2012</b:YearAccessed>
    <b:MonthAccessed>10</b:MonthAccessed>
    <b:DayAccessed>16</b:DayAccessed>
    <b:RefOrder>438</b:RefOrder>
  </b:Source>
  <b:Source>
    <b:Tag>Bor10</b:Tag>
    <b:SourceType>JournalArticle</b:SourceType>
    <b:Guid>{F5D2986D-3240-42F1-96AD-BB41672A00EB}</b:Guid>
    <b:Author>
      <b:Author>
        <b:NameList>
          <b:Person>
            <b:Last>Bordeleau</b:Last>
            <b:First>Étienne</b:First>
          </b:Person>
          <b:Person>
            <b:Last>Graham</b:Last>
            <b:First>Christopher</b:First>
          </b:Person>
        </b:NameList>
      </b:Author>
    </b:Author>
    <b:Title>The Impact of Liquidity on Bank Profitability</b:Title>
    <b:JournalName>Bank of Canada Working Paper 2010-xx</b:JournalName>
    <b:Year>2010</b:Year>
    <b:RefOrder>439</b:RefOrder>
  </b:Source>
  <b:Source>
    <b:Tag>Fit05</b:Tag>
    <b:SourceType>JournalArticle</b:SourceType>
    <b:Guid>{66A26C76-E2CC-473F-9422-7FBBAAFA0238}</b:Guid>
    <b:Author>
      <b:Author>
        <b:NameList>
          <b:Person>
            <b:Last>Fitzsimmons</b:Last>
            <b:First>Jason</b:First>
            <b:Middle>R</b:Middle>
          </b:Person>
          <b:Person>
            <b:Last>Steffens</b:Last>
            <b:First>Paul</b:First>
          </b:Person>
          <b:Person>
            <b:Last>Douglas</b:Last>
            <b:First>Evan</b:First>
            <b:Middle>J</b:Middle>
          </b:Person>
        </b:NameList>
      </b:Author>
    </b:Author>
    <b:Title>Growth and Profitability in Small and Medium Sized Australian Firms</b:Title>
    <b:JournalName>AGSE Entrepreneurship Exchange, Melbourne</b:JournalName>
    <b:Year>2005</b:Year>
    <b:Month>February</b:Month>
    <b:RefOrder>440</b:RefOrder>
  </b:Source>
  <b:Source>
    <b:Tag>Ban03</b:Tag>
    <b:SourceType>JournalArticle</b:SourceType>
    <b:Guid>{2F75A20E-9B91-4945-BD6A-7F3823B6AD70}</b:Guid>
    <b:Author>
      <b:Author>
        <b:NameList>
          <b:Person>
            <b:Last>Banga</b:Last>
            <b:First>Rashmi</b:First>
          </b:Person>
          <b:Person>
            <b:Last>Sinha</b:Last>
            <b:First>Uday</b:First>
            <b:Middle>Bhanu</b:Middle>
          </b:Person>
        </b:NameList>
      </b:Author>
    </b:Author>
    <b:Title>DOES THE STRUCTURE OF DEBT AFFECT THE OUTPUT AND INVESTMENT STRATEGIES OF THE FIRM?</b:Title>
    <b:JournalName>Research Paper</b:JournalName>
    <b:Year>2003</b:Year>
    <b:Month>January</b:Month>
    <b:RefOrder>441</b:RefOrder>
  </b:Source>
  <b:Source>
    <b:Tag>Zub10</b:Tag>
    <b:SourceType>JournalArticle</b:SourceType>
    <b:Guid>{EE6E8E39-834C-4567-8B10-1596B022659E}</b:Guid>
    <b:Author>
      <b:Author>
        <b:NameList>
          <b:Person>
            <b:Last>Zubairi</b:Last>
            <b:First>H.</b:First>
            <b:Middle>Jamal</b:Middle>
          </b:Person>
          <b:Person>
            <b:Last>Baig</b:Last>
            <b:First>Mirza</b:First>
            <b:Middle>Aqeel</b:Middle>
          </b:Person>
        </b:NameList>
      </b:Author>
    </b:Author>
    <b:Title>I MPACT OF WORKING CAPITAL MANAGEMENT AND CAPITAL STRUCTURE ON PROFITABILITY:THE CASE OF KSE QUOTED AUTOMOBILE FIRMS</b:Title>
    <b:JournalName>PAKISTAN BUSINESS REVIEW</b:JournalName>
    <b:Year>2010</b:Year>
    <b:Month>October</b:Month>
    <b:RefOrder>442</b:RefOrder>
  </b:Source>
  <b:Source>
    <b:Tag>Bøh</b:Tag>
    <b:SourceType>JournalArticle</b:SourceType>
    <b:Guid>{AD3C33FE-0A59-45DE-8F0B-91D500F18F4A}</b:Guid>
    <b:Author>
      <b:Author>
        <b:NameList>
          <b:Person>
            <b:Last>Bøhren</b:Last>
            <b:First>Lage</b:First>
          </b:Person>
          <b:Person>
            <b:Last>Schindele</b:Last>
            <b:First>Ibolya</b:First>
          </b:Person>
        </b:NameList>
      </b:Author>
    </b:Author>
    <b:Title>Is there a relationship between growth and profitability: Evidence from a large sample of Norwegian private firms</b:Title>
    <b:JournalName>BI Norwegian School of Management GRA 1900 Thesis</b:JournalName>
    <b:Year>2010</b:Year>
    <b:Month>September</b:Month>
    <b:RefOrder>443</b:RefOrder>
  </b:Source>
  <b:Source>
    <b:Tag>Placeholder17</b:Tag>
    <b:SourceType>JournalArticle</b:SourceType>
    <b:Guid>{D3F17330-1AC4-4518-9849-6434E7D0A05A}</b:Guid>
    <b:Author>
      <b:Author>
        <b:NameList>
          <b:Person>
            <b:Last>Bagchi</b:Last>
            <b:First>B</b:First>
          </b:Person>
          <b:Person>
            <b:Last>Khamrui</b:Last>
            <b:First>B</b:First>
          </b:Person>
        </b:NameList>
      </b:Author>
    </b:Author>
    <b:Title>Relationship between Working Capital Management and Profitability: A Study of Selected FMCG Companies in India</b:Title>
    <b:JournalName>Business and Economics Journal</b:JournalName>
    <b:Year>2012</b:Year>
    <b:Month>May</b:Month>
    <b:RefOrder>444</b:RefOrder>
  </b:Source>
  <b:Source>
    <b:Tag>Dav09</b:Tag>
    <b:SourceType>JournalArticle</b:SourceType>
    <b:Guid>{E0B64F51-E08A-4F05-94E9-8AD7BA0F7792}</b:Guid>
    <b:Author>
      <b:Author>
        <b:NameList>
          <b:Person>
            <b:Last>Davidsson</b:Last>
          </b:Person>
          <b:Person>
            <b:Last>Per</b:Last>
          </b:Person>
          <b:Person>
            <b:Last>Steffens</b:Last>
            <b:First>Paul</b:First>
          </b:Person>
          <b:Person>
            <b:Last>Fitzsimmons</b:Last>
            <b:First>Jason</b:First>
          </b:Person>
        </b:NameList>
      </b:Author>
    </b:Author>
    <b:Title>Growing profitable or growing from profits: Putting the horse in front of the cart?</b:Title>
    <b:JournalName>Journal of Business Venturing</b:JournalName>
    <b:Year>2009</b:Year>
    <b:Pages>388-406</b:Pages>
    <b:Volume>24 </b:Volume>
    <b:Issue>4</b:Issue>
    <b:RefOrder>445</b:RefOrder>
  </b:Source>
  <b:Source>
    <b:Tag>Are06</b:Tag>
    <b:SourceType>JournalArticle</b:SourceType>
    <b:Guid>{6CBCD2F1-624B-4D02-B2A3-F22DA852D967}</b:Guid>
    <b:Author>
      <b:Author>
        <b:NameList>
          <b:Person>
            <b:Last>Arend</b:Last>
            <b:First>R</b:First>
          </b:Person>
        </b:NameList>
      </b:Author>
    </b:Author>
    <b:Title>Tests of the resource-based view: do the empirics have any clothes?</b:Title>
    <b:JournalName>Strategic Organization</b:JournalName>
    <b:Year>2006</b:Year>
    <b:Pages>409–422</b:Pages>
    <b:Volume>4</b:Volume>
    <b:Issue>4</b:Issue>
    <b:RefOrder>446</b:RefOrder>
  </b:Source>
  <b:Source>
    <b:Tag>Zaj00</b:Tag>
    <b:SourceType>JournalArticle</b:SourceType>
    <b:Guid>{197AC2E8-B9C1-4DD4-BC93-1B2CF3142A17}</b:Guid>
    <b:Author>
      <b:Author>
        <b:NameList>
          <b:Person>
            <b:Last>Zajac</b:Last>
            <b:First>E</b:First>
          </b:Person>
          <b:Person>
            <b:Last>Kraatz</b:Last>
            <b:First>M</b:First>
          </b:Person>
          <b:Person>
            <b:Last>Bressers</b:Last>
            <b:First>R</b:First>
          </b:Person>
        </b:NameList>
      </b:Author>
    </b:Author>
    <b:Title>Modeling the dynamics of strategic fit: a normative approach to strategic change</b:Title>
    <b:JournalName>Strategic Management Journal</b:JournalName>
    <b:Year>2000</b:Year>
    <b:Pages>429-453</b:Pages>
    <b:Volume>21</b:Volume>
    <b:Issue>4</b:Issue>
    <b:RefOrder>447</b:RefOrder>
  </b:Source>
  <b:Source>
    <b:Tag>Sin11</b:Tag>
    <b:SourceType>JournalArticle</b:SourceType>
    <b:Guid>{03A748D5-D95A-4C12-8DAF-6854504A1154}</b:Guid>
    <b:Author>
      <b:Author>
        <b:NameList>
          <b:Person>
            <b:Last>Singapurwoko</b:Last>
            <b:First>Arif</b:First>
          </b:Person>
          <b:Person>
            <b:Last>El-Wahid</b:Last>
            <b:First>Muhammad</b:First>
            <b:Middle>Shalahuddin Mustofa</b:Middle>
          </b:Person>
        </b:NameList>
      </b:Author>
    </b:Author>
    <b:Title>The Impact of Financial Leverage to Profitability Study of Non-Financial Companies Listed in Indonesia Stock Exchange</b:Title>
    <b:JournalName>European Journal of Economics, Finance and Administrative Sciences</b:JournalName>
    <b:Year>2011</b:Year>
    <b:Issue>32</b:Issue>
    <b:RefOrder>448</b:RefOrder>
  </b:Source>
  <b:Source>
    <b:Tag>Placeholder18</b:Tag>
    <b:SourceType>JournalArticle</b:SourceType>
    <b:Guid>{514668CF-8F8E-4926-AEFD-00531AF27C1F}</b:Guid>
    <b:Author>
      <b:Author>
        <b:NameList>
          <b:Person>
            <b:Last>Nandi</b:Last>
            <b:First>Kartik</b:First>
            <b:Middle>Chandra</b:Middle>
          </b:Person>
        </b:NameList>
      </b:Author>
    </b:Author>
    <b:Title>TRENDS IN LIQUIDITY MANAGEMENT AND THEIR IMPACT ON PROFITABILITY:  A CASE STUDY</b:Title>
    <b:JournalName>Great Lakes Herald</b:JournalName>
    <b:Year>2012</b:Year>
    <b:Volume>6</b:Volume>
    <b:Issue>1</b:Issue>
    <b:RefOrder>449</b:RefOrder>
  </b:Source>
  <b:Source>
    <b:Tag>Cab08</b:Tag>
    <b:SourceType>JournalArticle</b:SourceType>
    <b:Guid>{4166667D-9CA4-43C2-BCCD-4E33D74BA5BD}</b:Guid>
    <b:Author>
      <b:Author>
        <b:NameList>
          <b:Person>
            <b:Last>Cable</b:Last>
            <b:First>John</b:First>
            <b:Middle>R</b:Middle>
          </b:Person>
          <b:Person>
            <b:Last>Dennis</b:Last>
            <b:First>C.</b:First>
            <b:Middle>Mueller</b:Middle>
          </b:Person>
        </b:NameList>
      </b:Author>
    </b:Author>
    <b:Title>Testing for Persistence of Profits' Differences Across Firms</b:Title>
    <b:JournalName>International Journal of the Economics of Business</b:JournalName>
    <b:Year>2008</b:Year>
    <b:Pages>201-228</b:Pages>
    <b:Volume>15</b:Volume>
    <b:Issue>2</b:Issue>
    <b:RefOrder>450</b:RefOrder>
  </b:Source>
  <b:Source>
    <b:Tag>Row99</b:Tag>
    <b:SourceType>JournalArticle</b:SourceType>
    <b:Guid>{6E4443CD-455C-4E51-861D-8D5530EC4E68}</b:Guid>
    <b:Author>
      <b:Author>
        <b:NameList>
          <b:Person>
            <b:Last>Rowe</b:Last>
            <b:First>W.</b:First>
            <b:Middle>Glenn</b:Middle>
          </b:Person>
          <b:Person>
            <b:Last>Morrow</b:Last>
            <b:First>J.</b:First>
            <b:Middle>L. Jr</b:Middle>
          </b:Person>
        </b:NameList>
      </b:Author>
    </b:Author>
    <b:Title>A Note on the Dimensionality of the Firm Financial Performance Construct Using Accounting, Market, and Subjective Measures</b:Title>
    <b:JournalName>Canadian Journal of Administrative Sciences</b:JournalName>
    <b:Year>1999</b:Year>
    <b:Pages>58-70</b:Pages>
    <b:Volume>16</b:Volume>
    <b:Issue>1</b:Issue>
    <b:RefOrder>451</b:RefOrder>
  </b:Source>
  <b:Source>
    <b:Tag>Placeholder19</b:Tag>
    <b:SourceType>JournalArticle</b:SourceType>
    <b:Guid>{7ECA0B55-FB67-43C2-9D89-1F9F80ACFC52}</b:Guid>
    <b:Author>
      <b:Author>
        <b:NameList>
          <b:Person>
            <b:Last>Jensen</b:Last>
            <b:First>M.</b:First>
            <b:Middle>C</b:Middle>
          </b:Person>
        </b:NameList>
      </b:Author>
    </b:Author>
    <b:Title>Agency Costs of Free Cash Flow, Corporate Finance, and Takeovers</b:Title>
    <b:JournalName>American Economic Review</b:JournalName>
    <b:Year>1986</b:Year>
    <b:Pages>323-329</b:Pages>
    <b:Volume>76</b:Volume>
    <b:RefOrder>452</b:RefOrder>
  </b:Source>
  <b:Source>
    <b:Tag>Placeholder20</b:Tag>
    <b:SourceType>JournalArticle</b:SourceType>
    <b:Guid>{9A03DDEB-ABAB-4F1F-BDF5-D7975997AD0A}</b:Guid>
    <b:Author>
      <b:Author>
        <b:NameList>
          <b:Person>
            <b:Last>Foley</b:Last>
            <b:First>C.</b:First>
            <b:Middle>Fritz</b:Middle>
          </b:Person>
          <b:Person>
            <b:Last>Hartzell</b:Last>
            <b:First>Jay</b:First>
            <b:Middle>C</b:Middle>
          </b:Person>
          <b:Person>
            <b:Last>Titman</b:Last>
            <b:First>Sheridan</b:First>
          </b:Person>
          <b:Person>
            <b:Last>Twite</b:Last>
            <b:First>Garry</b:First>
          </b:Person>
        </b:NameList>
      </b:Author>
    </b:Author>
    <b:Title>Why do firms hold so much cash? A tax-based explanation</b:Title>
    <b:JournalName>NBER Working Paper No. 12649</b:JournalName>
    <b:Year>2006</b:Year>
    <b:Month>October</b:Month>
    <b:RefOrder>453</b:RefOrder>
  </b:Source>
  <b:Source>
    <b:Tag>Placeholder21</b:Tag>
    <b:SourceType>JournalArticle</b:SourceType>
    <b:Guid>{58F8E5E8-2D4F-4C76-B0E2-E1415A24AB28}</b:Guid>
    <b:Author>
      <b:Author>
        <b:NameList>
          <b:Person>
            <b:Last>Opler</b:Last>
            <b:First>T</b:First>
          </b:Person>
          <b:Person>
            <b:Last>Pinkowitz</b:Last>
            <b:First>L</b:First>
          </b:Person>
          <b:Person>
            <b:Last>Stulz</b:Last>
            <b:First>R</b:First>
          </b:Person>
          <b:Person>
            <b:Last>Williamson</b:Last>
            <b:First>R</b:First>
          </b:Person>
        </b:NameList>
      </b:Author>
    </b:Author>
    <b:Title>The Determinants and Implications of Corporate Cash Holdings</b:Title>
    <b:JournalName>Journal of Financial Economics</b:JournalName>
    <b:Year>1999</b:Year>
    <b:Pages>3-46</b:Pages>
    <b:RefOrder>454</b:RefOrder>
  </b:Source>
  <b:Source>
    <b:Tag>Placeholder22</b:Tag>
    <b:SourceType>JournalArticle</b:SourceType>
    <b:Guid>{4E3F8A7C-87F2-49DC-86A9-DCEF8F82B4FD}</b:Guid>
    <b:Author>
      <b:Author>
        <b:NameList>
          <b:Person>
            <b:Last>Miller</b:Last>
            <b:First>Merton</b:First>
            <b:Middle>H</b:Middle>
          </b:Person>
          <b:Person>
            <b:Last>Orr</b:Last>
            <b:First>Deniel</b:First>
          </b:Person>
        </b:NameList>
      </b:Author>
    </b:Author>
    <b:Title>A Model of the Demand for Money by Firms</b:Title>
    <b:JournalName>Quarterly Journal of Economics</b:JournalName>
    <b:Year>1966</b:Year>
    <b:Pages>413-35</b:Pages>
    <b:Month>August</b:Month>
    <b:Volume>80</b:Volume>
    <b:RefOrder>455</b:RefOrder>
  </b:Source>
  <b:Source>
    <b:Tag>20096</b:Tag>
    <b:SourceType>JournalArticle</b:SourceType>
    <b:Guid>{FE1712B4-0D85-448C-815A-862B245DDFAB}</b:Guid>
    <b:Title>2005 The bank of Jamaica Publish</b:Title>
    <b:Year>1996</b:Year>
    <b:Month>February</b:Month>
    <b:RefOrder>456</b:RefOrder>
  </b:Source>
  <b:Source>
    <b:Tag>Elj04</b:Tag>
    <b:SourceType>JournalArticle</b:SourceType>
    <b:Guid>{C9601D9F-BFDB-410D-9550-032FE3CCFD12}</b:Guid>
    <b:Author>
      <b:Author>
        <b:NameList>
          <b:Person>
            <b:Last>Eljelly</b:Last>
            <b:First>Abuzar</b:First>
            <b:Middle>M.A</b:Middle>
          </b:Person>
        </b:NameList>
      </b:Author>
    </b:Author>
    <b:Title>Liquidity-profitability tradeoff: An empirical investigation in an emerging market</b:Title>
    <b:JournalName>International Journal of Commerce and Management</b:JournalName>
    <b:Year>2004</b:Year>
    <b:Pages>48-61</b:Pages>
    <b:Volume>14</b:Volume>
    <b:Issue>2</b:Issue>
    <b:RefOrder>457</b:RefOrder>
  </b:Source>
  <b:Source>
    <b:Tag>Del03</b:Tag>
    <b:SourceType>JournalArticle</b:SourceType>
    <b:Guid>{3BFF2B69-65AA-4737-AE6E-12E3E9989214}</b:Guid>
    <b:Author>
      <b:Author>
        <b:NameList>
          <b:Person>
            <b:Last>Deloof</b:Last>
            <b:First>M</b:First>
          </b:Person>
        </b:NameList>
      </b:Author>
    </b:Author>
    <b:Title>Does Working Capital Management Affect Profitability of Belgian Firms?</b:Title>
    <b:JournalName>Journal of Business, Finance, and Accounting</b:JournalName>
    <b:Year>2003</b:Year>
    <b:Pages>573-587</b:Pages>
    <b:Volume>30</b:Volume>
    <b:Issue>3</b:Issue>
    <b:RefOrder>458</b:RefOrder>
  </b:Source>
  <b:Source>
    <b:Tag>Don10</b:Tag>
    <b:SourceType>JournalArticle</b:SourceType>
    <b:Guid>{14AA3AFB-6D3C-4FA9-BDC0-85ADA25F74D5}</b:Guid>
    <b:Author>
      <b:Author>
        <b:NameList>
          <b:Person>
            <b:Last>Dong</b:Last>
            <b:First>H.P</b:First>
          </b:Person>
          <b:Person>
            <b:Last>Su</b:Last>
            <b:First>J</b:First>
          </b:Person>
        </b:NameList>
      </b:Author>
    </b:Author>
    <b:Title>The Relationship between Working Capital Management and Profitability: A Veitnam Case</b:Title>
    <b:JournalName>International Research Journal of Finance and Economics</b:JournalName>
    <b:Year>2010</b:Year>
    <b:Pages>59-67</b:Pages>
    <b:Volume>49</b:Volume>
    <b:RefOrder>459</b:RefOrder>
  </b:Source>
  <b:Source>
    <b:Tag>Hor00</b:Tag>
    <b:SourceType>Book</b:SourceType>
    <b:Guid>{D1D1CFD4-0EC8-4A9E-8DE8-21889DDC32FD}</b:Guid>
    <b:Author>
      <b:Author>
        <b:NameList>
          <b:Person>
            <b:Last>Horne</b:Last>
            <b:First>James</b:First>
            <b:Middle>C. Van</b:Middle>
          </b:Person>
          <b:Person>
            <b:Last>Wachowicz</b:Last>
            <b:First>John</b:First>
            <b:Middle>M</b:Middle>
          </b:Person>
        </b:NameList>
      </b:Author>
    </b:Author>
    <b:Title>Fundamentals of Financial Management</b:Title>
    <b:Year>2000</b:Year>
    <b:Publisher>Prentice Hall</b:Publisher>
    <b:Edition>11</b:Edition>
    <b:RefOrder>460</b:RefOrder>
  </b:Source>
  <b:Source>
    <b:Tag>Placeholder23</b:Tag>
    <b:SourceType>JournalArticle</b:SourceType>
    <b:Guid>{7EDBEFE8-744E-46AE-8CDE-1E6224BF8B5B}</b:Guid>
    <b:Author>
      <b:Author>
        <b:NameList>
          <b:Person>
            <b:Last>Hayajneh</b:Last>
            <b:First>Osama</b:First>
            <b:Middle>Suhail</b:Middle>
          </b:Person>
          <b:Person>
            <b:Last>Yassine</b:Last>
            <b:First>Fatima</b:First>
            <b:Middle>Lahcen Ait</b:Middle>
          </b:Person>
        </b:NameList>
      </b:Author>
    </b:Author>
    <b:Title>The Impact of Working Capital Efficiency on Profitability – an Empirical Analysis on Jordanian Manufacturing Firms</b:Title>
    <b:Year>2011</b:Year>
    <b:JournalName>International Research Journal of Finance and Economics</b:JournalName>
    <b:Issue>66</b:Issue>
    <b:RefOrder>461</b:RefOrder>
  </b:Source>
  <b:Source>
    <b:Tag>Qaz11</b:Tag>
    <b:SourceType>JournalArticle</b:SourceType>
    <b:Guid>{33279BCF-C0E7-4C12-85C8-052BF4AC434D}</b:Guid>
    <b:Author>
      <b:Author>
        <b:NameList>
          <b:Person>
            <b:Last>Qazi</b:Last>
            <b:First>Hassan</b:First>
            <b:Middle>Aftab</b:Middle>
          </b:Person>
          <b:Person>
            <b:Last>Shah</b:Last>
            <b:First>Syed</b:First>
            <b:Middle>Muhammad Amir</b:Middle>
          </b:Person>
          <b:Person>
            <b:Last>Abbas</b:Last>
            <b:First>Zaheer</b:First>
          </b:Person>
          <b:Person>
            <b:Last>Nadeem</b:Last>
            <b:First>Tanzeela</b:First>
          </b:Person>
        </b:NameList>
      </b:Author>
    </b:Author>
    <b:Title>Impact of working capital on firms’ profitability</b:Title>
    <b:JournalName>African Journal of Business Management</b:JournalName>
    <b:Year>2011</b:Year>
    <b:Pages>11005-11010</b:Pages>
    <b:Month>November</b:Month>
    <b:Day>9</b:Day>
    <b:Volume>5</b:Volume>
    <b:Issue>27</b:Issue>
    <b:RefOrder>462</b:RefOrder>
  </b:Source>
  <b:Source>
    <b:Tag>Rah07</b:Tag>
    <b:SourceType>JournalArticle</b:SourceType>
    <b:Guid>{7FBA4A2B-F276-4F81-800E-DAF4F5E7BFB4}</b:Guid>
    <b:Author>
      <b:Author>
        <b:NameList>
          <b:Person>
            <b:Last>Raheman</b:Last>
            <b:First>Abdel</b:First>
          </b:Person>
          <b:Person>
            <b:Last>Nasr</b:Last>
            <b:First>N</b:First>
          </b:Person>
        </b:NameList>
      </b:Author>
    </b:Author>
    <b:Title>Working Capital management and Profitability Case of Pakistani Firms</b:Title>
    <b:JournalName>International Review of Business Research Papers</b:JournalName>
    <b:Year>2007</b:Year>
    <b:Pages>279-300</b:Pages>
    <b:Volume>3</b:Volume>
    <b:Issue>1</b:Issue>
    <b:RefOrder>463</b:RefOrder>
  </b:Source>
  <b:Source>
    <b:Tag>Wes78</b:Tag>
    <b:SourceType>Book</b:SourceType>
    <b:Guid>{395B1FBD-58C6-444C-B479-B1382B3D8F9E}</b:Guid>
    <b:Author>
      <b:Author>
        <b:NameList>
          <b:Person>
            <b:Last>Weston</b:Last>
            <b:First>F.J</b:First>
          </b:Person>
          <b:Person>
            <b:Last>Brigham</b:Last>
            <b:First>E.F</b:First>
          </b:Person>
        </b:NameList>
      </b:Author>
    </b:Author>
    <b:Title>Managerial Finance, Holt, Rinehart and Winston</b:Title>
    <b:Year>1978</b:Year>
    <b:RefOrder>464</b:RefOrder>
  </b:Source>
  <b:Source>
    <b:Tag>Nimnd</b:Tag>
    <b:SourceType>JournalArticle</b:SourceType>
    <b:Guid>{E55FDA22-43AC-451A-B56B-2B2F428389FB}</b:Guid>
    <b:Author>
      <b:Author>
        <b:NameList>
          <b:Person>
            <b:Last>Nimalathasan</b:Last>
            <b:First>Balasundaram</b:First>
          </b:Person>
          <b:Person>
            <b:Last>Brabete</b:Last>
            <b:First>Valeriu</b:First>
          </b:Person>
        </b:NameList>
      </b:Author>
    </b:Author>
    <b:Title>CAPITAL STRUCTURE AND ITS IMPACT ON PROFITABILITY:A STUDY OF LISTED MANUFACTURING COMPANIES IN SRI LANKA</b:Title>
    <b:JournalName>The Young Economists Journal</b:JournalName>
    <b:Year>n.d</b:Year>
    <b:RefOrder>465</b:RefOrder>
  </b:Source>
  <b:Source>
    <b:Tag>Cho93</b:Tag>
    <b:SourceType>JournalArticle</b:SourceType>
    <b:Guid>{C6433C45-766F-441C-889F-01CBDF2B0A6A}</b:Guid>
    <b:Author>
      <b:Author>
        <b:NameList>
          <b:Person>
            <b:Last>Choudhury</b:Last>
            <b:First>J.A</b:First>
          </b:Person>
        </b:NameList>
      </b:Author>
    </b:Author>
    <b:Title>Evaluation of Capital Structure of Three Companies Listed with Dhaka Stock Exchange.</b:Title>
    <b:Year>1993</b:Year>
    <b:JournalName>The Cost and Management</b:JournalName>
    <b:Volume>XXI</b:Volume>
    <b:Issue>4</b:Issue>
    <b:RefOrder>466</b:RefOrder>
  </b:Source>
  <b:Source>
    <b:Tag>Cha10</b:Tag>
    <b:SourceType>JournalArticle</b:SourceType>
    <b:Guid>{9AE28908-309C-4D87-BAD7-FF784B6EF71A}</b:Guid>
    <b:Author>
      <b:Author>
        <b:NameList>
          <b:Person>
            <b:Last>Chandrakumarmangalam</b:Last>
            <b:First>S</b:First>
          </b:Person>
          <b:Person>
            <b:Last>Govindasamy</b:Last>
            <b:First>P</b:First>
          </b:Person>
        </b:NameList>
      </b:Author>
    </b:Author>
    <b:Title>“Leverage” – An Analysis and its Impact on Profitability with Reference to Selected Cement Companies in India</b:Title>
    <b:JournalName>European Journal of Economics, Finance and Administrative Sciences</b:JournalName>
    <b:Year>2010</b:Year>
    <b:Issue>27</b:Issue>
    <b:RefOrder>467</b:RefOrder>
  </b:Source>
  <b:Source>
    <b:Tag>Har07</b:Tag>
    <b:SourceType>JournalArticle</b:SourceType>
    <b:Guid>{C3417559-D643-4426-96CD-19E8DA7AEF86}</b:Guid>
    <b:Author>
      <b:Author>
        <b:NameList>
          <b:Person>
            <b:Last>Harjanti</b:Last>
          </b:Person>
          <b:Person>
            <b:Last>Theresia</b:Last>
            <b:First>Tri</b:First>
          </b:Person>
          <b:Person>
            <b:Last>Tandelilin</b:Last>
            <b:First>Eduardus</b:First>
          </b:Person>
        </b:NameList>
      </b:Author>
    </b:Author>
    <b:Title>The Effect of Firm Size, Tangible Assets, Growth Opportunity, Profitability, and BusinessRisk on Capital Structure of Manufacturing Companies in Indonesia: Study Case in Jakarta Stock Exchange</b:Title>
    <b:JournalName>JurnalEkonomi &amp; Bisnis</b:JournalName>
    <b:Year>2007</b:Year>
    <b:Pages>1-10</b:Pages>
    <b:Volume>1</b:Volume>
    <b:Issue>1</b:Issue>
    <b:RefOrder>468</b:RefOrder>
  </b:Source>
  <b:Source>
    <b:Tag>Sha12</b:Tag>
    <b:SourceType>JournalArticle</b:SourceType>
    <b:Guid>{8101ABB0-151B-47D1-B4E8-ACC5A5B25366}</b:Guid>
    <b:Author>
      <b:Author>
        <b:NameList>
          <b:Person>
            <b:Last>Shaheen</b:Last>
            <b:First>Sadia</b:First>
          </b:Person>
          <b:Person>
            <b:Last>Malik</b:Last>
            <b:First>Qaisar</b:First>
            <b:Middle>Ali</b:Middle>
          </b:Person>
        </b:NameList>
      </b:Author>
    </b:Author>
    <b:Title>The Impact of Capital Intensity, Sizeof Firm And Profitability on Debt Financing In Textile Industry of Pakistan</b:Title>
    <b:JournalName>INTERDISCIPLINARY JOURNAL OF CONTEMPORARY RESEARCH IN BUSINESS</b:JournalName>
    <b:Year>2012</b:Year>
    <b:Month>February</b:Month>
    <b:Volume>3</b:Volume>
    <b:Issue>10</b:Issue>
    <b:RefOrder>469</b:RefOrder>
  </b:Source>
  <b:Source>
    <b:Tag>Fednd</b:Tag>
    <b:SourceType>JournalArticle</b:SourceType>
    <b:Guid>{5DBB7249-871E-4CBC-80F9-37AF9582E536}</b:Guid>
    <b:Author>
      <b:Author>
        <b:NameList>
          <b:Person>
            <b:Last>Federico</b:Last>
            <b:First>Juan</b:First>
            <b:Middle>S</b:Middle>
          </b:Person>
        </b:NameList>
      </b:Author>
    </b:Author>
    <b:Title>EXPLORING THE GROWTH-PROFITABILITY NEXUS IN THE CASE OF YOUNG FIRMS</b:Title>
    <b:JournalName>EUROPEAN DOCTORAL PROGRAMME IN ENTREPRENEURSHIP AND SMALL BUSINESS MANAGEMENT</b:JournalName>
    <b:Year>n.d</b:Year>
    <b:RefOrder>470</b:RefOrder>
  </b:Source>
  <b:Source>
    <b:Tag>Wik99</b:Tag>
    <b:SourceType>JournalArticle</b:SourceType>
    <b:Guid>{4499083B-EFD7-46FC-A675-F06D9266C8C3}</b:Guid>
    <b:Author>
      <b:Author>
        <b:NameList>
          <b:Person>
            <b:Last>Wiklund</b:Last>
            <b:First>J</b:First>
          </b:Person>
        </b:NameList>
      </b:Author>
    </b:Author>
    <b:Title>The Sustainability of the Entrepreneurial Orientation-Performance Relationship</b:Title>
    <b:JournalName>Entrepreneurship Theory and Practice</b:JournalName>
    <b:Year>1999</b:Year>
    <b:Pages>37-48</b:Pages>
    <b:RefOrder>471</b:RefOrder>
  </b:Source>
  <b:Source>
    <b:Tag>Mac87</b:Tag>
    <b:SourceType>JournalArticle</b:SourceType>
    <b:Guid>{EF067AE5-07F6-49C2-B705-A2CA5C46D116}</b:Guid>
    <b:Author>
      <b:Author>
        <b:NameList>
          <b:Person>
            <b:Last>MacMillan</b:Last>
            <b:First>I.</b:First>
            <b:Middle>C</b:Middle>
          </b:Person>
          <b:Person>
            <b:Last>Day</b:Last>
            <b:First>D.L</b:First>
          </b:Person>
        </b:NameList>
      </b:Author>
    </b:Author>
    <b:Title>Corporate ventures into industrial markets: Dynamics of aggressive entry</b:Title>
    <b:JournalName>Journal of Business Venturing</b:JournalName>
    <b:Year>1987</b:Year>
    <b:Pages>29-39</b:Pages>
    <b:Volume>2</b:Volume>
    <b:Issue>1</b:Issue>
    <b:RefOrder>472</b:RefOrder>
  </b:Source>
  <b:Source>
    <b:Tag>Bau03</b:Tag>
    <b:SourceType>JournalArticle</b:SourceType>
    <b:Guid>{22CF7CFA-9CB6-4A83-B3B8-355B8BB7DF05}</b:Guid>
    <b:Author>
      <b:Author>
        <b:NameList>
          <b:Person>
            <b:Last>Baum</b:Last>
            <b:First>R</b:First>
          </b:Person>
          <b:Person>
            <b:Last>Wally</b:Last>
            <b:First>S</b:First>
          </b:Person>
        </b:NameList>
      </b:Author>
    </b:Author>
    <b:Title>Strategic Decision Speed and Firm Performance</b:Title>
    <b:JournalName>Strategic Management Journal</b:JournalName>
    <b:Year>2003</b:Year>
    <b:Pages>1107-1129</b:Pages>
    <b:Volume>24</b:Volume>
    <b:Issue>11</b:Issue>
    <b:RefOrder>473</b:RefOrder>
  </b:Source>
  <b:Source>
    <b:Tag>Bru00</b:Tag>
    <b:SourceType>JournalArticle</b:SourceType>
    <b:Guid>{D1D95CE8-CC87-4E7F-B477-324CA9364465}</b:Guid>
    <b:Author>
      <b:Author>
        <b:NameList>
          <b:Person>
            <b:Last>Brush</b:Last>
            <b:First>T</b:First>
          </b:Person>
          <b:Person>
            <b:Last>Bromiley</b:Last>
            <b:First>P</b:First>
          </b:Person>
          <b:Person>
            <b:Last>Hendrickx</b:Last>
            <b:First>M</b:First>
          </b:Person>
        </b:NameList>
      </b:Author>
    </b:Author>
    <b:Title>The free cash flow hypothesis for sales growth and firm performance</b:Title>
    <b:JournalName>Strategic Management Journal</b:JournalName>
    <b:Year>2000</b:Year>
    <b:Pages>455-472</b:Pages>
    <b:Volume>21</b:Volume>
    <b:Issue>4</b:Issue>
    <b:RefOrder>474</b:RefOrder>
  </b:Source>
  <b:Source>
    <b:Tag>Cha92</b:Tag>
    <b:SourceType>JournalArticle</b:SourceType>
    <b:Guid>{A8C4D70B-AC9F-4DED-9398-8F48D04271F8}</b:Guid>
    <b:Author>
      <b:Author>
        <b:NameList>
          <b:Person>
            <b:Last>Chandler</b:Last>
            <b:First>G</b:First>
          </b:Person>
          <b:Person>
            <b:Last>Jensen</b:Last>
            <b:First>E</b:First>
          </b:Person>
        </b:NameList>
      </b:Author>
    </b:Author>
    <b:Title>The founder's self-assessed competence and venture performance</b:Title>
    <b:JournalName>Journal of Business Venturing</b:JournalName>
    <b:Year>1992</b:Year>
    <b:Pages>223-236</b:Pages>
    <b:Volume>7</b:Volume>
    <b:Issue>3</b:Issue>
    <b:RefOrder>475</b:RefOrder>
  </b:Source>
  <b:Source>
    <b:Tag>Des97</b:Tag>
    <b:SourceType>JournalArticle</b:SourceType>
    <b:Guid>{1402B60A-F167-40C1-8AC6-C71FEF70AF9E}</b:Guid>
    <b:Author>
      <b:Author>
        <b:NameList>
          <b:Person>
            <b:Last>Dess</b:Last>
            <b:First>G</b:First>
          </b:Person>
          <b:Person>
            <b:Last>Lumpkin</b:Last>
            <b:First>G</b:First>
          </b:Person>
          <b:Person>
            <b:Last>Covin</b:Last>
            <b:First>J</b:First>
          </b:Person>
        </b:NameList>
      </b:Author>
    </b:Author>
    <b:Title>Entrepreneurial Strategy Making and Firm Performance: Tests of Contingency and Configurational Models</b:Title>
    <b:JournalName>Strategic Management Journal</b:JournalName>
    <b:Year>1997</b:Year>
    <b:Pages>677-695</b:Pages>
    <b:Volume>18</b:Volume>
    <b:Issue>9</b:Issue>
    <b:RefOrder>476</b:RefOrder>
  </b:Source>
  <b:Source>
    <b:Tag>Cho05</b:Tag>
    <b:SourceType>JournalArticle</b:SourceType>
    <b:Guid>{5460FD44-71DD-42DC-A771-4D40A014227B}</b:Guid>
    <b:Author>
      <b:Author>
        <b:NameList>
          <b:Person>
            <b:Last>Cho</b:Last>
            <b:First>H</b:First>
          </b:Person>
          <b:Person>
            <b:Last>Pucik</b:Last>
            <b:First>V</b:First>
          </b:Person>
        </b:NameList>
      </b:Author>
    </b:Author>
    <b:Title>Relationship between Innovativeness, Quality, Growth, Profitability, and Market Value</b:Title>
    <b:JournalName>Strategic Management Journal</b:JournalName>
    <b:Year>2005</b:Year>
    <b:Pages>555-575</b:Pages>
    <b:Volume>26</b:Volume>
    <b:Issue>6</b:Issue>
    <b:RefOrder>477</b:RefOrder>
  </b:Source>
  <b:Source>
    <b:Tag>Men00</b:Tag>
    <b:SourceType>JournalArticle</b:SourceType>
    <b:Guid>{9DC80F87-35D5-4497-B069-24BC89688555}</b:Guid>
    <b:Author>
      <b:Author>
        <b:NameList>
          <b:Person>
            <b:Last>Mendelson</b:Last>
            <b:First>H</b:First>
          </b:Person>
        </b:NameList>
      </b:Author>
    </b:Author>
    <b:Title>Organizational architecture and success in the information technology industry</b:Title>
    <b:JournalName>Management Science</b:JournalName>
    <b:Year>2000</b:Year>
    <b:Pages>513-529</b:Pages>
    <b:Volume>46</b:Volume>
    <b:Issue>4</b:Issue>
    <b:RefOrder>478</b:RefOrder>
  </b:Source>
  <b:Source>
    <b:Tag>Cow04</b:Tag>
    <b:SourceType>JournalArticle</b:SourceType>
    <b:Guid>{7A53E23B-D24C-4620-853F-435AEF0D755A}</b:Guid>
    <b:Author>
      <b:Author>
        <b:NameList>
          <b:Person>
            <b:Last>Cowling</b:Last>
            <b:First>M</b:First>
          </b:Person>
        </b:NameList>
      </b:Author>
    </b:Author>
    <b:Title>The growth-profit nexus</b:Title>
    <b:JournalName>Small Business Economics</b:JournalName>
    <b:Year>2004</b:Year>
    <b:Pages>1-9</b:Pages>
    <b:Volume>22</b:Volume>
    <b:Issue>1</b:Issue>
    <b:RefOrder>479</b:RefOrder>
  </b:Source>
  <b:Source>
    <b:Tag>Rop99</b:Tag>
    <b:SourceType>JournalArticle</b:SourceType>
    <b:Guid>{D5DEBB2C-72B3-477F-B5F0-5BFC2E7A9E54}</b:Guid>
    <b:Author>
      <b:Author>
        <b:NameList>
          <b:Person>
            <b:Last>Roper</b:Last>
            <b:First>S</b:First>
          </b:Person>
        </b:NameList>
      </b:Author>
    </b:Author>
    <b:Title>Modeling small business growth and profitability</b:Title>
    <b:JournalName>Small Business Economics</b:JournalName>
    <b:Year>1999</b:Year>
    <b:Pages>235-252</b:Pages>
    <b:Volume>13</b:Volume>
    <b:Issue>3</b:Issue>
    <b:RefOrder>480</b:RefOrder>
  </b:Source>
  <b:Source>
    <b:Tag>Rei95</b:Tag>
    <b:SourceType>JournalArticle</b:SourceType>
    <b:Guid>{437913F5-6FEE-48CA-BD08-FDABC5D01E38}</b:Guid>
    <b:Author>
      <b:Author>
        <b:NameList>
          <b:Person>
            <b:Last>Reid</b:Last>
            <b:First>G</b:First>
          </b:Person>
        </b:NameList>
      </b:Author>
    </b:Author>
    <b:Title>Early Life-Cycle Behavior of Micro-Firms in Scotland</b:Title>
    <b:JournalName>Small Business Economics</b:JournalName>
    <b:Year>1995</b:Year>
    <b:Pages>89-95</b:Pages>
    <b:Volume>7</b:Volume>
    <b:Issue>2</b:Issue>
    <b:RefOrder>481</b:RefOrder>
  </b:Source>
  <b:Source>
    <b:Tag>Hoy92</b:Tag>
    <b:SourceType>JournalArticle</b:SourceType>
    <b:Guid>{521D8923-6408-43EB-ABC2-BE8FD500211F}</b:Guid>
    <b:Author>
      <b:Author>
        <b:NameList>
          <b:Person>
            <b:Last>Hoy</b:Last>
            <b:First>F</b:First>
          </b:Person>
          <b:Person>
            <b:Last>McDougall</b:Last>
            <b:First>P.P</b:First>
          </b:Person>
          <b:Person>
            <b:Last>D'Souza</b:Last>
            <b:First>D.E</b:First>
          </b:Person>
        </b:NameList>
      </b:Author>
    </b:Author>
    <b:Title>Strategies and environments of  high-growth firma</b:Title>
    <b:JournalName>In D.L. Sexton and J.D.Kasarda (eds).The state of the art of entrepreneurship. Boston: PWS-Kent</b:JournalName>
    <b:Year>1992</b:Year>
    <b:Pages>341-357</b:Pages>
    <b:RefOrder>482</b:RefOrder>
  </b:Source>
  <b:Source>
    <b:Tag>Gar98</b:Tag>
    <b:SourceType>JournalArticle</b:SourceType>
    <b:Guid>{36FA5332-EA86-43B0-87C5-FA99AB46D98C}</b:Guid>
    <b:Author>
      <b:Author>
        <b:NameList>
          <b:Person>
            <b:Last>Garnsey</b:Last>
            <b:First>E</b:First>
          </b:Person>
        </b:NameList>
      </b:Author>
    </b:Author>
    <b:Title>A Theory of the Early Growth of the Firm.  Industrial and Corporate Change</b:Title>
    <b:Year>1998</b:Year>
    <b:Pages>523-556</b:Pages>
    <b:Volume>7</b:Volume>
    <b:Issue>3</b:Issue>
    <b:RefOrder>483</b:RefOrder>
  </b:Source>
  <b:Source>
    <b:Tag>Placeholder24</b:Tag>
    <b:SourceType>JournalArticle</b:SourceType>
    <b:Guid>{D223B53D-7FBC-4741-8815-0D734D3785C7}</b:Guid>
    <b:Author>
      <b:Author>
        <b:NameList>
          <b:Person>
            <b:Last>Fitzsimmons</b:Last>
            <b:First>Jason</b:First>
            <b:Middle>R</b:Middle>
          </b:Person>
          <b:Person>
            <b:Last>Steffens</b:Last>
            <b:First>Paul</b:First>
          </b:Person>
          <b:Person>
            <b:Last>Douglas</b:Last>
            <b:First>Evan</b:First>
            <b:Middle>J</b:Middle>
          </b:Person>
        </b:NameList>
      </b:Author>
    </b:Author>
    <b:Title>Growth and Profitability in Small and Medium Sized Australian Firms</b:Title>
    <b:JournalName>AGSE Entrepreneurship Exchange, Melbourne</b:JournalName>
    <b:Year>2005</b:Year>
    <b:Month>February</b:Month>
    <b:RefOrder>484</b:RefOrder>
  </b:Source>
  <b:Source>
    <b:Tag>Sen10</b:Tag>
    <b:SourceType>JournalArticle</b:SourceType>
    <b:Guid>{9FEFA336-D2E4-4409-ADFE-BBE75A4BD6E1}</b:Guid>
    <b:Author>
      <b:Author>
        <b:NameList>
          <b:Person>
            <b:Last>Senderovitz</b:Last>
            <b:First>Martin</b:First>
          </b:Person>
          <b:Person>
            <b:Last>Klyver</b:Last>
            <b:First>Kim</b:First>
          </b:Person>
          <b:Person>
            <b:Last>Steffens</b:Last>
            <b:First>Paul</b:First>
          </b:Person>
          <b:Person>
            <b:Last>Davidsson</b:Last>
            <b:First>Per</b:First>
          </b:Person>
        </b:NameList>
      </b:Author>
    </b:Author>
    <b:Title>The Growth-Profitability Relationship -Strategic Orientation as Moderator</b:Title>
    <b:JournalName>AGSE</b:JournalName>
    <b:Year>2010</b:Year>
    <b:RefOrder>485</b:RefOrder>
  </b:Source>
  <b:Source>
    <b:Tag>Lea12</b:Tag>
    <b:SourceType>JournalArticle</b:SourceType>
    <b:Guid>{2EB65297-6597-4D12-A4AD-43BD2EE6765C}</b:Guid>
    <b:Author>
      <b:Author>
        <b:NameList>
          <b:Person>
            <b:Last>Leahy</b:Last>
            <b:First>Arthur</b:First>
            <b:Middle>S</b:Middle>
          </b:Person>
        </b:NameList>
      </b:Author>
    </b:Author>
    <b:Title>The Determinants Of Profitability In The Pharmaceutical Industry</b:Title>
    <b:JournalName>American Journal of Health Sciences</b:JournalName>
    <b:Year>2012</b:Year>
    <b:Volume>3</b:Volume>
    <b:Issue>1</b:Issue>
    <b:RefOrder>486</b:RefOrder>
  </b:Source>
  <b:Source>
    <b:Tag>Esp03</b:Tag>
    <b:SourceType>JournalArticle</b:SourceType>
    <b:Guid>{33A973FA-0EB1-4623-B5E5-57BD07EACC17}</b:Guid>
    <b:Author>
      <b:Author>
        <b:NameList>
          <b:Person>
            <b:Last>Esperanca</b:Last>
            <b:First>José</b:First>
            <b:Middle>Paulo</b:Middle>
          </b:Person>
          <b:Person>
            <b:Last>Gama</b:Last>
            <b:First>Ana</b:First>
            <b:Middle>Paula Matias</b:Middle>
          </b:Person>
          <b:Person>
            <b:Last>Hussen</b:Last>
            <b:First>Mohamed</b:First>
            <b:Middle>Azzim Gulam</b:Middle>
          </b:Person>
        </b:NameList>
      </b:Author>
    </b:Author>
    <b:Title>Corporate debt policy of small firms: an empirical (re) examination</b:Title>
    <b:JournalName>Journal of Small Business and Enterprise Development</b:JournalName>
    <b:Year>2003</b:Year>
    <b:Pages>62-80</b:Pages>
    <b:Volume>10</b:Volume>
    <b:Issue>1</b:Issue>
    <b:RefOrder>487</b:RefOrder>
  </b:Source>
  <b:Source>
    <b:Tag>Phi00</b:Tag>
    <b:SourceType>JournalArticle</b:SourceType>
    <b:Guid>{81DF52E7-BA0B-406C-8003-3188DAE0EFD4}</b:Guid>
    <b:Author>
      <b:Author>
        <b:NameList>
          <b:Person>
            <b:Last>Philip</b:Last>
            <b:First>Joos</b:First>
            <b:Middle>PhD</b:Middle>
          </b:Person>
        </b:NameList>
      </b:Author>
    </b:Author>
    <b:Title>Explaining Cross-sectional Differences in Unrecognized net assets</b:Title>
    <b:JournalName>Stanford University</b:JournalName>
    <b:Year>2000</b:Year>
    <b:Pages>1-2</b:Pages>
    <b:RefOrder>488</b:RefOrder>
  </b:Source>
  <b:Source>
    <b:Tag>Placeholder25</b:Tag>
    <b:SourceType>JournalArticle</b:SourceType>
    <b:Guid>{C81FC695-318E-406D-A5D1-C509EF074D8E}</b:Guid>
    <b:Author>
      <b:Author>
        <b:NameList>
          <b:Person>
            <b:Last>Lucius</b:Last>
            <b:First>Harold</b:First>
            <b:Middle>W</b:Middle>
          </b:Person>
          <b:Person>
            <b:Last>Habte-Giorgis</b:Last>
            <b:First>Berhe</b:First>
          </b:Person>
          <b:Person>
            <b:Last>Lee</b:Last>
            <b:First>Jooh</b:First>
          </b:Person>
        </b:NameList>
      </b:Author>
    </b:Author>
    <b:Title>Empirical Study of the Strategic Impact of Major Marketing Factors on Firms Accounting Performance in The Pharmaceutical Industry</b:Title>
    <b:Year>n.d</b:Year>
    <b:RefOrder>489</b:RefOrder>
  </b:Source>
  <b:Source>
    <b:Tag>Har94</b:Tag>
    <b:SourceType>JournalArticle</b:SourceType>
    <b:Guid>{DA876526-A3DA-48BD-AA95-AE402E738483}</b:Guid>
    <b:Author>
      <b:Author>
        <b:NameList>
          <b:Person>
            <b:Last>Harris</b:Last>
            <b:First>Frederick</b:First>
            <b:Middle>H. deB</b:Middle>
          </b:Person>
        </b:NameList>
      </b:Author>
    </b:Author>
    <b:Title>Asset Specificity, Capital Intensity and Capital Structure: An Empirical Test</b:Title>
    <b:JournalName>Managerial and Decision Economics</b:JournalName>
    <b:Year>1994</b:Year>
    <b:Pages>563-576</b:Pages>
    <b:Month>December</b:Month>
    <b:Volume>15</b:Volume>
    <b:Issue>6</b:Issue>
    <b:RefOrder>490</b:RefOrder>
  </b:Source>
  <b:Source>
    <b:Tag>Aub72</b:Tag>
    <b:SourceType>JournalArticle</b:SourceType>
    <b:Guid>{E4D84D98-1925-4B68-877A-0D8C442A0594}</b:Guid>
    <b:Author>
      <b:Author>
        <b:NameList>
          <b:Person>
            <b:Last>Aubrey</b:Last>
            <b:First>Silberston</b:First>
          </b:Person>
        </b:NameList>
      </b:Author>
    </b:Author>
    <b:Title>Economies of Scale in Theory and Practice</b:Title>
    <b:JournalName>The Economic Journal</b:JournalName>
    <b:Year>1972</b:Year>
    <b:Pages>369-391</b:Pages>
    <b:Volume>82</b:Volume>
    <b:Issue>325</b:Issue>
    <b:RefOrder>491</b:RefOrder>
  </b:Source>
  <b:Source>
    <b:Tag>Kei98</b:Tag>
    <b:SourceType>JournalArticle</b:SourceType>
    <b:Guid>{6EE6B0A5-5995-471D-8E96-F4F6F45990A1}</b:Guid>
    <b:Author>
      <b:Author>
        <b:NameList>
          <b:Person>
            <b:Last>Keith</b:Last>
            <b:First>Glancey</b:First>
          </b:Person>
        </b:NameList>
      </b:Author>
    </b:Author>
    <b:Title>Determinants of growth and profitability in small entrepreneurial firms</b:Title>
    <b:JournalName>International Journal of Entrepreneurial Behaviour &amp; Research</b:JournalName>
    <b:Year>1998</b:Year>
    <b:Pages>18-27</b:Pages>
    <b:Volume>4</b:Volume>
    <b:Issue>1</b:Issue>
    <b:RefOrder>492</b:RefOrder>
  </b:Source>
  <b:Source>
    <b:Tag>Reh10</b:Tag>
    <b:SourceType>JournalArticle</b:SourceType>
    <b:Guid>{DDC22968-380B-4969-B5B3-91AB580ACEB8}</b:Guid>
    <b:Author>
      <b:Author>
        <b:NameList>
          <b:Person>
            <b:Last>Rehman</b:Last>
            <b:First>A</b:First>
          </b:Person>
          <b:Person>
            <b:Last>Afza</b:Last>
            <b:First>T</b:First>
          </b:Person>
          <b:Person>
            <b:Last>Qayyum</b:Last>
            <b:First>A</b:First>
          </b:Person>
          <b:Person>
            <b:Last>Bodla</b:Last>
            <b:First>A.M</b:First>
          </b:Person>
        </b:NameList>
      </b:Author>
    </b:Author>
    <b:Title>Working Capital Management and Corporate Performance of Manufacturing Sector in Pakistan</b:Title>
    <b:JournalName>Int. Res.J. Financ. Econ.</b:JournalName>
    <b:Year>2010</b:Year>
    <b:Pages>151-163</b:Pages>
    <b:Volume>47</b:Volume>
    <b:Issue>12</b:Issue>
    <b:RefOrder>493</b:RefOrder>
  </b:Source>
  <b:Source>
    <b:Tag>Bau59</b:Tag>
    <b:SourceType>JournalArticle</b:SourceType>
    <b:Guid>{DDBADE5D-6375-44CF-8862-DA0E62E7C493}</b:Guid>
    <b:Author>
      <b:Author>
        <b:NameList>
          <b:Person>
            <b:Last>Baumol</b:Last>
            <b:First>J.</b:First>
            <b:Middle>William</b:Middle>
          </b:Person>
        </b:NameList>
      </b:Author>
    </b:Author>
    <b:Title>Business Behaviour, Value and Growth</b:Title>
    <b:JournalName>Macmillan, NewYork</b:JournalName>
    <b:Year>1959</b:Year>
    <b:RefOrder>494</b:RefOrder>
  </b:Source>
  <b:Source>
    <b:Tag>She72</b:Tag>
    <b:SourceType>JournalArticle</b:SourceType>
    <b:Guid>{0FE2C749-676C-4D71-97F8-4AE6B0394673}</b:Guid>
    <b:Author>
      <b:Author>
        <b:NameList>
          <b:Person>
            <b:Last>Shepherd</b:Last>
            <b:First>W.G</b:First>
          </b:Person>
        </b:NameList>
      </b:Author>
    </b:Author>
    <b:Title>The Elements of Market Structure</b:Title>
    <b:JournalName>Review of Economics and Statistics</b:JournalName>
    <b:Year>1972</b:Year>
    <b:Pages>25-35</b:Pages>
    <b:Volume>54</b:Volume>
    <b:RefOrder>495</b:RefOrder>
  </b:Source>
  <b:Source>
    <b:Tag>Gal72</b:Tag>
    <b:SourceType>JournalArticle</b:SourceType>
    <b:Guid>{D3E84EBC-BF16-4495-BC43-5C819E325A99}</b:Guid>
    <b:Author>
      <b:Author>
        <b:NameList>
          <b:Person>
            <b:Last>Gale</b:Last>
            <b:First>B.T</b:First>
          </b:Person>
        </b:NameList>
      </b:Author>
    </b:Author>
    <b:Title>Market Share and Rate of Return</b:Title>
    <b:JournalName>Review of Economics and Statistics</b:JournalName>
    <b:Year>1972</b:Year>
    <b:Pages>412-423</b:Pages>
    <b:Volume>54</b:Volume>
    <b:RefOrder>496</b:RefOrder>
  </b:Source>
  <b:Source>
    <b:Tag>Pun08</b:Tag>
    <b:SourceType>JournalArticle</b:SourceType>
    <b:Guid>{083525CA-CFFB-4C37-A860-828EE3D9C46D}</b:Guid>
    <b:Author>
      <b:Author>
        <b:NameList>
          <b:Person>
            <b:Last>Punnose</b:Last>
            <b:First>E.M</b:First>
          </b:Person>
        </b:NameList>
      </b:Author>
    </b:Author>
    <b:Title>A Profitability Analysis of Business Group Firms vs. Individual Firms in the Indian Electrical  Machine Manufacturing Industry</b:Title>
    <b:JournalName>The Icfai Journal of Management Research</b:JournalName>
    <b:Year>2008</b:Year>
    <b:Pages>52-76</b:Pages>
    <b:Volume>7</b:Volume>
    <b:RefOrder>497</b:RefOrder>
  </b:Source>
  <b:Source>
    <b:Tag>Sch73</b:Tag>
    <b:SourceType>JournalArticle</b:SourceType>
    <b:Guid>{47505CB1-79E9-41AC-BB3A-BAC4AEC4AC8A}</b:Guid>
    <b:Author>
      <b:Author>
        <b:NameList>
          <b:Person>
            <b:Last>Scherer</b:Last>
            <b:First>F.</b:First>
            <b:Middle>M</b:Middle>
          </b:Person>
        </b:NameList>
      </b:Author>
    </b:Author>
    <b:Title>THE DETERMINANTS OF INDUSTRIAL PLANT SIZES IN SIX NATIONS</b:Title>
    <b:JournalName>Review of Economics &amp; Statistics</b:JournalName>
    <b:Year>1973</b:Year>
    <b:Pages>135</b:Pages>
    <b:Volume>55</b:Volume>
    <b:Issue>2</b:Issue>
    <b:RefOrder>498</b:RefOrder>
  </b:Source>
  <b:Source>
    <b:Tag>Hal67</b:Tag>
    <b:SourceType>JournalArticle</b:SourceType>
    <b:Guid>{E4ACB750-E96C-4E3A-9E1F-CAA4715AD83C}</b:Guid>
    <b:Author>
      <b:Author>
        <b:NameList>
          <b:Person>
            <b:Last>Hall</b:Last>
            <b:First>Marshall</b:First>
          </b:Person>
          <b:Person>
            <b:Last>Weiss</b:Last>
            <b:First>Leonard</b:First>
          </b:Person>
        </b:NameList>
      </b:Author>
    </b:Author>
    <b:Title>FIRM SIZE AND PROFITABILITY</b:Title>
    <b:JournalName>Review of Economics &amp; Statistics</b:JournalName>
    <b:Year>1967</b:Year>
    <b:Pages>319</b:Pages>
    <b:Volume>49</b:Volume>
    <b:Issue>3</b:Issue>
    <b:RefOrder>499</b:RefOrder>
  </b:Source>
  <b:Source>
    <b:Tag>Lee09</b:Tag>
    <b:SourceType>JournalArticle</b:SourceType>
    <b:Guid>{9973D2C0-7B79-4477-B296-F7DC5B4280D2}</b:Guid>
    <b:Author>
      <b:Author>
        <b:NameList>
          <b:Person>
            <b:Last>Lee</b:Last>
            <b:First>Jim</b:First>
          </b:Person>
        </b:NameList>
      </b:Author>
    </b:Author>
    <b:Title>Does Size Matter in Firm Performance? Evidence from US Public Firms</b:Title>
    <b:JournalName>International Journal of the Economics of Business</b:JournalName>
    <b:Year>2009</b:Year>
    <b:Pages>189-203</b:Pages>
    <b:Volume>16</b:Volume>
    <b:Issue>2</b:Issue>
    <b:RefOrder>500</b:RefOrder>
  </b:Source>
  <b:Source>
    <b:Tag>Hai70</b:Tag>
    <b:SourceType>JournalArticle</b:SourceType>
    <b:Guid>{3C3B2A30-DFA2-4A55-91BB-C02141F109BA}</b:Guid>
    <b:Author>
      <b:Author>
        <b:NameList>
          <b:Person>
            <b:Last>Haines</b:Last>
            <b:First>W.W</b:First>
          </b:Person>
        </b:NameList>
      </b:Author>
    </b:Author>
    <b:Title>The Profitability of Large-Size Firm</b:Title>
    <b:JournalName>Rivista Internationale de Science Economiche e Commerciale</b:JournalName>
    <b:Year>1970</b:Year>
    <b:Pages>321-351</b:Pages>
    <b:Volume>17</b:Volume>
    <b:RefOrder>501</b:RefOrder>
  </b:Source>
  <b:Source>
    <b:Tag>Eva87</b:Tag>
    <b:SourceType>JournalArticle</b:SourceType>
    <b:Guid>{798B0B7D-5B88-4561-B7B4-87F2693DEA16}</b:Guid>
    <b:Author>
      <b:Author>
        <b:NameList>
          <b:Person>
            <b:Last>Evans</b:Last>
            <b:First>D.S</b:First>
          </b:Person>
        </b:NameList>
      </b:Author>
    </b:Author>
    <b:Title>The Relationship Between Firm Growth, Size and Age: Estimates for 100 Manufacturing Industries</b:Title>
    <b:JournalName>Journal of Industrial Economics</b:JournalName>
    <b:Year>1987</b:Year>
    <b:Pages>567-582</b:Pages>
    <b:Volume>35</b:Volume>
    <b:RefOrder>502</b:RefOrder>
  </b:Source>
  <b:Source>
    <b:Tag>Gib31</b:Tag>
    <b:SourceType>JournalArticle</b:SourceType>
    <b:Guid>{E8F4F57F-9D3D-41C7-8FA3-362B779080E5}</b:Guid>
    <b:Author>
      <b:Author>
        <b:NameList>
          <b:Person>
            <b:Last>Gibrat</b:Last>
            <b:First>R</b:First>
          </b:Person>
        </b:NameList>
      </b:Author>
    </b:Author>
    <b:Title>Paris: Librairie du Recueil Sirey</b:Title>
    <b:JournalName>Les Inégalités Économiques</b:JournalName>
    <b:Year>1931</b:Year>
    <b:RefOrder>503</b:RefOrder>
  </b:Source>
  <b:Source>
    <b:Tag>Man62</b:Tag>
    <b:SourceType>JournalArticle</b:SourceType>
    <b:Guid>{58B12E25-1ACE-4B1E-9A0F-D0F71B266705}</b:Guid>
    <b:Author>
      <b:Author>
        <b:NameList>
          <b:Person>
            <b:Last>Mansfield</b:Last>
            <b:First>E</b:First>
          </b:Person>
        </b:NameList>
      </b:Author>
    </b:Author>
    <b:Title>Entry, Gibrat's Law,Innovation, and the Growth of Firms</b:Title>
    <b:JournalName>American Economic Review</b:JournalName>
    <b:Year>1962</b:Year>
    <b:Pages>1023-1051</b:Pages>
    <b:Volume>52</b:Volume>
    <b:RefOrder>504</b:RefOrder>
  </b:Source>
  <b:Source>
    <b:Tag>Hym62</b:Tag>
    <b:SourceType>JournalArticle</b:SourceType>
    <b:Guid>{CB80A390-BB8A-4D7B-877F-B5F6987491F4}</b:Guid>
    <b:Author>
      <b:Author>
        <b:NameList>
          <b:Person>
            <b:Last>Hymer</b:Last>
            <b:First>S</b:First>
          </b:Person>
          <b:Person>
            <b:Last>Pashigian</b:Last>
            <b:First>P</b:First>
          </b:Person>
        </b:NameList>
      </b:Author>
    </b:Author>
    <b:Title>Firm Size and Rate of Growth</b:Title>
    <b:JournalName>Journal of Political Economy</b:JournalName>
    <b:Year>1962</b:Year>
    <b:Pages>556-569</b:Pages>
    <b:Volume>70</b:Volume>
    <b:RefOrder>505</b:RefOrder>
  </b:Source>
  <b:Source>
    <b:Tag>Buz87</b:Tag>
    <b:SourceType>JournalArticle</b:SourceType>
    <b:Guid>{09F55580-87E0-4CF9-BF65-B643F3C9991E}</b:Guid>
    <b:Author>
      <b:Author>
        <b:NameList>
          <b:Person>
            <b:Last>Buzzel</b:Last>
            <b:First>RD</b:First>
          </b:Person>
          <b:Person>
            <b:Last>Gale</b:Last>
            <b:First>BT</b:First>
          </b:Person>
        </b:NameList>
      </b:Author>
    </b:Author>
    <b:Title>The PIMS Principle: Linking strategy to performance</b:Title>
    <b:JournalName>Free Press. New York</b:JournalName>
    <b:Year>1987</b:Year>
    <b:RefOrder>506</b:RefOrder>
  </b:Source>
  <b:Source>
    <b:Tag>Ous00</b:Tag>
    <b:SourceType>JournalArticle</b:SourceType>
    <b:Guid>{6A1197D7-68A1-4647-A735-8A4BBB23E927}</b:Guid>
    <b:Author>
      <b:Author>
        <b:NameList>
          <b:Person>
            <b:Last>Oustapassidis</b:Last>
            <b:First>K</b:First>
          </b:Person>
          <b:Person>
            <b:Last>Vlachvei</b:Last>
            <b:First>A</b:First>
          </b:Person>
          <b:Person>
            <b:Last>Notta</b:Last>
            <b:First>O</b:First>
          </b:Person>
        </b:NameList>
      </b:Author>
    </b:Author>
    <b:Title>Efficiency and market power in Greek food industries</b:Title>
    <b:JournalName>Am. J. Agric. Econ.</b:JournalName>
    <b:Year>2000</b:Year>
    <b:Pages>623-629</b:Pages>
    <b:Volume>82</b:Volume>
    <b:RefOrder>507</b:RefOrder>
  </b:Source>
  <b:Source>
    <b:Tag>Mac82</b:Tag>
    <b:SourceType>JournalArticle</b:SourceType>
    <b:Guid>{AF94E4A1-6817-4F35-983A-D5DA0480074C}</b:Guid>
    <b:Author>
      <b:Author>
        <b:NameList>
          <b:Person>
            <b:Last>MacMillam</b:Last>
            <b:First>IC</b:First>
          </b:Person>
          <b:Person>
            <b:Last>Hambric</b:Last>
            <b:First>DC</b:First>
          </b:Person>
          <b:Person>
            <b:Last>Day</b:Last>
            <b:First>DL</b:First>
          </b:Person>
        </b:NameList>
      </b:Author>
    </b:Author>
    <b:Title>The produst portfolio</b:Title>
    <b:JournalName>Acad.Manage. J.</b:JournalName>
    <b:Year>1982</b:Year>
    <b:Pages>733-55</b:Pages>
    <b:Volume>25</b:Volume>
    <b:RefOrder>508</b:RefOrder>
  </b:Source>
  <b:Source>
    <b:Tag>Rum81</b:Tag>
    <b:SourceType>JournalArticle</b:SourceType>
    <b:Guid>{3976B24C-8620-4C2E-B4EE-72026B62C12F}</b:Guid>
    <b:Author>
      <b:Author>
        <b:NameList>
          <b:Person>
            <b:Last>Rumelt</b:Last>
            <b:First>RP</b:First>
          </b:Person>
          <b:Person>
            <b:Last>Wensley</b:Last>
            <b:First>R</b:First>
          </b:Person>
        </b:NameList>
      </b:Author>
    </b:Author>
    <b:Title>In search of market share effect</b:Title>
    <b:JournalName>Proc. Acad. Manage.</b:JournalName>
    <b:Year>1981</b:Year>
    <b:Pages>2-6</b:Pages>
    <b:RefOrder>509</b:RefOrder>
  </b:Source>
  <b:Source>
    <b:Tag>Buz75</b:Tag>
    <b:SourceType>JournalArticle</b:SourceType>
    <b:Guid>{FCA4EBFF-90E7-40CA-9904-C816626FACF5}</b:Guid>
    <b:Author>
      <b:Author>
        <b:NameList>
          <b:Person>
            <b:Last>Buzzel</b:Last>
            <b:First>RD</b:First>
          </b:Person>
          <b:Person>
            <b:Last>Gale</b:Last>
            <b:First>BT</b:First>
          </b:Person>
          <b:Person>
            <b:Last>Sultan</b:Last>
            <b:First>RM</b:First>
          </b:Person>
        </b:NameList>
      </b:Author>
    </b:Author>
    <b:Title>Market share-a key to profitability</b:Title>
    <b:JournalName>Harv. Bus. Rev.</b:JournalName>
    <b:Year>1975</b:Year>
    <b:Pages>97-106</b:Pages>
    <b:Volume>53</b:Volume>
    <b:Issue>1</b:Issue>
    <b:RefOrder>510</b:RefOrder>
  </b:Source>
  <b:Source>
    <b:Tag>Sch74</b:Tag>
    <b:SourceType>JournalArticle</b:SourceType>
    <b:Guid>{85FF5393-B1A0-4DFF-B720-25A5FC005C21}</b:Guid>
    <b:Author>
      <b:Author>
        <b:NameList>
          <b:Person>
            <b:Last>Schoeffler</b:Last>
            <b:First>S</b:First>
          </b:Person>
          <b:Person>
            <b:Last>Buzzell</b:Last>
            <b:First>RD</b:First>
          </b:Person>
          <b:Person>
            <b:Last>Heany</b:Last>
            <b:First>DF</b:First>
          </b:Person>
        </b:NameList>
      </b:Author>
    </b:Author>
    <b:Title>Impact of strategic planning on profit performance</b:Title>
    <b:JournalName>Harv. Bus. Rev.</b:JournalName>
    <b:Year>1974</b:Year>
    <b:Pages>137-145</b:Pages>
    <b:RefOrder>511</b:RefOrder>
  </b:Source>
  <b:Source>
    <b:Tag>She721</b:Tag>
    <b:SourceType>JournalArticle</b:SourceType>
    <b:Guid>{A7F4FF18-32A3-4EC1-A7CE-0B7A4659AE2D}</b:Guid>
    <b:Author>
      <b:Author>
        <b:NameList>
          <b:Person>
            <b:Last>Shepherd</b:Last>
            <b:First>WG</b:First>
          </b:Person>
        </b:NameList>
      </b:Author>
    </b:Author>
    <b:Title>The elements of market structure</b:Title>
    <b:JournalName>Rev. Econ. Stat.</b:JournalName>
    <b:Year>1972</b:Year>
    <b:Pages>25-37</b:Pages>
    <b:RefOrder>512</b:RefOrder>
  </b:Source>
  <b:Source>
    <b:Tag>Woo81</b:Tag>
    <b:SourceType>JournalArticle</b:SourceType>
    <b:Guid>{9C4F340B-7C3D-420C-9FB0-EAAFCB8EFB88}</b:Guid>
    <b:Author>
      <b:Author>
        <b:NameList>
          <b:Person>
            <b:Last>Woo</b:Last>
            <b:First>CY</b:First>
          </b:Person>
        </b:NameList>
      </b:Author>
    </b:Author>
    <b:Title>Market share leadership: does it always pay off?</b:Title>
    <b:JournalName>Proceedings of the Academy of Management</b:JournalName>
    <b:Year>1981</b:Year>
    <b:Pages>7-11</b:Pages>
    <b:RefOrder>513</b:RefOrder>
  </b:Source>
  <b:Source>
    <b:Tag>Fra94</b:Tag>
    <b:SourceType>JournalArticle</b:SourceType>
    <b:Guid>{B8583C82-0CA6-42AB-A825-69AB8C2079F6}</b:Guid>
    <b:Author>
      <b:Author>
        <b:NameList>
          <b:Person>
            <b:Last>Fraering</b:Last>
            <b:First>J.</b:First>
            <b:Middle>M</b:Middle>
          </b:Person>
          <b:Person>
            <b:Last>Minor</b:Last>
            <b:First>M.S</b:First>
          </b:Person>
        </b:NameList>
      </b:Author>
    </b:Author>
    <b:Title>The Industry-Specific Basis of the Market Share – Profitability Relationship</b:Title>
    <b:JournalName>Journal of Consumer Marketing</b:JournalName>
    <b:Year>1994</b:Year>
    <b:Pages>27-37</b:Pages>
    <b:Volume>11</b:Volume>
    <b:RefOrder>514</b:RefOrder>
  </b:Source>
  <b:Source>
    <b:Tag>Mar88</b:Tag>
    <b:SourceType>JournalArticle</b:SourceType>
    <b:Guid>{84C8B926-70BF-4636-977D-69821E3D9D79}</b:Guid>
    <b:Author>
      <b:Author>
        <b:NameList>
          <b:Person>
            <b:Last>Markell</b:Last>
            <b:First>S.J</b:First>
          </b:Person>
          <b:Person>
            <b:Last>Neeley</b:Last>
            <b:First>S.E</b:First>
          </b:Person>
          <b:Person>
            <b:Last>Strickland</b:Last>
            <b:First>T.H</b:First>
          </b:Person>
        </b:NameList>
      </b:Author>
    </b:Author>
    <b:Title>Explaining Profitability: Dispelling the Market Share Fog</b:Title>
    <b:JournalName>Journal of Business Research</b:JournalName>
    <b:Year>1988</b:Year>
    <b:Pages>189-196</b:Pages>
    <b:Volume>16</b:Volume>
    <b:RefOrder>515</b:RefOrder>
  </b:Source>
  <b:Source>
    <b:Tag>Sch91</b:Tag>
    <b:SourceType>JournalArticle</b:SourceType>
    <b:Guid>{18F20938-943F-4113-9C61-B2A66D139CCD}</b:Guid>
    <b:Author>
      <b:Author>
        <b:NameList>
          <b:Person>
            <b:Last>Schwalbach</b:Last>
            <b:First>J</b:First>
          </b:Person>
        </b:NameList>
      </b:Author>
    </b:Author>
    <b:Title>Profitability and Market Share: a Reflection on the Functional Relationship</b:Title>
    <b:JournalName>Strateg. Manage. J.</b:JournalName>
    <b:Year>1991</b:Year>
    <b:Pages>299-306</b:Pages>
    <b:Volume>12</b:Volume>
    <b:RefOrder>516</b:RefOrder>
  </b:Source>
  <b:Source>
    <b:Tag>Jac88</b:Tag>
    <b:SourceType>JournalArticle</b:SourceType>
    <b:Guid>{F0C47DFA-E5D9-4306-8919-76445ACDA628}</b:Guid>
    <b:Author>
      <b:Author>
        <b:NameList>
          <b:Person>
            <b:Last>Jacobson</b:Last>
            <b:First>R</b:First>
          </b:Person>
        </b:NameList>
      </b:Author>
    </b:Author>
    <b:Title>Distinguishing among Competing Theories of the Market Share Effect</b:Title>
    <b:JournalName>J. Mark.</b:JournalName>
    <b:Year>1988</b:Year>
    <b:Pages>68-80</b:Pages>
    <b:Volume>52</b:Volume>
    <b:RefOrder>517</b:RefOrder>
  </b:Source>
  <b:Source>
    <b:Tag>Sha88</b:Tag>
    <b:SourceType>JournalArticle</b:SourceType>
    <b:Guid>{A25BB031-9FD5-466A-BE7D-AA13CD759605}</b:Guid>
    <b:Author>
      <b:Author>
        <b:NameList>
          <b:Person>
            <b:Last>Shanklin</b:Last>
            <b:First>WL</b:First>
          </b:Person>
        </b:NameList>
      </b:Author>
    </b:Author>
    <b:Title>Market Share Is Not Destiny</b:Title>
    <b:JournalName>J.Consum. Mark.</b:JournalName>
    <b:Year>1988</b:Year>
    <b:Pages>5-16</b:Pages>
    <b:Volume>5</b:Volume>
    <b:RefOrder>518</b:RefOrder>
  </b:Source>
  <b:Source>
    <b:Tag>Her84</b:Tag>
    <b:SourceType>JournalArticle</b:SourceType>
    <b:Guid>{179E0BC8-5C04-45FC-B0B3-8EAF7A05B617}</b:Guid>
    <b:Author>
      <b:Author>
        <b:NameList>
          <b:Person>
            <b:Last>Hergert</b:Last>
            <b:First>M</b:First>
          </b:Person>
        </b:NameList>
      </b:Author>
    </b:Author>
    <b:Title>Market Share and Profitability:  Is Bigger Really Better?</b:Title>
    <b:JournalName>Bus. Econ.</b:JournalName>
    <b:Year>1984</b:Year>
    <b:Pages>45-8</b:Pages>
    <b:Volume>19</b:Volume>
    <b:RefOrder>519</b:RefOrder>
  </b:Source>
  <b:Source>
    <b:Tag>New83</b:Tag>
    <b:SourceType>JournalArticle</b:SourceType>
    <b:Guid>{7B1740AD-C85E-4B0E-A792-CC9297D71F09}</b:Guid>
    <b:Author>
      <b:Author>
        <b:NameList>
          <b:Person>
            <b:Last>Newton</b:Last>
            <b:First>JK</b:First>
          </b:Person>
        </b:NameList>
      </b:Author>
    </b:Author>
    <b:Title>Market Share- Key to Higher Profitability?</b:Title>
    <b:JournalName>Long Range Plann.</b:JournalName>
    <b:Year>1983</b:Year>
    <b:Pages>37-41</b:Pages>
    <b:Volume>16</b:Volume>
    <b:RefOrder>520</b:RefOrder>
  </b:Source>
  <b:Source>
    <b:Tag>Bou87</b:Tag>
    <b:SourceType>JournalArticle</b:SourceType>
    <b:Guid>{F72A2786-BEF4-458B-9FB8-2271CA24C8C5}</b:Guid>
    <b:Author>
      <b:Author>
        <b:NameList>
          <b:Person>
            <b:Last>Bourantas</b:Last>
            <b:First>D</b:First>
          </b:Person>
          <b:Person>
            <b:Last>Mandes</b:Last>
            <b:First>Y</b:First>
          </b:Person>
        </b:NameList>
      </b:Author>
    </b:Author>
    <b:Title>Does Market Share Lead to profitability?</b:Title>
    <b:Year>1987</b:Year>
    <b:Pages>108</b:Pages>
    <b:Volume>20</b:Volume>
    <b:JournalName>Long Range Plan.</b:JournalName>
    <b:RefOrder>521</b:RefOrder>
  </b:Source>
  <b:Source>
    <b:Tag>Szy93</b:Tag>
    <b:SourceType>JournalArticle</b:SourceType>
    <b:Guid>{F28F0791-22C5-4A80-993B-5909CA09F466}</b:Guid>
    <b:Author>
      <b:Author>
        <b:NameList>
          <b:Person>
            <b:Last>Szymanski</b:Last>
            <b:First>David</b:First>
            <b:Middle>M</b:Middle>
          </b:Person>
          <b:Person>
            <b:Last>Bharadwaj</b:Last>
            <b:First>Sundar</b:First>
            <b:Middle>G</b:Middle>
          </b:Person>
          <b:Person>
            <b:Last>Varadarajan</b:Last>
            <b:First>P.</b:First>
            <b:Middle>Rajan</b:Middle>
          </b:Person>
        </b:NameList>
      </b:Author>
    </b:Author>
    <b:Title>An Analysis of the Market Share-Profitability Relationship</b:Title>
    <b:JournalName>Journal of Marketing</b:JournalName>
    <b:Year>1993</b:Year>
    <b:Pages>1-18</b:Pages>
    <b:Month>July</b:Month>
    <b:Volume>57</b:Volume>
    <b:Issue>3</b:Issue>
    <b:RefOrder>522</b:RefOrder>
  </b:Source>
  <b:Source>
    <b:Tag>Doo94</b:Tag>
    <b:SourceType>JournalArticle</b:SourceType>
    <b:Guid>{CC592998-2741-4E5E-9D3A-80879AEFD3CD}</b:Guid>
    <b:Author>
      <b:Author>
        <b:NameList>
          <b:Person>
            <b:Last>Dooley</b:Last>
            <b:First>R.S</b:First>
          </b:Person>
          <b:Person>
            <b:Last>Lerner</b:Last>
            <b:First>L.D</b:First>
          </b:Person>
        </b:NameList>
      </b:Author>
    </b:Author>
    <b:Title>Pollution, Profits, and Stakeholders: The Constraining Effect of Economic Performance on CEO Concern With Stakeholder Expectations</b:Title>
    <b:JournalName>Journal of Business ethics</b:JournalName>
    <b:Year>1994</b:Year>
    <b:Pages>701-711</b:Pages>
    <b:Volume>13</b:Volume>
    <b:RefOrder>523</b:RefOrder>
  </b:Source>
  <b:Source>
    <b:Tag>Ked81</b:Tag>
    <b:SourceType>JournalArticle</b:SourceType>
    <b:Guid>{F46CFA00-0FF0-4204-A104-A4AFB72431BB}</b:Guid>
    <b:Author>
      <b:Author>
        <b:NameList>
          <b:Person>
            <b:Last>Kedia</b:Last>
            <b:First>B.L</b:First>
          </b:Person>
          <b:Person>
            <b:Last>Kuntz</b:Last>
            <b:First>E.C</b:First>
          </b:Person>
        </b:NameList>
      </b:Author>
    </b:Author>
    <b:Title>The Context of Social Performance: An Empirical Study of Texas Banks</b:Title>
    <b:JournalName>Research in Corporate Social Performance and Policy</b:JournalName>
    <b:Year>1981</b:Year>
    <b:Pages>133-154</b:Pages>
    <b:Volume>3</b:Volume>
    <b:RefOrder>524</b:RefOrder>
  </b:Source>
  <b:Source>
    <b:Tag>Gri97</b:Tag>
    <b:SourceType>JournalArticle</b:SourceType>
    <b:Guid>{78105207-F9C8-4CBD-9EE8-5BB848D15B3C}</b:Guid>
    <b:Author>
      <b:Author>
        <b:NameList>
          <b:Person>
            <b:Last>Griffin</b:Last>
            <b:First>J.J</b:First>
          </b:Person>
          <b:Person>
            <b:Last>Mahon</b:Last>
            <b:First>J.F</b:First>
          </b:Person>
        </b:NameList>
      </b:Author>
    </b:Author>
    <b:Title>The Corporate Social Performance and Corporate Financial Performance Debate: Twenty five Years of Incomparable Research</b:Title>
    <b:JournalName>Business and Society</b:JournalName>
    <b:Year>1997</b:Year>
    <b:Pages>5-31</b:Pages>
    <b:Volume>36</b:Volume>
    <b:RefOrder>525</b:RefOrder>
  </b:Source>
  <b:Source>
    <b:Tag>Bla94</b:Tag>
    <b:SourceType>JournalArticle</b:SourceType>
    <b:Guid>{C9B8709E-EE51-4931-B64A-8A86CE80DCAE}</b:Guid>
    <b:Author>
      <b:Author>
        <b:NameList>
          <b:Person>
            <b:Last>Blackburn</b:Last>
            <b:First>V.L</b:First>
          </b:Person>
          <b:Person>
            <b:Last>Doran</b:Last>
            <b:First>M</b:First>
          </b:Person>
          <b:Person>
            <b:Last>Shrader</b:Last>
            <b:First>C.B</b:First>
          </b:Person>
        </b:NameList>
      </b:Author>
    </b:Author>
    <b:Title>Investigating the Dimensions of Social Responsibility and the Consequences for Corporate Financial Performance</b:Title>
    <b:JournalName>Journal of Managerial Issues</b:JournalName>
    <b:Year>1994</b:Year>
    <b:Pages>195-212</b:Pages>
    <b:Volume>6</b:Volume>
    <b:Issue>2</b:Issue>
    <b:RefOrder>526</b:RefOrder>
  </b:Source>
  <b:Source>
    <b:Tag>Lev80</b:Tag>
    <b:SourceType>JournalArticle</b:SourceType>
    <b:Guid>{B8D0B3F4-206A-4B7C-ADFB-7025FA0BD6DD}</b:Guid>
    <b:Author>
      <b:Author>
        <b:NameList>
          <b:Person>
            <b:Last>Levy</b:Last>
            <b:First>F.K</b:First>
          </b:Person>
          <b:Person>
            <b:Last>Shatto</b:Last>
            <b:First>G.M</b:First>
          </b:Person>
        </b:NameList>
      </b:Author>
    </b:Author>
    <b:Title>Social Responsibility in Large Electric Utility Firms: The Case of Philanthropy</b:Title>
    <b:JournalName>Research in Corporate social performance and Policy</b:JournalName>
    <b:Year>1980</b:Year>
    <b:Pages>237-249</b:Pages>
    <b:Volume>2</b:Volume>
    <b:RefOrder>527</b:RefOrder>
  </b:Source>
  <b:Source>
    <b:Tag>Mar86</b:Tag>
    <b:SourceType>JournalArticle</b:SourceType>
    <b:Guid>{8EBB591B-F4E5-455B-BD65-72F79CA56AE3}</b:Guid>
    <b:Author>
      <b:Author>
        <b:NameList>
          <b:Person>
            <b:Last>Marcus</b:Last>
            <b:First>A.A</b:First>
          </b:Person>
          <b:Person>
            <b:Last>Goodman</b:Last>
            <b:First>R.S</b:First>
          </b:Person>
        </b:NameList>
      </b:Author>
    </b:Author>
    <b:Title>Compliance and Performance: Toward a Contingency Theory</b:Title>
    <b:JournalName>Research in Corporate Social Performance and Policy</b:JournalName>
    <b:Year>1986</b:Year>
    <b:Pages>193-221</b:Pages>
    <b:Volume>8</b:Volume>
    <b:RefOrder>528</b:RefOrder>
  </b:Source>
  <b:Source>
    <b:Tag>Goo92</b:Tag>
    <b:SourceType>JournalArticle</b:SourceType>
    <b:Guid>{F83C1398-46A5-4F28-B03B-C859DFB97829}</b:Guid>
    <b:Author>
      <b:Author>
        <b:NameList>
          <b:Person>
            <b:Last>Goodstein</b:Last>
            <b:First>J.D</b:First>
          </b:Person>
        </b:NameList>
      </b:Author>
    </b:Author>
    <b:Title>Small business and Corporate Social Performance: An Empirical Exploration of Small Business Involvement in Employer Supported Child Care</b:Title>
    <b:JournalName>Research in Corporate Social Performance and Policy</b:JournalName>
    <b:Year>1992</b:Year>
    <b:Pages>141-158</b:Pages>
    <b:Volume>13</b:Volume>
    <b:RefOrder>529</b:RefOrder>
  </b:Source>
  <b:Source>
    <b:Tag>Gra94</b:Tag>
    <b:SourceType>JournalArticle</b:SourceType>
    <b:Guid>{8AD40A9C-99EA-4143-9CCF-B271553A3449}</b:Guid>
    <b:Author>
      <b:Author>
        <b:NameList>
          <b:Person>
            <b:Last>Graves</b:Last>
            <b:First>S.B</b:First>
          </b:Person>
          <b:Person>
            <b:Last>Waddock</b:Last>
            <b:First>S.A</b:First>
          </b:Person>
        </b:NameList>
      </b:Author>
    </b:Author>
    <b:Title>Institutional Owners and Corporate Social Performance</b:Title>
    <b:JournalName>Academy of Management Journal</b:JournalName>
    <b:Year>1994</b:Year>
    <b:Pages>1034-1046</b:Pages>
    <b:Volume>37</b:Volume>
    <b:RefOrder>530</b:RefOrder>
  </b:Source>
  <b:Source>
    <b:Tag>Placeholder26</b:Tag>
    <b:SourceType>JournalArticle</b:SourceType>
    <b:Guid>{A29D4A7A-99E4-4681-BDE7-629B806B31C3}</b:Guid>
    <b:Author>
      <b:Author>
        <b:NameList>
          <b:Person>
            <b:Last>Lee</b:Last>
            <b:First>Soeki</b:First>
          </b:Person>
        </b:NameList>
      </b:Author>
    </b:Author>
    <b:Title>Effects of Capital Intensity on Firm Performance: U.S. Restaurant Industry</b:Title>
    <b:JournalName>Journal of Hospitality Financial Management</b:JournalName>
    <b:Year>2010</b:Year>
    <b:Volume>18</b:Volume>
    <b:Issue>1</b:Issue>
    <b:RefOrder>531</b:RefOrder>
  </b:Source>
  <b:Source>
    <b:Tag>Mus05</b:Tag>
    <b:SourceType>JournalArticle</b:SourceType>
    <b:Guid>{097F15AA-0AFE-44FF-BEED-1E8A96ADD055}</b:Guid>
    <b:Author>
      <b:Author>
        <b:NameList>
          <b:Person>
            <b:Last>Musa</b:Last>
            <b:First>Muhammad</b:First>
            <b:Middle>Muhaizam</b:Middle>
          </b:Person>
        </b:NameList>
      </b:Author>
    </b:Author>
    <b:Title>Comparative Evaluation of Profitability Determinants: Evidence of Non-Finance Versus Finance Firms.</b:Title>
    <b:JournalName>Master thesis, Universiti Utara Malaysia</b:JournalName>
    <b:Year>2005</b:Year>
    <b:RefOrder>532</b:RefOrder>
  </b:Source>
  <b:Source>
    <b:Tag>Sex00</b:Tag>
    <b:SourceType>JournalArticle</b:SourceType>
    <b:Guid>{ACC3AE1E-8358-4224-AD88-C28E562E7D2C}</b:Guid>
    <b:Author>
      <b:Author>
        <b:NameList>
          <b:Person>
            <b:Last>Sexton</b:Last>
            <b:First>D.L</b:First>
          </b:Person>
          <b:Person>
            <b:Last>Pricer</b:Last>
            <b:First>R.W</b:First>
          </b:Person>
          <b:Person>
            <b:Last>Nenide</b:Last>
            <b:First>B</b:First>
          </b:Person>
        </b:NameList>
      </b:Author>
    </b:Author>
    <b:Title>Measuring Performance in High-Growth Firms</b:Title>
    <b:JournalName>The Babson College/Kauffman Foundation Entrepreneurship Research Conference, Babson College MA</b:JournalName>
    <b:Year>2000</b:Year>
    <b:RefOrder>533</b:RefOrder>
  </b:Source>
  <b:Source>
    <b:Tag>Gurnd</b:Tag>
    <b:SourceType>JournalArticle</b:SourceType>
    <b:Guid>{A8F9BB82-2D16-47F3-AE55-E623DD96D91A}</b:Guid>
    <b:Author>
      <b:Author>
        <b:NameList>
          <b:Person>
            <b:Last>Guru</b:Last>
            <b:First>Balachandar</b:First>
            <b:Middle>K</b:Middle>
          </b:Person>
          <b:Person>
            <b:Last>Staunton</b:Last>
            <b:First>J</b:First>
          </b:Person>
        </b:NameList>
      </b:Author>
    </b:Author>
    <b:Title>Determinants of Commercial bank Profitability in Malaysia</b:Title>
    <b:Year>n.d</b:Year>
    <b:RefOrder>534</b:RefOrder>
  </b:Source>
  <b:Source>
    <b:Tag>Pla06</b:Tag>
    <b:SourceType>Report</b:SourceType>
    <b:Guid>{4E2F3816-3F7D-4558-9484-04D8348F09BB}</b:Guid>
    <b:Title>The Working Group on Risk Management in Agriculture</b:Title>
    <b:Year>2006</b:Year>
    <b:Author>
      <b:Author>
        <b:Corporate>Planning Commission </b:Corporate>
      </b:Author>
    </b:Author>
    <b:Publisher>NITI AAYOG</b:Publisher>
    <b:City>New Delhi</b:City>
    <b:RefOrder>535</b:RefOrder>
  </b:Source>
  <b:Source>
    <b:Tag>Ahl</b:Tag>
    <b:SourceType>ArticleInAPeriodical</b:SourceType>
    <b:Guid>{247966DB-76BB-4D88-9B6B-8049266BF8C3}</b:Guid>
    <b:Author>
      <b:Author>
        <b:NameList>
          <b:Person>
            <b:Last>Ahluwalia</b:Last>
            <b:First>Montek</b:First>
            <b:Middle>S.</b:Middle>
          </b:Person>
        </b:NameList>
      </b:Author>
    </b:Author>
    <b:Title>Six steps to tackle farm distress and make farming profitable</b:Title>
    <b:URL>https://www.livemint.com/industry/agriculture/opinion-six-steps-to-tackle-farm-distress-and-make-farming-profitable-1548952086798.html</b:URL>
    <b:Year>2019</b:Year>
    <b:Month>Jan</b:Month>
    <b:Day>31</b:Day>
    <b:InternetSiteTitle>Livemint</b:InternetSiteTitle>
    <b:PeriodicalTitle>Livemint</b:PeriodicalTitle>
    <b:RefOrder>536</b:RefOrder>
  </b:Source>
  <b:Source>
    <b:Tag>cornell98</b:Tag>
    <b:SourceType>JournalArticle</b:SourceType>
    <b:Guid>{DC1E6FF8-A9CA-4D0A-94E5-8D7783DA7D2D}</b:Guid>
    <b:Title>Cash settlement when the underlying securities are thinly traded: A case study</b:Title>
    <b:JournalName>Journal of Futures Markets: Futures,Options, and Other Derivative Products</b:JournalName>
    <b:Year>1997</b:Year>
    <b:Pages>855-871</b:Pages>
    <b:Author>
      <b:Author>
        <b:NameList>
          <b:Person>
            <b:Last>Cornell</b:Last>
            <b:Middle>B</b:Middle>
          </b:Person>
        </b:NameList>
      </b:Author>
    </b:Author>
    <b:Volume>17</b:Volume>
    <b:Issue>8</b:Issue>
    <b:RefOrder>537</b:RefOrder>
  </b:Source>
  <b:Source>
    <b:Tag>chanlien2003</b:Tag>
    <b:SourceType>JournalArticle</b:SourceType>
    <b:Guid>{CFD476A1-E9DC-4E0F-9FDA-0EC17F26A3E8}</b:Guid>
    <b:Title>Using hihg, low, open, and closing prices to estimate the effects of cash settlement on futures prices</b:Title>
    <b:Year>2003</b:Year>
    <b:Author>
      <b:Author>
        <b:NameList>
          <b:Person>
            <b:Last>Chan</b:Last>
            <b:First>L</b:First>
          </b:Person>
          <b:Person>
            <b:Last>Lein</b:Last>
            <b:Middle>D</b:Middle>
          </b:Person>
        </b:NameList>
      </b:Author>
    </b:Author>
    <b:JournalName>International Review of Financial Analysis</b:JournalName>
    <b:Pages>35-47</b:Pages>
    <b:Volume>12</b:Volume>
    <b:Issue>1</b:Issue>
    <b:RefOrder>538</b:RefOrder>
  </b:Source>
  <b:Source>
    <b:Tag>Lei89</b:Tag>
    <b:SourceType>JournalArticle</b:SourceType>
    <b:Guid>{66150B0A-6A9C-4853-BD4B-41183F78D374}</b:Guid>
    <b:Title>Cash settlement provisions on futures markets</b:Title>
    <b:JournalName>Journal of Futures Markets</b:JournalName>
    <b:Year>1989</b:Year>
    <b:Pages>263-270</b:Pages>
    <b:Author>
      <b:Author>
        <b:NameList>
          <b:Person>
            <b:Last>Lein</b:Last>
            <b:First>D</b:First>
          </b:Person>
        </b:NameList>
      </b:Author>
    </b:Author>
    <b:Volume>9</b:Volume>
    <b:Issue>1</b:Issue>
    <b:RefOrder>539</b:RefOrder>
  </b:Source>
  <b:Source>
    <b:Tag>Lei02</b:Tag>
    <b:SourceType>JournalArticle</b:SourceType>
    <b:Guid>{CBA79379-CD16-4BB3-B9CC-91F2DF230656}</b:Guid>
    <b:Title>Physical delivery versus cash settlement:an empirical study on the feeder cattle contract</b:Title>
    <b:JournalName>Journal of Empirical Finance</b:JournalName>
    <b:Year>2002</b:Year>
    <b:Pages>361-371</b:Pages>
    <b:Author>
      <b:Author>
        <b:NameList>
          <b:Person>
            <b:Last>Lein</b:Last>
            <b:First>D</b:First>
          </b:Person>
          <b:Person>
            <b:Last>Tse</b:Last>
            <b:Middle>K</b:Middle>
            <b:First>Y</b:First>
          </b:Person>
        </b:NameList>
      </b:Author>
    </b:Author>
    <b:Volume>9</b:Volume>
    <b:Issue>4</b:Issue>
    <b:RefOrder>540</b:RefOrder>
  </b:Source>
  <b:Source>
    <b:Tag>Lei06</b:Tag>
    <b:SourceType>JournalArticle</b:SourceType>
    <b:Guid>{F9BE4AB3-0C10-4F8D-9312-99C6E742822A}</b:Guid>
    <b:Title>A survey of physical delivery versus cash settlement in futures contracts</b:Title>
    <b:JournalName>International Reviewof Economics &amp; Finance</b:JournalName>
    <b:Year>2006</b:Year>
    <b:Pages>15-29</b:Pages>
    <b:Volume>15</b:Volume>
    <b:Issue>1</b:Issue>
    <b:Author>
      <b:Author>
        <b:NameList>
          <b:Person>
            <b:Last>Lein</b:Last>
            <b:First>D</b:First>
          </b:Person>
          <b:Person>
            <b:Last>Tse</b:Last>
            <b:Middle>K</b:Middle>
            <b:First>Y</b:First>
          </b:Person>
        </b:NameList>
      </b:Author>
    </b:Author>
    <b:RefOrder>541</b:RefOrder>
  </b:Source>
  <b:Source>
    <b:Tag>Ahu06</b:Tag>
    <b:SourceType>JournalArticle</b:SourceType>
    <b:Guid>{27D38956-1412-4BF7-8149-7A2B1C7AB1B3}</b:Guid>
    <b:Title>Commodity derivatives market in India: Development, regulation and future prospects</b:Title>
    <b:JournalName>International Research Journal of Finance and Economics</b:JournalName>
    <b:Year>2006</b:Year>
    <b:Pages>153-162</b:Pages>
    <b:Volume>2</b:Volume>
    <b:Issue>1</b:Issue>
    <b:Author>
      <b:Author>
        <b:NameList>
          <b:Person>
            <b:Last>Ahuja</b:Last>
            <b:Middle>L</b:Middle>
            <b:First>N</b:First>
          </b:Person>
        </b:NameList>
      </b:Author>
    </b:Author>
    <b:RefOrder>542</b:RefOrder>
  </b:Source>
  <b:Source>
    <b:Tag>Gur09</b:Tag>
    <b:SourceType>ArticleInAPeriodical</b:SourceType>
    <b:Guid>{54E5F8C1-D269-4C92-BA0E-9BDBA4DDEEBB}</b:Guid>
    <b:Title>Indian derivative markets: Some policy issues</b:Title>
    <b:Year>2009</b:Year>
    <b:Author>
      <b:Author>
        <b:NameList>
          <b:Person>
            <b:Last>Guru</b:Last>
            <b:First>A</b:First>
          </b:Person>
        </b:NameList>
      </b:Author>
    </b:Author>
    <b:PeriodicalTitle>NSE NEWS</b:PeriodicalTitle>
    <b:Month>January</b:Month>
    <b:RefOrder>543</b:RefOrder>
  </b:Source>
  <b:Source>
    <b:Tag>Mas16</b:Tag>
    <b:SourceType>JournalArticle</b:SourceType>
    <b:Guid>{87DB163A-BE5C-42F6-B01D-585FA31AFAAB}</b:Guid>
    <b:Title>Performance of commodity derivative markets in India</b:Title>
    <b:JournalName>Amity Journal of Finance</b:JournalName>
    <b:Year>2016</b:Year>
    <b:Pages>131-148</b:Pages>
    <b:Volume>1</b:Volume>
    <b:Issue>1</b:Issue>
    <b:Author>
      <b:Author>
        <b:NameList>
          <b:Person>
            <b:Last>Masood</b:Last>
            <b:First>S</b:First>
          </b:Person>
          <b:Person>
            <b:Last>Chary</b:Last>
            <b:Middle>S</b:Middle>
            <b:First>T</b:First>
          </b:Person>
        </b:NameList>
      </b:Author>
    </b:Author>
    <b:RefOrder>544</b:RefOrder>
  </b:Source>
  <b:Source>
    <b:Tag>Res06</b:Tag>
    <b:SourceType>Report</b:SourceType>
    <b:Guid>{802494DC-FCC9-4BC1-834B-5A520930D5DD}</b:Guid>
    <b:Author>
      <b:Author>
        <b:Corporate>Reserve Bank of India</b:Corporate>
      </b:Author>
    </b:Author>
    <b:Title>Report of the working group to suggest measures to assist distressed farmers</b:Title>
    <b:Year>2006</b:Year>
    <b:Publisher>Reserve Bank of India</b:Publisher>
    <b:City>Mumbai</b:City>
    <b:RefOrder>545</b:RefOrder>
  </b:Source>
  <b:Source>
    <b:Tag>Kar17</b:Tag>
    <b:SourceType>DocumentFromInternetSite</b:SourceType>
    <b:Guid>{ECE409D2-0709-4550-84F8-C9A90AA6EF1E}</b:Guid>
    <b:Title>Commodity Options in India</b:Title>
    <b:Year>2017</b:Year>
    <b:Month>April</b:Month>
    <b:Day>7</b:Day>
    <b:URL>https://ssrn.com/abstract=2984494</b:URL>
    <b:Author>
      <b:Author>
        <b:NameList>
          <b:Person>
            <b:Last>Karande</b:Last>
            <b:First>Kiran</b:First>
          </b:Person>
        </b:NameList>
      </b:Author>
    </b:Author>
    <b:RefOrder>546</b:RefOrder>
  </b:Source>
  <b:Source>
    <b:Tag>Ali12</b:Tag>
    <b:SourceType>JournalArticle</b:SourceType>
    <b:Guid>{0A2F4880-644E-4A83-9E84-C1EA29B53708}</b:Guid>
    <b:Author>
      <b:Author>
        <b:NameList>
          <b:Person>
            <b:Last>Ali</b:Last>
            <b:Middle>Z.</b:Middle>
            <b:First>Shayequa </b:First>
          </b:Person>
          <b:Person>
            <b:Last>Sidhu</b:Last>
            <b:First>R.S.</b:First>
          </b:Person>
          <b:Person>
            <b:Last>Vatta</b:Last>
            <b:First>Kamal</b:First>
          </b:Person>
        </b:NameList>
      </b:Author>
    </b:Author>
    <b:Title>Effectiveness of Minimum Support Price Policy for Paddy in India with a Case Study of Punjab</b:Title>
    <b:Year>2012</b:Year>
    <b:JournalName>Agricultural Economcis Research Review</b:JournalName>
    <b:Pages>231-242</b:Pages>
    <b:RefOrder>547</b:RefOrder>
  </b:Source>
  <b:Source>
    <b:Tag>Nit16</b:Tag>
    <b:SourceType>Report</b:SourceType>
    <b:Guid>{383EF411-E002-4093-95B9-1AB59B916B1F}</b:Guid>
    <b:Author>
      <b:Author>
        <b:Corporate>Niti Aayog</b:Corporate>
      </b:Author>
    </b:Author>
    <b:Title>Evaluation Report on Efficacy of Minimum Support Prices (MSP) on Farmers</b:Title>
    <b:Year>2016</b:Year>
    <b:Publisher>NITI AAYOG</b:Publisher>
    <b:City>New Delhi</b:City>
    <b:RefOrder>548</b:RefOrder>
  </b:Source>
  <b:Source>
    <b:Tag>Vas17</b:Tag>
    <b:SourceType>ArticleInAPeriodical</b:SourceType>
    <b:Guid>{D26C2C87-1EA9-45F9-9461-FCE5DBB595AF}</b:Guid>
    <b:Title>What is the lowdown on minimum support price for crops?</b:Title>
    <b:PeriodicalTitle>The Hindu</b:PeriodicalTitle>
    <b:Year>2017</b:Year>
    <b:Month>July</b:Month>
    <b:Day>22</b:Day>
    <b:Pages>3</b:Pages>
    <b:Author>
      <b:Author>
        <b:NameList>
          <b:Person>
            <b:Last>Vasudeva</b:Last>
            <b:First>Vikas</b:First>
          </b:Person>
        </b:NameList>
      </b:Author>
    </b:Author>
    <b:URL>https://www.thehindu.com/business/Economy/what-is-minimum-support-price-for-crops/article19331962.ece</b:URL>
    <b:PublicationTitle>The Hindu</b:PublicationTitle>
    <b:RefOrder>549</b:RefOrder>
  </b:Source>
  <b:Source>
    <b:Tag>Mul</b:Tag>
    <b:SourceType>InternetSite</b:SourceType>
    <b:Guid>{6766B028-B1EE-4AC8-9BA6-56D628B0BA7C}</b:Guid>
    <b:Author>
      <b:Author>
        <b:Corporate>MCX India</b:Corporate>
      </b:Author>
    </b:Author>
    <b:URL>https://www.mcxindia.com/</b:URL>
    <b:Year>2019</b:Year>
    <b:RefOrder>550</b:RefOrder>
  </b:Source>
  <b:Source>
    <b:Tag>Sou19</b:Tag>
    <b:SourceType>Report</b:SourceType>
    <b:Guid>{EF486293-6FC4-44F6-8CA3-A53A5F4848B2}</b:Guid>
    <b:Author>
      <b:Author>
        <b:Corporate>South Africa, Republic. Auditor General of South Africa (AGSA)(ZA)</b:Corporate>
      </b:Author>
    </b:Author>
    <b:Title>CONSOLIDATED GENERAL REPORT on the local government audit outcomes. MFMA 2017-18</b:Title>
    <b:Year>2019</b:Year>
    <b:Publisher>ADSA</b:Publisher>
    <b:City>Pretoria</b:City>
    <b:RefOrder>551</b:RefOrder>
  </b:Source>
  <b:Source>
    <b:Tag>Sou181</b:Tag>
    <b:SourceType>Report</b:SourceType>
    <b:Guid>{725CBFA6-0191-4927-985A-139B00A43E21}</b:Guid>
    <b:Author>
      <b:Author>
        <b:Corporate>South Africa, Republic. Auditor General of South Africa (AGSA) (ZA). </b:Corporate>
      </b:Author>
    </b:Author>
    <b:Title>CONSOLIDATED GENERAL REPORT on the local government audit outcomes. MFMA 2016-17 </b:Title>
    <b:Year>2018</b:Year>
    <b:Publisher>AGSA</b:Publisher>
    <b:City>Pretoria</b:City>
    <b:RefOrder>552</b:RefOrder>
  </b:Source>
  <b:Source>
    <b:Tag>Sou182</b:Tag>
    <b:SourceType>Report</b:SourceType>
    <b:Guid>{7B05C1DD-25F7-4D0F-BE5E-A9F1F52DEE99}</b:Guid>
    <b:Author>
      <b:Author>
        <b:Corporate>South Africa, Republic: National Treasury</b:Corporate>
      </b:Author>
    </b:Author>
    <b:Title>The state of local government finances and financial management as at 30 June 2018. Fourth quarter of the 2017/18 financial year</b:Title>
    <b:Year>2018</b:Year>
    <b:Publisher>Pretoria(ZA)</b:Publisher>
    <b:City>National Treasury.</b:City>
    <b:RefOrder>553</b:RefOrder>
  </b:Source>
  <b:Source>
    <b:Tag>Sha06</b:Tag>
    <b:SourceType>Report</b:SourceType>
    <b:Guid>{5C87F2BC-290E-46CE-B760-660CDE9903F3}</b:Guid>
    <b:Author>
      <b:Author>
        <b:Corporate>Shah, A. (ed) </b:Corporate>
      </b:Author>
    </b:Author>
    <b:Title>Public sector governance and accountability series local governance in developing countries </b:Title>
    <b:Year>2006</b:Year>
    <b:Publisher>Washington, D.C</b:Publisher>
    <b:City>World bank</b:City>
    <b:RefOrder>554</b:RefOrder>
  </b:Source>
  <b:Source>
    <b:Tag>Sha07</b:Tag>
    <b:SourceType>Report</b:SourceType>
    <b:Guid>{03439730-1BC1-4A99-8005-378334EE1E6C}</b:Guid>
    <b:Author>
      <b:Author>
        <b:Corporate>Shah, A. (ed)</b:Corporate>
      </b:Author>
    </b:Author>
    <b:Title>Public sector governance and accountability series budgeting and budgetary institutions. </b:Title>
    <b:Year>2007</b:Year>
    <b:Publisher>The International Bank for Reconstruction and Development/Washington, D.C.</b:Publisher>
    <b:City>The World Bank</b:City>
    <b:RefOrder>555</b:RefOrder>
  </b:Source>
  <b:Source>
    <b:Tag>Sim11</b:Tag>
    <b:SourceType>Report</b:SourceType>
    <b:Guid>{469443DA-DF16-4C8A-A9C8-3F322CBAA849}</b:Guid>
    <b:Author>
      <b:Author>
        <b:Corporate>Simson, R, Sharma, N and Aziz, I</b:Corporate>
      </b:Author>
    </b:Author>
    <b:Title>A guide to public financial management literature: For practitioners in developing countries</b:Title>
    <b:Year>2011</b:Year>
    <b:Publisher>OVERSEAS DEVELOPMENT INSTITUTE</b:Publisher>
    <b:RefOrder>556</b:RefOrder>
  </b:Source>
  <b:Source>
    <b:Tag>Has14</b:Tag>
    <b:SourceType>Report</b:SourceType>
    <b:Guid>{03F19132-6887-46D4-8E25-ABBA801B7724}</b:Guid>
    <b:Author>
      <b:Author>
        <b:NameList>
          <b:Person>
            <b:Last>Hashim</b:Last>
            <b:First>A</b:First>
          </b:Person>
        </b:NameList>
      </b:Author>
    </b:Author>
    <b:Title>A Handbook on Financial Management Information Systems for Government-A Practitioners Guide for Setting Reform Priorities, Systems Design and Implementation (Based on a compilation of experiences in World Bank-financed projects)</b:Title>
    <b:Year>2014</b:Year>
    <b:Publisher>World Bank</b:Publisher>
    <b:City>Washing D.C</b:City>
    <b:RefOrder>557</b:RefOrder>
  </b:Source>
  <b:Source>
    <b:Tag>Far17</b:Tag>
    <b:SourceType>Book</b:SourceType>
    <b:Guid>{29B26139-E752-4086-87A1-ED04E04D35D5}</b:Guid>
    <b:Author>
      <b:Author>
        <b:Corporate>Farvacque-Vitkovic, C and Kopanyi, M (eds)</b:Corporate>
      </b:Author>
    </b:Author>
    <b:Title> Municipal Finances A Handbook for Local Governments.</b:Title>
    <b:Year>2017</b:Year>
    <b:RefOrder>558</b:RefOrder>
  </b:Source>
  <b:Source>
    <b:Tag>Bir11</b:Tag>
    <b:SourceType>Report</b:SourceType>
    <b:Guid>{9627970E-9949-446C-A210-C9A3CDF84441}</b:Guid>
    <b:Author>
      <b:Author>
        <b:NameList>
          <b:Person>
            <b:Last>Bird</b:Last>
            <b:First>R</b:First>
          </b:Person>
        </b:NameList>
      </b:Author>
    </b:Author>
    <b:Title>Subnational Taxation in Developing Countries: A Review of the Literature.” Policy Research Working Paper 5450</b:Title>
    <b:Year>2011</b:Year>
    <b:City>Washington, DC</b:City>
    <b:Publisher>World Bank</b:Publisher>
    <b:RefOrder>559</b:RefOrder>
  </b:Source>
  <b:Source>
    <b:Tag>Bah13</b:Tag>
    <b:SourceType>Book</b:SourceType>
    <b:Guid>{40320F9E-1AD2-46D6-ABFC-421BDF28F7D3}</b:Guid>
    <b:Author>
      <b:Author>
        <b:Corporate>Bahl, R.W., Linn, J.F and Wetzel, D.L (eds)</b:Corporate>
      </b:Author>
    </b:Author>
    <b:Title>Financing Metropolitan Governments in Developing Countries</b:Title>
    <b:Year>2013</b:Year>
    <b:Publisher>Lincoln Institute of Land Policy.</b:Publisher>
    <b:City>Cambridge, MA</b:City>
    <b:RefOrder>560</b:RefOrder>
  </b:Source>
  <b:Source>
    <b:Tag>Sla09</b:Tag>
    <b:SourceType>Report</b:SourceType>
    <b:Guid>{588B2EF9-BF73-4AAA-BD59-D421D845BD3C}</b:Guid>
    <b:Author>
      <b:Author>
        <b:NameList>
          <b:Person>
            <b:Last>Slack</b:Last>
            <b:First>E</b:First>
          </b:Person>
        </b:NameList>
      </b:Author>
    </b:Author>
    <b:Title>Guide to Municipal Finance. The Human Settlements Financing Tools and Best Practices Series</b:Title>
    <b:Year>2009</b:Year>
    <b:City>Nairobi, Kenya.</b:City>
    <b:Publisher>UN HABITAT, Nairobi, Kenya.</b:Publisher>
    <b:RefOrder>561</b:RefOrder>
  </b:Source>
  <b:Source>
    <b:Tag>Kau031</b:Tag>
    <b:SourceType>Report</b:SourceType>
    <b:Guid>{F0816D66-1171-4299-BC41-CDC46DF03233}</b:Guid>
    <b:Author>
      <b:Author>
        <b:NameList>
          <b:Person>
            <b:Last>Kauzya</b:Last>
            <b:First>M.J</b:First>
          </b:Person>
        </b:NameList>
      </b:Author>
    </b:Author>
    <b:Title>Local Governance Capacity-Building for Full-Range Participation: Concepts, Frameworks and Experiences in African Countries</b:Title>
    <b:Year>2003</b:Year>
    <b:Publisher>United Nations.</b:Publisher>
    <b:City> Geneva</b:City>
    <b:RefOrder>562</b:RefOrder>
  </b:Source>
  <b:Source>
    <b:Tag>Sou03</b:Tag>
    <b:SourceType>Report</b:SourceType>
    <b:Guid>{A32D9343-9839-4F00-AA64-11AC9A95BDCF}</b:Guid>
    <b:Author>
      <b:Author>
        <b:Corporate>South Africa, Republic(RSA)</b:Corporate>
      </b:Author>
    </b:Author>
    <b:Title>Local Government: Municipal Finance Management Act, Act 56 of 2003</b:Title>
    <b:Year>2003</b:Year>
    <b:Publisher>Government Printers </b:Publisher>
    <b:City>Pretoria(ZA)</b:City>
    <b:RefOrder>563</b:RefOrder>
  </b:Source>
  <b:Source>
    <b:Tag>Mik11</b:Tag>
    <b:SourceType>JournalArticle</b:SourceType>
    <b:Guid>{49336701-2AF8-4A1B-8919-C6F8529DB5D1}</b:Guid>
    <b:Title>Reform for Improved Efficiency in Public Budgeting and Finance: Improvemtns, Disappointments, and Work In Progress</b:Title>
    <b:Year>2011</b:Year>
    <b:Author>
      <b:Author>
        <b:Corporate>Mikesell, J.L and Mullins, D.R</b:Corporate>
      </b:Author>
    </b:Author>
    <b:JournalName>Public Budgeting &amp; Finance. Volume Number 31; Issue Number 4</b:JournalName>
    <b:Pages>http://doi.org10.1111/j.1540-5850.2011.00998.x</b:Pages>
    <b:RefOrder>564</b:RefOrder>
  </b:Source>
  <b:Source>
    <b:Tag>DAC08</b:Tag>
    <b:SourceType>Book</b:SourceType>
    <b:Guid>{EAEA806B-4630-47E0-A4D7-51CBF0824B73}</b:Guid>
    <b:Author>
      <b:Author>
        <b:NameList>
          <b:Person>
            <b:Last>Matten</b:Last>
            <b:First>A.</b:First>
            <b:Middle>Crane and</b:Middle>
          </b:Person>
        </b:NameList>
      </b:Author>
    </b:Author>
    <b:Title>Editor's introduction. Corporate social responsibility as a field of scholarship</b:Title>
    <b:Year>2008</b:Year>
    <b:City>London</b:City>
    <b:Publisher>Sage Publication</b:Publisher>
    <b:RefOrder>565</b:RefOrder>
  </b:Source>
  <b:Source>
    <b:Tag>Und</b:Tag>
    <b:SourceType>Misc</b:SourceType>
    <b:Guid>{C4BE44F1-C2DF-43A8-B605-FE4AEA89A0E3}</b:Guid>
    <b:Title>Undang-Undang Nomor 40 Tahun 2007 Tentang Perseroan Terbatas </b:Title>
    <b:Publisher>http://bapepam.go.id/r eksadana/files/r egulasi/UU402007PerseroanTerbatas.pdf.</b:Publisher>
    <b:RefOrder>566</b:RefOrder>
  </b:Source>
  <b:Source>
    <b:Tag>Fis811</b:Tag>
    <b:SourceType>Book</b:SourceType>
    <b:Guid>{D0CB2F3D-7ACD-4ECD-B95A-0E67DFEFF5F0}</b:Guid>
    <b:Title>Getting to Yes</b:Title>
    <b:Year>1981</b:Year>
    <b:Author>
      <b:Author>
        <b:NameList>
          <b:Person>
            <b:Last>Fisher</b:Last>
            <b:First>Roger</b:First>
          </b:Person>
          <b:Person>
            <b:Last>Ury</b:Last>
            <b:First>William</b:First>
          </b:Person>
        </b:NameList>
      </b:Author>
    </b:Author>
    <b:City>United Kingdom</b:City>
    <b:Publisher>Penguin Group</b:Publisher>
    <b:RefOrder>567</b:RefOrder>
  </b:Source>
  <b:Source>
    <b:Tag>Ber54</b:Tag>
    <b:SourceType>JournalArticle</b:SourceType>
    <b:Guid>{ADA9A070-9A82-4BEC-9758-D5DD39DB28E8}</b:Guid>
    <b:Title>Exposition of a New Theory on the Measurement of Risk (Translation of Bernoulli D 1738 Specimen theoriae novae de mensura sortis;Papers Imp. Acad. Sci. St. Petersburg 5 175–192)</b:Title>
    <b:Year>1954 [1738]</b:Year>
    <b:Author>
      <b:Author>
        <b:NameList>
          <b:Person>
            <b:Last>Bernoulli</b:Last>
            <b:First>Daniel</b:First>
          </b:Person>
        </b:NameList>
      </b:Author>
    </b:Author>
    <b:JournalName>Econometrica</b:JournalName>
    <b:Pages>vol. 22, no. 1, pp. 23-36</b:Pages>
    <b:RefOrder>568</b:RefOrder>
  </b:Source>
  <b:Source>
    <b:Tag>von44</b:Tag>
    <b:SourceType>Book</b:SourceType>
    <b:Guid>{8BEEEC6B-51D0-4513-A5AB-0661D4646028}</b:Guid>
    <b:Title>Theory of Games and Economic Behavior</b:Title>
    <b:Year>1944</b:Year>
    <b:City>US</b:City>
    <b:Publisher>Princeton University Press</b:Publisher>
    <b:Author>
      <b:Author>
        <b:NameList>
          <b:Person>
            <b:Last>von Neumann</b:Last>
            <b:First>John</b:First>
          </b:Person>
          <b:Person>
            <b:Last>Morgenstern</b:Last>
            <b:First>Oskar</b:First>
          </b:Person>
        </b:NameList>
      </b:Author>
    </b:Author>
    <b:RefOrder>569</b:RefOrder>
  </b:Source>
  <b:Source>
    <b:Tag>Kah79</b:Tag>
    <b:SourceType>JournalArticle</b:SourceType>
    <b:Guid>{6DB93EAA-DDF7-4A3E-B943-1E4AAA73115C}</b:Guid>
    <b:Title>Prospect Theory: An Analysis of Decision under Risk</b:Title>
    <b:JournalName>Econometrica</b:JournalName>
    <b:Year>1979</b:Year>
    <b:Pages>vol. 47, nb. 2, pp. 263-291</b:Pages>
    <b:Author>
      <b:Author>
        <b:NameList>
          <b:Person>
            <b:Last>Kahneman</b:Last>
            <b:First>Daniel</b:First>
          </b:Person>
          <b:Person>
            <b:Last>Tversky</b:Last>
            <b:First>Amos</b:First>
          </b:Person>
        </b:NameList>
      </b:Author>
    </b:Author>
    <b:RefOrder>570</b:RefOrder>
  </b:Source>
  <b:Source>
    <b:Tag>Kon10</b:Tag>
    <b:SourceType>JournalArticle</b:SourceType>
    <b:Guid>{9C6BAFE4-163F-4B58-A757-71989123316B}</b:Guid>
    <b:Title>Decision Utility Theory: Back to von Neumann, Morgenstern, and Markowitz</b:Title>
    <b:JournalName>MPRA: Munich Personal RePEc Archive</b:JournalName>
    <b:Year>2010</b:Year>
    <b:Pages>26</b:Pages>
    <b:Author>
      <b:Author>
        <b:NameList>
          <b:Person>
            <b:Last>Kontek</b:Last>
            <b:First>Krzysztof</b:First>
          </b:Person>
        </b:NameList>
      </b:Author>
    </b:Author>
    <b:RefOrder>571</b:RefOrder>
  </b:Source>
  <b:Source>
    <b:Tag>Sha09</b:Tag>
    <b:SourceType>ConferenceProceedings</b:SourceType>
    <b:Guid>{2F83AD64-B4EC-4267-8D29-1B066C598B23}</b:Guid>
    <b:Title>An Analysis of Feasible Solutions for Multi-Issue Negotiation Involving Nonlinear Utility Functions</b:Title>
    <b:Year>2009</b:Year>
    <b:Publisher>AAMAS</b:Publisher>
    <b:City>Budapest, Hungary</b:City>
    <b:Author>
      <b:Author>
        <b:NameList>
          <b:Person>
            <b:Last>Shaheen</b:Last>
            <b:First>Fatima</b:First>
          </b:Person>
          <b:Person>
            <b:Last>Wooldridge</b:Last>
            <b:First>Michael</b:First>
          </b:Person>
          <b:Person>
            <b:Last>Jennings</b:Last>
            <b:Middle>R</b:Middle>
            <b:First>Nicholas</b:First>
          </b:Person>
        </b:NameList>
      </b:Author>
    </b:Author>
    <b:Pages>pp. 1041-1048</b:Pages>
    <b:ConferenceName>8th International Conference on Autonomous Agents and Multiagent Systems</b:ConferenceName>
    <b:RefOrder>572</b:RefOrder>
  </b:Source>
  <b:Source>
    <b:Tag>Sur16</b:Tag>
    <b:SourceType>InternetSite</b:SourceType>
    <b:Guid>{06E91AFC-5A0E-440D-B3F8-5EFBF3373E63}</b:Guid>
    <b:Title>Difference Between Cardinal and Ordinal Utility</b:Title>
    <b:Year>2016</b:Year>
    <b:InternetSiteTitle>Key Differences</b:InternetSiteTitle>
    <b:Month>5</b:Month>
    <b:Day>30</b:Day>
    <b:URL>https://keydifferences.com/difference-between-cardinal-and-ordinal-utility.html</b:URL>
    <b:Author>
      <b:Author>
        <b:NameList>
          <b:Person>
            <b:Last>Surbhi</b:Last>
            <b:First>S</b:First>
          </b:Person>
        </b:NameList>
      </b:Author>
    </b:Author>
    <b:RefOrder>573</b:RefOrder>
  </b:Source>
  <b:Source>
    <b:Tag>Eco19</b:Tag>
    <b:SourceType>InternetSite</b:SourceType>
    <b:Guid>{EE230913-0059-461F-B186-4EA5190AF450}</b:Guid>
    <b:Title>Economic Utility</b:Title>
    <b:Year>2019</b:Year>
    <b:InternetSiteTitle>Wall Street Mojo</b:InternetSiteTitle>
    <b:URL>https://www.wallstreetmojo.com/economic-utility/</b:URL>
    <b:Author>
      <b:Author>
        <b:NameList>
          <b:Person>
            <b:Last>Wall Street Mojo</b:Last>
          </b:Person>
        </b:NameList>
      </b:Author>
    </b:Author>
    <b:RefOrder>574</b:RefOrder>
  </b:Source>
  <b:Source>
    <b:Tag>Mos18</b:Tag>
    <b:SourceType>Book</b:SourceType>
    <b:Guid>{3CA92B10-FEBA-43E1-9404-FB124A798EBD}</b:Guid>
    <b:Title>Measuring Utility: From the Marginal Revolution to Behavioral Economics</b:Title>
    <b:Year>2018</b:Year>
    <b:City>Oxford, UK</b:City>
    <b:Publisher>Oxford Scholarship Online</b:Publisher>
    <b:Author>
      <b:Author>
        <b:NameList>
          <b:Person>
            <b:Last>Moscati</b:Last>
            <b:First>Ivan</b:First>
          </b:Person>
        </b:NameList>
      </b:Author>
    </b:Author>
    <b:RefOrder>575</b:RefOrder>
  </b:Source>
  <b:Source>
    <b:Tag>MBN19</b:Tag>
    <b:SourceType>InternetSite</b:SourceType>
    <b:Guid>{85813906-3004-4C7F-BAD1-43E1C7FB87A3}</b:Guid>
    <b:Title>What Is Utility? Definition And Meaning</b:Title>
    <b:Year>2019</b:Year>
    <b:Author>
      <b:Author>
        <b:NameList>
          <b:Person>
            <b:Last>Market Business News</b:Last>
          </b:Person>
        </b:NameList>
      </b:Author>
    </b:Author>
    <b:InternetSiteTitle>Market Business News</b:InternetSiteTitle>
    <b:URL>https://marketbusinessnews.com/financial-glossary/utility-definition-meaning/</b:URL>
    <b:RefOrder>576</b:RefOrder>
  </b:Source>
  <b:Source>
    <b:Tag>Uti</b:Tag>
    <b:SourceType>Report</b:SourceType>
    <b:Guid>{5F6BC5C5-FF3C-485B-9DFC-2559F396C14B}</b:Guid>
    <b:Title>Utility Functions, Prices, and Negotiation</b:Title>
    <b:Year>2008</b:Year>
    <b:Author>
      <b:Author>
        <b:NameList>
          <b:Person>
            <b:Last>Wilkes</b:Last>
            <b:First>John</b:First>
          </b:Person>
        </b:NameList>
      </b:Author>
    </b:Author>
    <b:Publisher> John Wiley &amp; Sons Inc, HP Development Company</b:Publisher>
    <b:City>California, USA</b:City>
    <b:RefOrder>577</b:RefOrder>
  </b:Source>
  <b:Source>
    <b:Tag>McD98</b:Tag>
    <b:SourceType>Book</b:SourceType>
    <b:Guid>{202B0E53-0C8E-4EF8-BB41-4BB77E48A606}</b:Guid>
    <b:Title>Risk Taking in International Politics</b:Title>
    <b:Year>1998</b:Year>
    <b:City>USA</b:City>
    <b:Publisher>The University of Michigan Press</b:Publisher>
    <b:Author>
      <b:Author>
        <b:NameList>
          <b:Person>
            <b:Last>McDermott</b:Last>
            <b:First>Rose</b:First>
          </b:Person>
        </b:NameList>
      </b:Author>
    </b:Author>
    <b:RefOrder>578</b:RefOrder>
  </b:Source>
  <b:Source>
    <b:Tag>Goy02</b:Tag>
    <b:SourceType>Report</b:SourceType>
    <b:Guid>{FD7F9057-59C4-478D-83BC-AC452ACBC63A}</b:Guid>
    <b:Title>Von Neumann And Morgenstern Utility Function</b:Title>
    <b:Year>2002</b:Year>
    <b:Publisher>Department of Computer Science and Engineering - Indian Institute of Technology Delhi</b:Publisher>
    <b:City>Delhi</b:City>
    <b:Author>
      <b:Author>
        <b:NameList>
          <b:Person>
            <b:Last>Goyal</b:Last>
            <b:First>Vishrut</b:First>
          </b:Person>
          <b:Person>
            <b:Last>Saxena</b:Last>
            <b:Middle>S</b:Middle>
            <b:First>Anuj</b:First>
          </b:Person>
        </b:NameList>
      </b:Author>
    </b:Author>
    <b:RefOrder>579</b:RefOrder>
  </b:Source>
  <b:Source>
    <b:Tag>Neu44</b:Tag>
    <b:SourceType>Book</b:SourceType>
    <b:Guid>{028FB458-9E9F-4DAD-A29B-4329D582C8E0}</b:Guid>
    <b:Title>Theory of Games and Economic Behavior (Third ed.)</b:Title>
    <b:Year>(1953) [1944]</b:Year>
    <b:Publisher>Princeton University Press</b:Publisher>
    <b:City>Princeton, NJ</b:City>
    <b:Author>
      <b:Author>
        <b:NameList>
          <b:Person>
            <b:Last>von Neumann</b:Last>
            <b:First>John</b:First>
          </b:Person>
          <b:Person>
            <b:Last>Morgenstern</b:Last>
            <b:First>Oskar</b:First>
          </b:Person>
        </b:NameList>
      </b:Author>
    </b:Author>
    <b:RefOrder>580</b:RefOrder>
  </b:Source>
  <b:Source>
    <b:Tag>Mos51</b:Tag>
    <b:SourceType>JournalArticle</b:SourceType>
    <b:Guid>{D0BB410F-F89C-4C1C-926A-F8D59096403A}</b:Guid>
    <b:Title>An Experimental Measurement of Utility</b:Title>
    <b:JournalName>The Journal of Political Economy</b:JournalName>
    <b:Year>1951</b:Year>
    <b:Pages>vol. 59, no. 5, pp. 371-404</b:Pages>
    <b:Author>
      <b:Author>
        <b:NameList>
          <b:Person>
            <b:Last>Mosteller</b:Last>
            <b:First>Frederick</b:First>
          </b:Person>
          <b:Person>
            <b:Last>Nogee</b:Last>
            <b:First>Philip</b:First>
          </b:Person>
        </b:NameList>
      </b:Author>
    </b:Author>
    <b:RefOrder>581</b:RefOrder>
  </b:Source>
  <b:Source>
    <b:Tag>Dav57</b:Tag>
    <b:SourceType>JournalArticle</b:SourceType>
    <b:Guid>{B5ED1B96-D272-41D4-B0FB-C461411A524E}</b:Guid>
    <b:Title>Decision Making: An Experimental Approach</b:Title>
    <b:JournalName>Stanford University Press</b:JournalName>
    <b:Year>1957</b:Year>
    <b:Pages>121</b:Pages>
    <b:Author>
      <b:Author>
        <b:NameList>
          <b:Person>
            <b:Last>Davidson</b:Last>
            <b:First>Donald</b:First>
          </b:Person>
          <b:Person>
            <b:Last>Suppes</b:Last>
            <b:First>Patrick</b:First>
          </b:Person>
        </b:NameList>
      </b:Author>
    </b:Author>
    <b:RefOrder>582</b:RefOrder>
  </b:Source>
  <b:Source>
    <b:Tag>Sup</b:Tag>
    <b:SourceType>Report</b:SourceType>
    <b:Guid>{5835B82B-2A48-43DC-B294-A4811D9578E2}</b:Guid>
    <b:Title>A Non-linear Model for the Experimental Measurement of Utility</b:Title>
    <b:Author>
      <b:Author>
        <b:NameList>
          <b:Person>
            <b:Last>Suppes</b:Last>
            <b:First>Patrick</b:First>
          </b:Person>
          <b:Person>
            <b:Last>Walsh</b:Last>
            <b:First>Karol</b:First>
          </b:Person>
        </b:NameList>
      </b:Author>
    </b:Author>
    <b:Publisher>Applied Mathematics and Statistics Laboratory</b:Publisher>
    <b:City>Stanford, California</b:City>
    <b:Year>1957</b:Year>
    <b:RefOrder>583</b:RefOrder>
  </b:Source>
  <b:Source>
    <b:Tag>Bec64</b:Tag>
    <b:SourceType>JournalArticle</b:SourceType>
    <b:Guid>{A4B6A534-72F0-44BF-8D68-28741BFBB54E}</b:Guid>
    <b:Title>Measuring Utility by a Single‐response Sequential Method</b:Title>
    <b:Year>1964</b:Year>
    <b:JournalName>Journal of the Society for General Systems Research</b:JournalName>
    <b:Pages>vol. 9(3), 7</b:Pages>
    <b:Author>
      <b:Author>
        <b:NameList>
          <b:Person>
            <b:Last>Becker</b:Last>
            <b:Middle>M</b:Middle>
            <b:First>Gordon</b:First>
          </b:Person>
          <b:Person>
            <b:Last>Degroot</b:Last>
            <b:Middle>H</b:Middle>
            <b:First>Morris</b:First>
          </b:Person>
          <b:Person>
            <b:Last>Marscha</b:Last>
            <b:First>Jacob</b:First>
          </b:Person>
        </b:NameList>
      </b:Author>
    </b:Author>
    <b:RefOrder>584</b:RefOrder>
  </b:Source>
  <b:Source>
    <b:Tag>Kar74</b:Tag>
    <b:SourceType>Report</b:SourceType>
    <b:Guid>{E0D79065-C9C8-4616-8F78-3852102D1C2B}</b:Guid>
    <b:Title>The Effect of Probabilities on the Subjective Evaluation of Lotteries</b:Title>
    <b:JournalName>MASSACHUSETTS INSTITUTE OF TECHNOLOGY</b:JournalName>
    <b:Year>1974</b:Year>
    <b:Author>
      <b:Author>
        <b:NameList>
          <b:Person>
            <b:Last>Karmarkar</b:Last>
            <b:Middle>S</b:Middle>
            <b:First>Uday</b:First>
          </b:Person>
        </b:NameList>
      </b:Author>
    </b:Author>
    <b:Publisher>Massachusetts Institute of Technology</b:Publisher>
    <b:City>Cambridge, Massachusetts</b:City>
    <b:RefOrder>585</b:RefOrder>
  </b:Source>
  <b:Source>
    <b:Tag>McC83</b:Tag>
    <b:SourceType>Report</b:SourceType>
    <b:Guid>{D27B3375-A94F-4FD7-BCE5-7C8F7DC3999A}</b:Guid>
    <b:Title>Empirical Demonstration that Expected Utility Decision Analysis is Not Operational</b:Title>
    <b:Year>1983</b:Year>
    <b:Publisher>Massachusetts Institute of Technology</b:Publisher>
    <b:City>Cambridge, USA</b:City>
    <b:Author>
      <b:Author>
        <b:NameList>
          <b:Person>
            <b:Last>McCord</b:Last>
            <b:First>Mark</b:First>
          </b:Person>
          <b:Person>
            <b:Last>de Neufville</b:Last>
            <b:First>Richard</b:First>
          </b:Person>
        </b:NameList>
      </b:Author>
    </b:Author>
    <b:RefOrder>586</b:RefOrder>
  </b:Source>
  <b:Source>
    <b:Tag>Her82</b:Tag>
    <b:SourceType>JournalArticle</b:SourceType>
    <b:Guid>{378CABA9-D522-4A7B-A731-B11F399E5DBD}</b:Guid>
    <b:Title>Sources of Bias in Assessment Procedures for Utility Functions</b:Title>
    <b:Year>1982</b:Year>
    <b:Author>
      <b:Author>
        <b:NameList>
          <b:Person>
            <b:Last>Hershey</b:Last>
            <b:Middle>C</b:Middle>
            <b:First>John</b:First>
          </b:Person>
          <b:Person>
            <b:Last>Kunreuther</b:Last>
            <b:Middle>C</b:Middle>
            <b:First>Howard</b:First>
          </b:Person>
          <b:Person>
            <b:Last>Schoemaker</b:Last>
            <b:First>Paul</b:First>
          </b:Person>
        </b:NameList>
      </b:Author>
    </b:Author>
    <b:JournalName>Management Science</b:JournalName>
    <b:Pages>vol. 28, issue 8, pp. 936-954</b:Pages>
    <b:RefOrder>587</b:RefOrder>
  </b:Source>
  <b:Source>
    <b:Tag>von33</b:Tag>
    <b:SourceType>JournalArticle</b:SourceType>
    <b:Guid>{3034AEE1-4F9A-480D-A578-101EB5C374DD}</b:Guid>
    <b:Title>Uber die Wirkung von Bereichsbildungen im Spurenfeld [The effects of field formation in the trace field]</b:Title>
    <b:JournalName>Psychologische Forschung</b:JournalName>
    <b:Year>1933</b:Year>
    <b:Pages>vol. 18, pp. 299–342</b:Pages>
    <b:Author>
      <b:Author>
        <b:NameList>
          <b:Person>
            <b:Last>von Restorff</b:Last>
            <b:First>Hedwig</b:First>
          </b:Person>
        </b:NameList>
      </b:Author>
    </b:Author>
    <b:RefOrder>588</b:RefOrder>
  </b:Source>
  <b:Source>
    <b:Tag>Tve92</b:Tag>
    <b:SourceType>JournalArticle</b:SourceType>
    <b:Guid>{C0A87EFC-AE7B-4F2A-B962-20CFECA385E1}</b:Guid>
    <b:Author>
      <b:Author>
        <b:NameList>
          <b:Person>
            <b:Last>Tversky</b:Last>
            <b:First>Amos</b:First>
          </b:Person>
          <b:Person>
            <b:Last>Kahneman</b:Last>
            <b:First>Daniel</b:First>
          </b:Person>
        </b:NameList>
      </b:Author>
    </b:Author>
    <b:Title>Advances in Prospect Theory: Cumulative Representation of Uncertainty</b:Title>
    <b:JournalName>Journal of Risk and Uncertainty</b:JournalName>
    <b:Year>1992</b:Year>
    <b:Pages>vol. 5, pp. 297-323</b:Pages>
    <b:RefOrder>589</b:RefOrder>
  </b:Source>
  <b:Source>
    <b:Tag>Qui82</b:Tag>
    <b:SourceType>JournalArticle</b:SourceType>
    <b:Guid>{4090690E-54D4-4EB4-A941-3F4135D78391}</b:Guid>
    <b:Title>A Theory of Anticipated Utility</b:Title>
    <b:JournalName>Journal of Economic Behavior and Organization</b:JournalName>
    <b:Year>1982</b:Year>
    <b:Pages>vol. 3, pp. 323-343</b:Pages>
    <b:Author>
      <b:Author>
        <b:NameList>
          <b:Person>
            <b:Last>Quiggin</b:Last>
            <b:First>John</b:First>
          </b:Person>
        </b:NameList>
      </b:Author>
    </b:Author>
    <b:RefOrder>590</b:RefOrder>
  </b:Source>
  <b:Source>
    <b:Tag>Sch89</b:Tag>
    <b:SourceType>JournalArticle</b:SourceType>
    <b:Guid>{55391ECE-C5D1-4C77-AB9F-DE4552AEF8A9}</b:Guid>
    <b:Author>
      <b:Author>
        <b:NameList>
          <b:Person>
            <b:Last>Schmeidler</b:Last>
            <b:First>David</b:First>
          </b:Person>
        </b:NameList>
      </b:Author>
    </b:Author>
    <b:Title>Subjective Probability and Expected Utility without Additivity</b:Title>
    <b:JournalName>Econometrica</b:JournalName>
    <b:Year>1989</b:Year>
    <b:Pages>vol. 57, pp. 571-587</b:Pages>
    <b:RefOrder>591</b:RefOrder>
  </b:Source>
  <b:Source>
    <b:Tag>Sim82</b:Tag>
    <b:SourceType>JournalArticle</b:SourceType>
    <b:Guid>{7B1DC471-620E-460D-9EAB-7C0D2E92A086}</b:Guid>
    <b:Title>Models of Bounded Rationality. Volume 1: Economic Analysis and Public Policy. Volume 2: Behavioural Economics and Business Organization</b:Title>
    <b:JournalName>MIT Press</b:JournalName>
    <b:Year>1982</b:Year>
    <b:Pages>pp. 478-505</b:Pages>
    <b:Author>
      <b:Author>
        <b:NameList>
          <b:Person>
            <b:Last>Simon</b:Last>
            <b:Middle>A</b:Middle>
            <b:First>Herbert</b:First>
          </b:Person>
        </b:NameList>
      </b:Author>
    </b:Author>
    <b:RefOrder>592</b:RefOrder>
  </b:Source>
  <b:Source>
    <b:Tag>Loo87</b:Tag>
    <b:SourceType>JournalArticle</b:SourceType>
    <b:Guid>{9A6C45C7-3448-4A3F-9C81-51716AF31F86}</b:Guid>
    <b:Title>Some Implications of a More General Form of Regret Theory</b:Title>
    <b:JournalName>J. Econ. Theory</b:JournalName>
    <b:Year>1987</b:Year>
    <b:Pages>vol. 41(2), pp. 270–87</b:Pages>
    <b:Author>
      <b:Author>
        <b:NameList>
          <b:Person>
            <b:Last>Loomes</b:Last>
            <b:First>Graham</b:First>
          </b:Person>
          <b:Person>
            <b:Last>Sugden</b:Last>
            <b:First>Robert</b:First>
          </b:Person>
        </b:NameList>
      </b:Author>
    </b:Author>
    <b:RefOrder>593</b:RefOrder>
  </b:Source>
  <b:Source>
    <b:Tag>Che79</b:Tag>
    <b:SourceType>JournalArticle</b:SourceType>
    <b:Guid>{AE374E6E-18E6-4EF9-BFED-88F6E3C7698B}</b:Guid>
    <b:Title>Alpha-nu Choice Theory: a Generalisation of Expected Utility Theory</b:Title>
    <b:JournalName>working paper 669, U. British Columbia</b:JournalName>
    <b:Year>1979</b:Year>
    <b:Author>
      <b:Author>
        <b:NameList>
          <b:Person>
            <b:Last>Chew</b:Last>
            <b:First>Soo Hong</b:First>
          </b:Person>
          <b:Person>
            <b:Last>MacCrimmon</b:Last>
            <b:First>Kenneth</b:First>
          </b:Person>
        </b:NameList>
      </b:Author>
    </b:Author>
    <b:RefOrder>594</b:RefOrder>
  </b:Source>
  <b:Source>
    <b:Tag>Bel82</b:Tag>
    <b:SourceType>JournalArticle</b:SourceType>
    <b:Guid>{9BB94577-C0A6-4392-95D8-CFD1C62F200B}</b:Guid>
    <b:Author>
      <b:Author>
        <b:NameList>
          <b:Person>
            <b:Last>Bell</b:Last>
            <b:First>David</b:First>
          </b:Person>
        </b:NameList>
      </b:Author>
    </b:Author>
    <b:Title>Regret in Decision Making under Uncertainty</b:Title>
    <b:JournalName>Operations Res.</b:JournalName>
    <b:Year>1982</b:Year>
    <b:Pages>vol. 20, pp. 961–981</b:Pages>
    <b:RefOrder>595</b:RefOrder>
  </b:Source>
  <b:Source>
    <b:Tag>Che911</b:Tag>
    <b:SourceType>JournalArticle</b:SourceType>
    <b:Guid>{BEF0AA70-ACFA-48BB-B41F-4F19AC43514B}</b:Guid>
    <b:Title>Mixture Symmetry and Quadratic Utility</b:Title>
    <b:JournalName>Econometrica</b:JournalName>
    <b:Year>1991</b:Year>
    <b:Pages>vol. 59, pp. 139–63</b:Pages>
    <b:Author>
      <b:Author>
        <b:NameList>
          <b:Person>
            <b:Last>Chew</b:Last>
            <b:First>Soo</b:First>
            <b:Middle>Hong</b:Middle>
          </b:Person>
          <b:Person>
            <b:Last>Larry</b:Last>
            <b:First>Epstein,</b:First>
            <b:Middle>G.</b:Middle>
          </b:Person>
          <b:Person>
            <b:Last>Segal</b:Last>
            <b:First>Uzi</b:First>
          </b:Person>
        </b:NameList>
      </b:Author>
    </b:Author>
    <b:RefOrder>596</b:RefOrder>
  </b:Source>
  <b:Source>
    <b:Tag>Qui81</b:Tag>
    <b:SourceType>JournalArticle</b:SourceType>
    <b:Guid>{DA0DF23B-365B-4879-8D98-4E7B6A8B54A4}</b:Guid>
    <b:Title>Risk perception and risk aversion among Australian farmers</b:Title>
    <b:JournalName>Australian Journal of Agricultural Recourse Economics</b:JournalName>
    <b:Year>1981</b:Year>
    <b:Pages>vol. 25, pp. 160-169</b:Pages>
    <b:Author>
      <b:Author>
        <b:NameList>
          <b:Person>
            <b:Last>Quiggin</b:Last>
            <b:First>John</b:First>
          </b:Person>
        </b:NameList>
      </b:Author>
    </b:Author>
    <b:RefOrder>597</b:RefOrder>
  </b:Source>
  <b:Source>
    <b:Tag>Vis89</b:Tag>
    <b:SourceType>JournalArticle</b:SourceType>
    <b:Guid>{37A780E6-9E62-44A9-B4B7-EF79AEEE61A8}</b:Guid>
    <b:Author>
      <b:Author>
        <b:NameList>
          <b:Person>
            <b:Last>Viscusi</b:Last>
            <b:First>Kip</b:First>
          </b:Person>
        </b:NameList>
      </b:Author>
    </b:Author>
    <b:Title>Prospective Reference Theory: Toward an Explanation of the Paradoxes</b:Title>
    <b:JournalName>Journal of Risk and Uncertainty</b:JournalName>
    <b:Year>1989</b:Year>
    <b:Pages>vol. 2, pp. 235-264</b:Pages>
    <b:RefOrder>598</b:RefOrder>
  </b:Source>
  <b:Source>
    <b:Tag>Sta00</b:Tag>
    <b:SourceType>JournalArticle</b:SourceType>
    <b:Guid>{9F39999B-694C-4A42-BE79-9E57546B44D0}</b:Guid>
    <b:Title>Developments in Non-Expected Utility Theory: The Hunt for a Descriptive Theory of Choice under Risk</b:Title>
    <b:JournalName>Journal of Economic Literature</b:JournalName>
    <b:Year>2000</b:Year>
    <b:Pages>vol. 38, pp. 332–382</b:Pages>
    <b:Author>
      <b:Author>
        <b:NameList>
          <b:Person>
            <b:Last>Starmer</b:Last>
            <b:First>Chris</b:First>
          </b:Person>
        </b:NameList>
      </b:Author>
    </b:Author>
    <b:RefOrder>599</b:RefOrder>
  </b:Source>
  <b:Source>
    <b:Tag>Bla13</b:Tag>
    <b:SourceType>JournalArticle</b:SourceType>
    <b:Guid>{86BB5754-73B2-4DD3-BEAE-E1C3298B101A}</b:Guid>
    <b:Title>Which Decision Theory?</b:Title>
    <b:JournalName>Economics Letters</b:JournalName>
    <b:Year>2013</b:Year>
    <b:Pages>vol. 120(1), pp. 40-44</b:Pages>
    <b:Author>
      <b:Author>
        <b:NameList>
          <b:Person>
            <b:Last>Blavatskyy</b:Last>
            <b:Middle>R</b:Middle>
            <b:First>Pavlo</b:First>
          </b:Person>
        </b:NameList>
      </b:Author>
    </b:Author>
    <b:RefOrder>600</b:RefOrder>
  </b:Source>
  <b:Source>
    <b:Tag>Yaa87</b:Tag>
    <b:SourceType>JournalArticle</b:SourceType>
    <b:Guid>{75567E86-CEF4-4B11-B653-A2126764DB57}</b:Guid>
    <b:Title>The Dual Theory of Choice under Risk</b:Title>
    <b:JournalName>Econometrica</b:JournalName>
    <b:Year>1987</b:Year>
    <b:Pages>vol. 55, pp. 95-115</b:Pages>
    <b:Author>
      <b:Author>
        <b:NameList>
          <b:Person>
            <b:Last>Yaari</b:Last>
            <b:First>Menahem</b:First>
          </b:Person>
        </b:NameList>
      </b:Author>
    </b:Author>
    <b:RefOrder>601</b:RefOrder>
  </b:Source>
  <b:Source>
    <b:Tag>Bla10</b:Tag>
    <b:SourceType>JournalArticle</b:SourceType>
    <b:Guid>{D990783E-6937-4EBE-B12B-509829A5A565}</b:Guid>
    <b:Author>
      <b:Author>
        <b:NameList>
          <b:Person>
            <b:Last>Blavatskyy</b:Last>
            <b:First>Pavlo</b:First>
          </b:Person>
        </b:NameList>
      </b:Author>
    </b:Author>
    <b:Title>Modifying the Mean-Variance Approach to Avoid Violations of Stochastic Dominance</b:Title>
    <b:JournalName>Management Science</b:JournalName>
    <b:Year>2010</b:Year>
    <b:Pages>vol. 56, no. 11, pp. 2050-2057</b:Pages>
    <b:RefOrder>602</b:RefOrder>
  </b:Source>
  <b:Source>
    <b:Tag>Che83</b:Tag>
    <b:SourceType>JournalArticle</b:SourceType>
    <b:Guid>{70A598CC-9EE8-4DA1-9490-5509DC3E0C8D}</b:Guid>
    <b:Author>
      <b:Author>
        <b:NameList>
          <b:Person>
            <b:Last>Chew</b:Last>
            <b:First>Soo</b:First>
            <b:Middle>Hong</b:Middle>
          </b:Person>
        </b:NameList>
      </b:Author>
    </b:Author>
    <b:Title>A Generalization of the Quasilinear Mean with Applications to the Measurement of Income Inequality and Decision Theory Resolving the Allais Paradox</b:Title>
    <b:JournalName>Econometrica</b:JournalName>
    <b:Year>1983</b:Year>
    <b:Pages>vol. 51, pp. 1065-1092</b:Pages>
    <b:RefOrder>603</b:RefOrder>
  </b:Source>
  <b:Source>
    <b:Tag>Che91</b:Tag>
    <b:SourceType>JournalArticle</b:SourceType>
    <b:Guid>{C01830DC-46EA-4FF1-A956-C3B28A9C90D4}</b:Guid>
    <b:Title>Mixture Symmetry and Quadratic Utility</b:Title>
    <b:JournalName>Econometrica</b:JournalName>
    <b:Year>1991</b:Year>
    <b:Pages>vol. 59, pp. 139-163</b:Pages>
    <b:Author>
      <b:Author>
        <b:NameList>
          <b:Person>
            <b:Last>Chew</b:Last>
            <b:First>Soo Hong</b:First>
          </b:Person>
          <b:Person>
            <b:Last>Larry</b:Last>
            <b:Middle>G</b:Middle>
            <b:First>Epstein</b:First>
          </b:Person>
          <b:Person>
            <b:Last>Uzi</b:Last>
            <b:First>Segal</b:First>
          </b:Person>
        </b:NameList>
      </b:Author>
    </b:Author>
    <b:RefOrder>604</b:RefOrder>
  </b:Source>
  <b:Source>
    <b:Tag>Gul91</b:Tag>
    <b:SourceType>JournalArticle</b:SourceType>
    <b:Guid>{3264972A-DB19-46CF-B221-56D55C6D066E}</b:Guid>
    <b:Author>
      <b:Author>
        <b:NameList>
          <b:Person>
            <b:Last>Gul</b:Last>
            <b:First>Faruk</b:First>
          </b:Person>
        </b:NameList>
      </b:Author>
    </b:Author>
    <b:Title>A Theory of Disappointment Aversion</b:Title>
    <b:JournalName>Econometrica</b:JournalName>
    <b:Year>1991</b:Year>
    <b:Pages>vol. 59, pp. 667-686</b:Pages>
    <b:RefOrder>605</b:RefOrder>
  </b:Source>
  <b:Source>
    <b:Tag>Dye05</b:Tag>
    <b:SourceType>JournalArticle</b:SourceType>
    <b:Guid>{9400FD88-7AA7-479E-89BD-BC10775161E0}</b:Guid>
    <b:Title>MAUT ‐ Multi Attribute Utility Theory. In Multiple Criteria Decision Analysis: State of the Art Surveys</b:Title>
    <b:Year>2005</b:Year>
    <b:JournalName>Springer: New York</b:JournalName>
    <b:Pages>pp. 265–295</b:Pages>
    <b:Author>
      <b:Author>
        <b:NameList>
          <b:Person>
            <b:Last>Dyer</b:Last>
            <b:First>J</b:First>
          </b:Person>
        </b:NameList>
      </b:Author>
    </b:Author>
    <b:RefOrder>606</b:RefOrder>
  </b:Source>
  <b:Source>
    <b:Tag>Sch11</b:Tag>
    <b:SourceType>JournalArticle</b:SourceType>
    <b:Guid>{F6CD1656-3521-4242-8AA1-A883EA767C82}</b:Guid>
    <b:Title>On the Similarities of Some Multi-Criteria Decision Analysis Methods</b:Title>
    <b:Year>2011</b:Year>
    <b:JournalName>Journal of Multi-Criteria Decision Analysis</b:JournalName>
    <b:Pages>vol. 18, pp. 219-230</b:Pages>
    <b:Author>
      <b:Author>
        <b:NameList>
          <b:Person>
            <b:Last>Geldermann</b:Last>
            <b:First>Jutta</b:First>
          </b:Person>
          <b:Person>
            <b:Last>Schobel</b:Last>
            <b:First>Anita</b:First>
          </b:Person>
        </b:NameList>
      </b:Author>
    </b:Author>
    <b:RefOrder>607</b:RefOrder>
  </b:Source>
  <b:Source>
    <b:Tag>Roy93</b:Tag>
    <b:SourceType>JournalArticle</b:SourceType>
    <b:Guid>{5425A68A-FF4F-42B3-829E-4ABEAAA43525}</b:Guid>
    <b:Title>Aide Multicritère á la Décision</b:Title>
    <b:JournalName>Economica: Paris</b:JournalName>
    <b:Year>1993</b:Year>
    <b:Author>
      <b:Author>
        <b:NameList>
          <b:Person>
            <b:Last>Roy</b:Last>
            <b:First>B</b:First>
          </b:Person>
          <b:Person>
            <b:Last>Bouyssou</b:Last>
            <b:First>D</b:First>
          </b:Person>
        </b:NameList>
      </b:Author>
    </b:Author>
    <b:RefOrder>608</b:RefOrder>
  </b:Source>
  <b:Source>
    <b:Tag>Kah97</b:Tag>
    <b:SourceType>JournalArticle</b:SourceType>
    <b:Guid>{9D4321F4-E1FB-41E6-937B-86402D2FB50A}</b:Guid>
    <b:Title>Back to Bentham? Explorations of Experienced Utility</b:Title>
    <b:Pages>vol. 112(2), pp. 375-405</b:Pages>
    <b:Year>1997</b:Year>
    <b:Author>
      <b:Author>
        <b:NameList>
          <b:Person>
            <b:Last>Kahneman</b:Last>
            <b:First>D</b:First>
          </b:Person>
          <b:Person>
            <b:Last>Wakker</b:Last>
            <b:Middle>P</b:Middle>
            <b:First>P</b:First>
          </b:Person>
          <b:Person>
            <b:Last>Sarin</b:Last>
            <b:First>R</b:First>
          </b:Person>
        </b:NameList>
      </b:Author>
    </b:Author>
    <b:JournalName>Quarterly Journal of Economics</b:JournalName>
    <b:RefOrder>609</b:RefOrder>
  </b:Source>
  <b:Source>
    <b:Tag>Bro12</b:Tag>
    <b:SourceType>JournalArticle</b:SourceType>
    <b:Guid>{6FE1B544-07E1-4BEE-8E36-B404EEFA3BEA}</b:Guid>
    <b:Title>The Utility of Relationships in Negotiation</b:Title>
    <b:Year>2012</b:Year>
    <b:JournalName>Oxford Handbooks Online</b:JournalName>
    <b:Pages>pp 139-151</b:Pages>
    <b:Author>
      <b:Author>
        <b:NameList>
          <b:Person>
            <b:Last>Brown</b:Last>
            <b:Middle>D</b:Middle>
            <b:First>Ashley</b:First>
          </b:Person>
          <b:Person>
            <b:Last>Curhan</b:Last>
            <b:Middle>R</b:Middle>
            <b:First>Jared</b:First>
          </b:Person>
        </b:NameList>
      </b:Author>
    </b:Author>
    <b:RefOrder>610</b:RefOrder>
  </b:Source>
  <b:Source>
    <b:Tag>Zar88</b:Tag>
    <b:SourceType>JournalArticle</b:SourceType>
    <b:Guid>{C928AC52-1C4D-4F77-BD2A-1D454B8EB2CA}</b:Guid>
    <b:Title>Common Elements in the Analysis of the Negotiation Process</b:Title>
    <b:Year>1988</b:Year>
    <b:JournalName>Negotiation Journal</b:JournalName>
    <b:Pages>vol. 4, pp. 31-43</b:Pages>
    <b:Author>
      <b:Author>
        <b:NameList>
          <b:Person>
            <b:Last>Zartman</b:Last>
            <b:First>I. William </b:First>
          </b:Person>
        </b:NameList>
      </b:Author>
    </b:Author>
    <b:RefOrder>611</b:RefOrder>
  </b:Source>
  <b:Source>
    <b:Tag>Voi93</b:Tag>
    <b:SourceType>JournalArticle</b:SourceType>
    <b:Guid>{433EFA4F-D7E7-47F9-BFAA-E8034D41E8DA}</b:Guid>
    <b:Title>Zahl und Mass in der Ökonomik. Eine kritische Untersuchung der mathematischen Methode und der mathematischen Preistheorie - Number and Measure in Economics. A Critical Study of Mathematical Method and Mathematical Price Theory</b:Title>
    <b:Year>1893</b:Year>
    <b:JournalName>Zeitschrift für die gesamte Staatswissenschaft - Journal for the Entire Political Science</b:JournalName>
    <b:Pages>vol. 49, issue 4, pp. 577-609</b:Pages>
    <b:Author>
      <b:Author>
        <b:NameList>
          <b:Person>
            <b:Last>Voigt</b:Last>
            <b:First>A</b:First>
          </b:Person>
        </b:NameList>
      </b:Author>
    </b:Author>
    <b:RefOrder>612</b:RefOrder>
  </b:Source>
  <b:Source>
    <b:Tag>Hic34</b:Tag>
    <b:SourceType>JournalArticle</b:SourceType>
    <b:Guid>{FDB3607F-B2EF-44C9-8D98-A88E18BBFA71}</b:Guid>
    <b:Title>A Reconsideration of the Theory of Value, Parts I and II</b:Title>
    <b:JournalName>Economica</b:JournalName>
    <b:Year>1934</b:Year>
    <b:Pages>vol. 1 (February, May): 52-76 and 196-219</b:Pages>
    <b:Author>
      <b:Author>
        <b:NameList>
          <b:Person>
            <b:Last>Hicks</b:Last>
            <b:Middle>R</b:Middle>
            <b:First>J</b:First>
          </b:Person>
          <b:Person>
            <b:Last>Allen</b:Last>
            <b:First>R.G.D.</b:First>
          </b:Person>
        </b:NameList>
      </b:Author>
    </b:Author>
    <b:RefOrder>613</b:RefOrder>
  </b:Source>
  <b:Source>
    <b:Tag>Par93</b:Tag>
    <b:SourceType>JournalArticle</b:SourceType>
    <b:Guid>{00C252B6-3C69-46F5-81B3-93B7D32E2391}</b:Guid>
    <b:Title>Considerazioni sui principii fondamentali dell’economia politica pura (“Considerations on the Fundamental Principles of Pure Political Economy”), Parts I-V</b:Title>
    <b:JournalName>Giornale degli Economisti</b:JournalName>
    <b:Year>1892-1893</b:Year>
    <b:Pages>(March, 1892): 389-420; (June, 1892): 485-512; (August, 1892): 119-157; (January, 1893): 1-37; (October, 1893): 279-321</b:Pages>
    <b:Author>
      <b:Author>
        <b:NameList>
          <b:Person>
            <b:Last>Pareto</b:Last>
            <b:First>V</b:First>
          </b:Person>
        </b:NameList>
      </b:Author>
    </b:Author>
    <b:RefOrder>614</b:RefOrder>
  </b:Source>
  <b:Source>
    <b:Tag>Mar52</b:Tag>
    <b:SourceType>JournalArticle</b:SourceType>
    <b:Guid>{E5512287-9EBD-48C8-AC58-4075AB55FCD7}</b:Guid>
    <b:Author>
      <b:Author>
        <b:NameList>
          <b:Person>
            <b:Last>Markowitz</b:Last>
            <b:First>H.</b:First>
          </b:Person>
        </b:NameList>
      </b:Author>
    </b:Author>
    <b:Title>The Utility of Wealth</b:Title>
    <b:JournalName>Journal of Political Economy</b:JournalName>
    <b:Year>1952</b:Year>
    <b:Pages>vol. 60, pp. 151-158</b:Pages>
    <b:RefOrder>615</b:RefOrder>
  </b:Source>
  <b:Source>
    <b:Tag>Lew03</b:Tag>
    <b:SourceType>Book</b:SourceType>
    <b:Guid>{4E18BAAF-2B52-489F-8A5C-2C4C03BA18E1}</b:Guid>
    <b:Title>Negotiation, 4th edition</b:Title>
    <b:Year>2003</b:Year>
    <b:City>Irwin</b:City>
    <b:Publisher>McGraw-Hill</b:Publisher>
    <b:Author>
      <b:Author>
        <b:NameList>
          <b:Person>
            <b:Last>Lewicki</b:Last>
            <b:Middle>J</b:Middle>
            <b:First>R</b:First>
          </b:Person>
          <b:Person>
            <b:Last>Barry</b:Last>
            <b:First>B</b:First>
          </b:Person>
          <b:Person>
            <b:Last>Saunders</b:Last>
            <b:Middle>M</b:Middle>
            <b:First>D</b:First>
          </b:Person>
          <b:Person>
            <b:Last>John</b:Last>
            <b:Middle>W</b:Middle>
            <b:First>M</b:First>
          </b:Person>
        </b:NameList>
      </b:Author>
    </b:Author>
    <b:RefOrder>616</b:RefOrder>
  </b:Source>
  <b:Source xmlns:b="http://schemas.openxmlformats.org/officeDocument/2006/bibliography">
    <b:Tag>Aru95</b:Tag>
    <b:SourceType>JournalArticle</b:SourceType>
    <b:Guid>{6EE6A006-1025-466F-85B6-A5EE2E116B13}</b:Guid>
    <b:Title>Judgment Accuracy and Outcomes of Negotiation: A Causal Modeling Analysis of Decision-aiding Effects</b:Title>
    <b:JournalName>Organizational Behavior and Human Decision Processes</b:JournalName>
    <b:Year>1995</b:Year>
    <b:Pages>vol 61, pp. 289–304</b:Pages>
    <b:Author>
      <b:Author>
        <b:NameList>
          <b:Person>
            <b:Last>Arunachalam</b:Last>
            <b:First>Vairam</b:First>
          </b:Person>
          <b:Person>
            <b:Last>Dilla</b:Last>
            <b:Middle>N</b:Middle>
            <b:First>William</b:First>
          </b:Person>
        </b:NameList>
      </b:Author>
    </b:Author>
    <b:RefOrder>617</b:RefOrder>
  </b:Source>
  <b:Source>
    <b:Tag>Car93</b:Tag>
    <b:SourceType>JournalArticle</b:SourceType>
    <b:Guid>{0CBA24D8-283E-4137-9E71-4FCBEFA4AFC8}</b:Guid>
    <b:Title>Labor-management Contract Negotiations in an Electronic Meeting Room: A Case Study</b:Title>
    <b:JournalName>Group Decision and Negotiation</b:JournalName>
    <b:Year>1993</b:Year>
    <b:Pages>vol. 2, pp. 27–60</b:Pages>
    <b:Author>
      <b:Author>
        <b:NameList>
          <b:Person>
            <b:Last>Carmel</b:Last>
            <b:First>Erran</b:First>
          </b:Person>
          <b:Person>
            <b:Last>Herniter</b:Last>
            <b:Middle>C</b:Middle>
            <b:First>Bruce</b:First>
          </b:Person>
          <b:Person>
            <b:Last>Nunamaker</b:Last>
            <b:Middle>F</b:Middle>
            <b:First>Jay</b:First>
          </b:Person>
        </b:NameList>
      </b:Author>
    </b:Author>
    <b:RefOrder>618</b:RefOrder>
  </b:Source>
  <b:Source>
    <b:Tag>Lan171</b:Tag>
    <b:SourceType>JournalArticle</b:SourceType>
    <b:Guid>{B94F99CC-1F6C-43CC-B8B6-023002222A09}</b:Guid>
    <b:Title>Taming the Jungle of Negotiation Theories</b:Title>
    <b:JournalName>The Negotiator's Desk Reference</b:JournalName>
    <b:Year>2017</b:Year>
    <b:Pages>Research Paper No. 2017-29</b:Pages>
    <b:Author>
      <b:Author>
        <b:NameList>
          <b:Person>
            <b:Last>Lande</b:Last>
            <b:First>John</b:First>
          </b:Person>
        </b:NameList>
      </b:Author>
    </b:Author>
    <b:RefOrder>619</b:RefOrder>
  </b:Source>
  <b:Source>
    <b:Tag>Gif07</b:Tag>
    <b:SourceType>Book</b:SourceType>
    <b:Guid>{D416F8B8-54B1-410D-B865-255BDD451827}</b:Guid>
    <b:Title>Legal negotiation: Theory and Practice</b:Title>
    <b:Year>2007</b:Year>
    <b:City>St. Paul, MN</b:City>
    <b:Publisher>Thomson/​West</b:Publisher>
    <b:Author>
      <b:Author>
        <b:NameList>
          <b:Person>
            <b:Last>Gifford</b:Last>
            <b:Middle>G</b:Middle>
            <b:First>Donald</b:First>
          </b:Person>
        </b:NameList>
      </b:Author>
    </b:Author>
    <b:RefOrder>620</b:RefOrder>
  </b:Source>
  <b:Source>
    <b:Tag>Lew15</b:Tag>
    <b:SourceType>Book</b:SourceType>
    <b:Guid>{FDB28E06-27F6-4016-A701-33D2A90BD044}</b:Guid>
    <b:Title>Negotiation</b:Title>
    <b:Year>2015</b:Year>
    <b:Author>
      <b:Author>
        <b:NameList>
          <b:Person>
            <b:Last>Lewicki</b:Last>
            <b:Middle>J</b:Middle>
            <b:First>R</b:First>
          </b:Person>
          <b:Person>
            <b:Last>Saunders</b:Last>
            <b:Middle>M</b:Middle>
            <b:First>D</b:First>
          </b:Person>
          <b:Person>
            <b:Last>Barry</b:Last>
            <b:First>B</b:First>
          </b:Person>
        </b:NameList>
      </b:Author>
    </b:Author>
    <b:City>New York, NY</b:City>
    <b:Publisher>McGraw-Hill Education</b:Publisher>
    <b:RefOrder>621</b:RefOrder>
  </b:Source>
  <b:Source>
    <b:Tag>Ker03</b:Tag>
    <b:SourceType>JournalArticle</b:SourceType>
    <b:Guid>{20CB540A-D5F2-4183-9943-85F2A960C573}</b:Guid>
    <b:Title>Aspire: Integration of Negotiation Support System and Software Agents for E-Business Negotiation</b:Title>
    <b:Year>2003</b:Year>
    <b:JournalName>International Journal of Internet and Enterprise Management</b:JournalName>
    <b:Pages>vol. 1(3), pp. 293-315</b:Pages>
    <b:Author>
      <b:Author>
        <b:NameList>
          <b:Person>
            <b:Last>Kersten</b:Last>
            <b:Middle>E</b:Middle>
            <b:First>G</b:First>
          </b:Person>
          <b:Person>
            <b:Last>Lo</b:Last>
            <b:First>G</b:First>
          </b:Person>
        </b:NameList>
      </b:Author>
    </b:Author>
    <b:RefOrder>622</b:RefOrder>
  </b:Source>
  <b:Source>
    <b:Tag>Jen01</b:Tag>
    <b:SourceType>JournalArticle</b:SourceType>
    <b:Guid>{207229DE-B982-4068-99FA-3EE2607B42D5}</b:Guid>
    <b:Title>Automated Negotiations: Prospects, Methods and Challenges</b:Title>
    <b:JournalName>Group Decision and Negotiation</b:JournalName>
    <b:Year>2001</b:Year>
    <b:Pages>vol. 10(2), pp. 199-215</b:Pages>
    <b:Author>
      <b:Author>
        <b:NameList>
          <b:Person>
            <b:Last>Jennings</b:Last>
            <b:Middle>R</b:Middle>
            <b:First>N</b:First>
          </b:Person>
          <b:Person>
            <b:Last>Faratin</b:Last>
            <b:First>P</b:First>
          </b:Person>
          <b:Person>
            <b:Last>Lomuscio</b:Last>
            <b:Middle>R</b:Middle>
            <b:First>A</b:First>
          </b:Person>
          <b:Person>
            <b:Last>Parsons</b:Last>
            <b:First>S</b:First>
          </b:Person>
          <b:Person>
            <b:Last>Wooldridge</b:Last>
            <b:Middle>J</b:Middle>
            <b:First>M</b:First>
          </b:Person>
          <b:Person>
            <b:Last>Sierra</b:Last>
            <b:First>C</b:First>
          </b:Person>
        </b:NameList>
      </b:Author>
    </b:Author>
    <b:RefOrder>623</b:RefOrder>
  </b:Source>
  <b:Source>
    <b:Tag>06</b:Tag>
    <b:SourceType>JournalArticle</b:SourceType>
    <b:Guid>{ED389A5E-E264-4D1A-86A8-7A12895EDA96}</b:Guid>
    <b:Year>2006</b:Year>
    <b:Title>e-Negotiation Systems and Software Agents: Methods, Models, and Applications</b:Title>
    <b:JournalName>Intelligent Decision-making Support Systems</b:JournalName>
    <b:Pages>pp. 271-300</b:Pages>
    <b:Author>
      <b:Author>
        <b:NameList>
          <b:Person>
            <b:Last>Braun</b:Last>
            <b:First>Peter</b:First>
          </b:Person>
          <b:Person>
            <b:Last>Brzostowski</b:Last>
            <b:First>Jakub</b:First>
          </b:Person>
          <b:Person>
            <b:Last>Kersten</b:Last>
            <b:First>Gregory</b:First>
          </b:Person>
          <b:Person>
            <b:Last>Kim</b:Last>
            <b:Middle>Baek</b:Middle>
            <b:First>Jin</b:First>
          </b:Person>
          <b:Person>
            <b:Last>Kowalczyk</b:Last>
            <b:First>Ryszard</b:First>
          </b:Person>
          <b:Person>
            <b:Last>Strecker</b:Last>
            <b:First>Stefan</b:First>
          </b:Person>
          <b:Person>
            <b:Last>Vahidov</b:Last>
            <b:First>Rustam</b:First>
          </b:Person>
        </b:NameList>
      </b:Author>
    </b:Author>
    <b:RefOrder>624</b:RefOrder>
  </b:Source>
  <b:Source>
    <b:Tag>Gul79</b:Tag>
    <b:SourceType>Book</b:SourceType>
    <b:Guid>{BA5FB378-18CD-42C0-8394-B52722CC4E42}</b:Guid>
    <b:Title>Disputes and Negotiations: A Cross-cultural Perspective</b:Title>
    <b:Year>1979</b:Year>
    <b:City>New York</b:City>
    <b:Publisher>Academic Press</b:Publisher>
    <b:Author>
      <b:Author>
        <b:NameList>
          <b:Person>
            <b:Last>Gulliver</b:Last>
            <b:Middle>H</b:Middle>
            <b:First>P</b:First>
          </b:Person>
        </b:NameList>
      </b:Author>
    </b:Author>
    <b:RefOrder>625</b:RefOrder>
  </b:Source>
  <b:Source>
    <b:Tag>Zar75</b:Tag>
    <b:SourceType>JournalArticle</b:SourceType>
    <b:Guid>{C5F6E83A-66F2-4760-88AE-91F2207ABB15}</b:Guid>
    <b:Title>Negotiations: Theory and Reality</b:Title>
    <b:JournalName>Journal of International Affairs</b:JournalName>
    <b:Year>1975</b:Year>
    <b:Pages>vol. 29, pp. 69-77</b:Pages>
    <b:Author>
      <b:Author>
        <b:NameList>
          <b:Person>
            <b:Last>Zartman</b:Last>
            <b:First>William</b:First>
          </b:Person>
        </b:NameList>
      </b:Author>
    </b:Author>
    <b:RefOrder>626</b:RefOrder>
  </b:Source>
  <b:Source>
    <b:Tag>deC83</b:Tag>
    <b:SourceType>Book</b:SourceType>
    <b:Guid>{7F69EFC3-58D7-4F18-BDC5-ABA4A72437FA}</b:Guid>
    <b:Title>On the Manner of Negotiating with Princes</b:Title>
    <b:Year>1983</b:Year>
    <b:Author>
      <b:Author>
        <b:NameList>
          <b:Person>
            <b:Last>de Callieres</b:Last>
            <b:First>Francois</b:First>
          </b:Person>
        </b:NameList>
      </b:Author>
    </b:Author>
    <b:City>Paris, France</b:City>
    <b:Publisher>University of Notre Dame Press</b:Publisher>
    <b:RefOrder>627</b:RefOrder>
  </b:Source>
  <b:Source>
    <b:Tag>deF75</b:Tag>
    <b:SourceType>Book</b:SourceType>
    <b:Guid>{8FFF2186-C8A1-4910-A79A-68A85C9F9454}</b:Guid>
    <b:Title>Negotiations, or the Art of Negotiating </b:Title>
    <b:Year>1975</b:Year>
    <b:City>New York</b:City>
    <b:Publisher>Doubleday Anchor</b:Publisher>
    <b:Author>
      <b:Author>
        <b:NameList>
          <b:Person>
            <b:Last>de Felice</b:Last>
            <b:First>Fortune-Barthelemy</b:First>
          </b:Person>
        </b:NameList>
      </b:Author>
    </b:Author>
    <b:RefOrder>628</b:RefOrder>
  </b:Source>
  <b:Source>
    <b:Tag>Nas50</b:Tag>
    <b:SourceType>JournalArticle</b:SourceType>
    <b:Guid>{4A48B86A-5623-41C3-9DC9-C76B08934ADE}</b:Guid>
    <b:Title>The Bargainiing Problem</b:Title>
    <b:JournalName>Econometrica</b:JournalName>
    <b:Year>1950</b:Year>
    <b:Pages>vol. 18 no.2, pp. 155-62</b:Pages>
    <b:Author>
      <b:Author>
        <b:NameList>
          <b:Person>
            <b:Last>Nash</b:Last>
            <b:Middle>F</b:Middle>
            <b:First>John</b:First>
          </b:Person>
        </b:NameList>
      </b:Author>
    </b:Author>
    <b:RefOrder>629</b:RefOrder>
  </b:Source>
  <b:Source>
    <b:Tag>Rap66</b:Tag>
    <b:SourceType>Book</b:SourceType>
    <b:Guid>{04A0A771-C23D-4188-A25E-C0F66C53D4C9}</b:Guid>
    <b:Author>
      <b:Author>
        <b:NameList>
          <b:Person>
            <b:Last>Rapoport</b:Last>
            <b:First>Anatole</b:First>
          </b:Person>
        </b:NameList>
      </b:Author>
    </b:Author>
    <b:Title>Two-person Game Theory</b:Title>
    <b:JournalName>Ann Arbor: University of Michigan Press</b:JournalName>
    <b:Year>1966</b:Year>
    <b:City>Ann Arbor</b:City>
    <b:Publisher>University of Michigan Press</b:Publisher>
    <b:RefOrder>630</b:RefOrder>
  </b:Source>
  <b:Source>
    <b:Tag>Fes57</b:Tag>
    <b:SourceType>Book</b:SourceType>
    <b:Guid>{BF3A594E-39DE-4937-B0EB-03704A5C0523}</b:Guid>
    <b:Title>A Theory of Cognitive Dissonance</b:Title>
    <b:Year>1957</b:Year>
    <b:City>New York</b:City>
    <b:Publisher>Row Peterson</b:Publisher>
    <b:Author>
      <b:Author>
        <b:NameList>
          <b:Person>
            <b:Last>Festinger</b:Last>
            <b:First>Leon</b:First>
          </b:Person>
        </b:NameList>
      </b:Author>
    </b:Author>
    <b:RefOrder>631</b:RefOrder>
  </b:Source>
  <b:Source>
    <b:Tag>Cro99</b:Tag>
    <b:SourceType>JournalArticle</b:SourceType>
    <b:Guid>{78CBB34C-DB41-44B8-BCF0-BF2D4518D64F}</b:Guid>
    <b:Title>Look at Me When You Say That: An Electronic Negotiation Simulation</b:Title>
    <b:JournalName>Simulation and Gaming</b:JournalName>
    <b:Year>1999</b:Year>
    <b:Pages>vol. 30 pp. 23-37</b:Pages>
    <b:Author>
      <b:Author>
        <b:NameList>
          <b:Person>
            <b:Last>Croson</b:Last>
            <b:Middle>T. A.</b:Middle>
            <b:First>Rachel</b:First>
          </b:Person>
        </b:NameList>
      </b:Author>
    </b:Author>
    <b:RefOrder>632</b:RefOrder>
  </b:Source>
  <b:Source>
    <b:Tag>Alf08</b:Tag>
    <b:SourceType>Report</b:SourceType>
    <b:Guid>{DAB62F11-ECB6-43FB-A47F-1888413277C1}</b:Guid>
    <b:Title>Negotiation Theory and Practice: A Review of the Literature</b:Title>
    <b:Year>2008</b:Year>
    <b:Publisher>FAO</b:Publisher>
    <b:ThesisType>Conceptual and Technical Material</b:ThesisType>
    <b:Author>
      <b:Author>
        <b:NameList>
          <b:Person>
            <b:Last>Alfredson</b:Last>
            <b:First>Tanya</b:First>
          </b:Person>
          <b:Person>
            <b:Last>Cungu</b:Last>
            <b:First>Azeta</b:First>
          </b:Person>
        </b:NameList>
      </b:Author>
    </b:Author>
    <b:RefOrder>633</b:RefOrder>
  </b:Source>
  <b:Source>
    <b:Tag>Car92</b:Tag>
    <b:SourceType>JournalArticle</b:SourceType>
    <b:Guid>{183280BD-D862-41C5-8D8A-5C2C3C705FCF}</b:Guid>
    <b:Title>Negotiation and Mediation</b:Title>
    <b:Year>1992</b:Year>
    <b:Author>
      <b:Author>
        <b:NameList>
          <b:Person>
            <b:Last>Carnevale</b:Last>
            <b:Middle>J</b:Middle>
            <b:First>P</b:First>
          </b:Person>
          <b:Person>
            <b:Last>Pruitt</b:Last>
            <b:Middle>G</b:Middle>
            <b:First>D</b:First>
          </b:Person>
        </b:NameList>
      </b:Author>
    </b:Author>
    <b:JournalName>Annual Review of Psychology</b:JournalName>
    <b:Pages>vol. 43, pp. 531-582</b:Pages>
    <b:RefOrder>634</b:RefOrder>
  </b:Source>
  <b:Source>
    <b:Tag>Dru97</b:Tag>
    <b:SourceType>JournalArticle</b:SourceType>
    <b:Guid>{8BE15CA2-4D2A-44C1-B615-71A2CB4F56F6}</b:Guid>
    <b:Title>Negotiating in the International Context, in Peacemaking in International Conflict: Methods and Techniques</b:Title>
    <b:JournalName>Washington DC: United States Institute of Peace Press</b:JournalName>
    <b:Year>1997</b:Year>
    <b:Pages>pp. 81-124</b:Pages>
    <b:Author>
      <b:Author>
        <b:NameList>
          <b:Person>
            <b:Last>Druckman</b:Last>
            <b:First>Daniel</b:First>
          </b:Person>
        </b:NameList>
      </b:Author>
    </b:Author>
    <b:RefOrder>635</b:RefOrder>
  </b:Source>
  <b:Source>
    <b:Tag>Rai82</b:Tag>
    <b:SourceType>JournalArticle</b:SourceType>
    <b:Guid>{2C609C10-190C-4895-AC80-FC5FD4E9C6A7}</b:Guid>
    <b:Title>The Art and Science of Negotiations</b:Title>
    <b:JournalName>Belknap Press of Harvard University Press Cambridge</b:JournalName>
    <b:Year>1982</b:Year>
    <b:Author>
      <b:Author>
        <b:NameList>
          <b:Person>
            <b:Last>Raiffa</b:Last>
            <b:First>Howard</b:First>
          </b:Person>
        </b:NameList>
      </b:Author>
    </b:Author>
    <b:RefOrder>636</b:RefOrder>
  </b:Source>
  <b:Source>
    <b:Tag>Bur09</b:Tag>
    <b:SourceType>Book</b:SourceType>
    <b:Guid>{FA30D387-1474-451E-8D36-72D044E8C1A2}</b:Guid>
    <b:Title>Identity Theory</b:Title>
    <b:Year>2009</b:Year>
    <b:City>New York</b:City>
    <b:Publisher>Oxford University Press</b:Publisher>
    <b:InternetSiteTitle>Oxford Scholarship Onine</b:InternetSiteTitle>
    <b:JournalName>Oxford Scholarship Online</b:JournalName>
    <b:Author>
      <b:Author>
        <b:NameList>
          <b:Person>
            <b:Last>Burke</b:Last>
            <b:Middle>J</b:Middle>
            <b:First>Peter</b:First>
          </b:Person>
          <b:Person>
            <b:Last>Stets</b:Last>
            <b:Middle>E</b:Middle>
            <b:First>Jan</b:First>
          </b:Person>
        </b:NameList>
      </b:Author>
    </b:Author>
    <b:RefOrder>637</b:RefOrder>
  </b:Source>
  <b:Source>
    <b:Tag>Mus19</b:Tag>
    <b:SourceType>InternetSite</b:SourceType>
    <b:Guid>{968424E5-B341-4589-A4BB-0764F4291B91}</b:Guid>
    <b:Title>Social Interaction Theory, Social Roles &amp; the Presentation of Self</b:Title>
    <b:Year>2019</b:Year>
    <b:InternetSiteTitle>Study.com</b:InternetSiteTitle>
    <b:URL>https://study.com/academy/lesson/social-interaction-theory-social-roles-the-presentation-of-self.html</b:URL>
    <b:Author>
      <b:Author>
        <b:NameList>
          <b:Person>
            <b:Last>Muscato</b:Last>
            <b:First>Christopher</b:First>
          </b:Person>
        </b:NameList>
      </b:Author>
    </b:Author>
    <b:RefOrder>638</b:RefOrder>
  </b:Source>
  <b:Source>
    <b:Tag>Fie19</b:Tag>
    <b:SourceType>Book</b:SourceType>
    <b:Guid>{FD38EA4D-029A-4EFE-A277-596C83428DF2}</b:Guid>
    <b:Title>Clinical Psychology: Evolving Theory, Practice, and Research (4th Edition)</b:Title>
    <b:InternetSiteTitle>KB Manage</b:InternetSiteTitle>
    <b:Year>2019</b:Year>
    <b:URL>https://www.kbmanage.com/concept/field-theory</b:URL>
    <b:Author>
      <b:Author>
        <b:NameList>
          <b:Person>
            <b:Last>Sundberg</b:Last>
            <b:Middle>D</b:Middle>
            <b:First>Norman</b:First>
          </b:Person>
          <b:Person>
            <b:Last>Winebarger</b:Last>
            <b:Middle>A</b:Middle>
            <b:First>Allen</b:First>
          </b:Person>
          <b:Person>
            <b:Last>Taplin</b:Last>
            <b:Middle>R</b:Middle>
            <b:First>Julian</b:First>
          </b:Person>
        </b:NameList>
      </b:Author>
    </b:Author>
    <b:City>United States</b:City>
    <b:Publisher>Pearson</b:Publisher>
    <b:RefOrder>639</b:RefOrder>
  </b:Source>
  <b:Source>
    <b:Tag>McL18</b:Tag>
    <b:SourceType>InternetSite</b:SourceType>
    <b:Guid>{F74C8BDF-7F03-4EEA-A5DA-63023A0C3981}</b:Guid>
    <b:Title>Maslow's Hierarchy of Needs</b:Title>
    <b:Year>2018</b:Year>
    <b:InternetSiteTitle>Simply Psychology</b:InternetSiteTitle>
    <b:URL>https://www.simplypsychology.org/maslow.html</b:URL>
    <b:Author>
      <b:Author>
        <b:NameList>
          <b:Person>
            <b:Last>McLeod</b:Last>
            <b:First>Saul</b:First>
          </b:Person>
        </b:NameList>
      </b:Author>
    </b:Author>
    <b:RefOrder>640</b:RefOrder>
  </b:Source>
  <b:Source>
    <b:Tag>Ama16</b:Tag>
    <b:SourceType>InternetSite</b:SourceType>
    <b:Guid>{ABA16BB9-F492-4CD0-A704-448F8A70E1D0}</b:Guid>
    <b:Title>Rational Choice Theory</b:Title>
    <b:InternetSiteTitle>Britannica</b:InternetSiteTitle>
    <b:Year>2016</b:Year>
    <b:URL>https://www.britannica.com/topic/rational-choice-theory</b:URL>
    <b:Author>
      <b:Author>
        <b:NameList>
          <b:Person>
            <b:Last>Amadae</b:Last>
            <b:Middle>M</b:Middle>
            <b:First>S</b:First>
          </b:Person>
        </b:NameList>
      </b:Author>
    </b:Author>
    <b:RefOrder>641</b:RefOrder>
  </b:Source>
  <b:Source>
    <b:Tag>Knu07</b:Tag>
    <b:SourceType>Report</b:SourceType>
    <b:Guid>{FE84D1D1-A14F-4A86-A647-E9AA261CA5AD}</b:Guid>
    <b:Title>Trust and Mutual Gains Approach: Negotiations Between Westerners and Chinese</b:Title>
    <b:Year>2007</b:Year>
    <b:Publisher>Norwegian School of Economics and Business Administration</b:Publisher>
    <b:City>Bergen</b:City>
    <b:Author>
      <b:Author>
        <b:NameList>
          <b:Person>
            <b:Last>Knudsen </b:Last>
            <b:Middle>Kristin Gilbertsen</b:Middle>
            <b:First>Linn</b:First>
          </b:Person>
        </b:NameList>
      </b:Author>
    </b:Author>
    <b:RefOrder>642</b:RefOrder>
  </b:Source>
  <b:Source>
    <b:Tag>Spa03</b:Tag>
    <b:SourceType>Book</b:SourceType>
    <b:Guid>{8B1CC5A5-8490-47A3-A4B6-67266B49C67F}</b:Guid>
    <b:Title>Negotiation: Communication for Diverse Settings</b:Title>
    <b:Year>2003</b:Year>
    <b:Publisher>SAGE Publications, Inc. </b:Publisher>
    <b:City>CA</b:City>
    <b:Author>
      <b:Author>
        <b:NameList>
          <b:Person>
            <b:Last>Spangle</b:Last>
            <b:Middle>L</b:Middle>
            <b:First>M</b:First>
          </b:Person>
          <b:Person>
            <b:Last>Isenhart</b:Last>
            <b:Middle>W</b:Middle>
            <b:First>M</b:First>
          </b:Person>
        </b:NameList>
      </b:Author>
    </b:Author>
    <b:JournalName>Thousand Oaks</b:JournalName>
    <b:RefOrder>643</b:RefOrder>
  </b:Source>
  <b:Source>
    <b:Tag>Han94</b:Tag>
    <b:SourceType>Report</b:SourceType>
    <b:Guid>{AE115F4B-86F4-4658-A0AD-4A38FAC0AA86}</b:Guid>
    <b:Title>Decision Theory</b:Title>
    <b:Year>1994</b:Year>
    <b:Publisher>Royal Institute of Technology</b:Publisher>
    <b:City>Stockholm</b:City>
    <b:Author>
      <b:Author>
        <b:NameList>
          <b:Person>
            <b:Last>Hansson</b:Last>
            <b:Middle>Ove</b:Middle>
            <b:First>Sven</b:First>
          </b:Person>
        </b:NameList>
      </b:Author>
    </b:Author>
    <b:RefOrder>644</b:RefOrder>
  </b:Source>
  <b:Source>
    <b:Tag>Min76</b:Tag>
    <b:SourceType>JournalArticle</b:SourceType>
    <b:Guid>{E4ADE15B-6018-4331-85CC-798999945A44}</b:Guid>
    <b:Title>The Structure of 'Unstructured' Decision Processes</b:Title>
    <b:JournalName>Administrative Sciences Quarterly</b:JournalName>
    <b:Year>1976</b:Year>
    <b:Pages>vol. 21, pp. 246-275</b:Pages>
    <b:Author>
      <b:Author>
        <b:NameList>
          <b:Person>
            <b:Last>Mintzberg</b:Last>
          </b:Person>
          <b:Person>
            <b:Last>Raisinghani</b:Last>
            <b:First>Dury</b:First>
          </b:Person>
          <b:Person>
            <b:Last>Théorêt</b:Last>
            <b:First>André</b:First>
          </b:Person>
        </b:NameList>
      </b:Author>
    </b:Author>
    <b:RefOrder>645</b:RefOrder>
  </b:Source>
  <b:Source>
    <b:Tag>Wit13</b:Tag>
    <b:SourceType>BookSection</b:SourceType>
    <b:Guid>{9584D924-7C80-4D0A-A4AF-200F186DF324}</b:Guid>
    <b:Title>Rational Choice Theory</b:Title>
    <b:Year>2013</b:Year>
    <b:Pages>1056</b:Pages>
    <b:Author>
      <b:Author>
        <b:NameList>
          <b:Person>
            <b:Last>Wittek</b:Last>
            <b:First>Rafael</b:First>
          </b:Person>
        </b:NameList>
      </b:Author>
      <b:BookAuthor>
        <b:NameList>
          <b:Person>
            <b:Last>Warms</b:Last>
            <b:Middle>L</b:Middle>
            <b:First>Richard</b:First>
          </b:Person>
          <b:Person>
            <b:Last>McGee</b:Last>
            <b:Middle>R</b:Middle>
            <b:First>Jon</b:First>
          </b:Person>
        </b:NameList>
      </b:BookAuthor>
    </b:Author>
    <b:BookTitle>Theory in Social and Cultural Anthropology - An Encyclopedia</b:BookTitle>
    <b:City>USA</b:City>
    <b:Publisher>SAGE Publications, Inc</b:Publisher>
    <b:RefOrder>646</b:RefOrder>
  </b:Source>
  <b:Source>
    <b:Tag>Dro00</b:Tag>
    <b:SourceType>JournalArticle</b:SourceType>
    <b:Guid>{0EB198BD-245A-4D22-8FF9-CEA1612E79E5}</b:Guid>
    <b:Title>Rapport in Conflict Resolution: Accounting for How Face-to-Face Contact Fosters Mutual Cooperation in Mixed-Motive Conflicts</b:Title>
    <b:JournalName>Journal of Experimental Social Psychology</b:JournalName>
    <b:Year>2000</b:Year>
    <b:Pages>vol 36, pp. 26-50</b:Pages>
    <b:Author>
      <b:Author>
        <b:NameList>
          <b:Person>
            <b:Last>Drolet</b:Last>
            <b:Middle>L</b:Middle>
            <b:First>Aimee</b:First>
          </b:Person>
          <b:Person>
            <b:Last>Morris</b:Last>
            <b:Middle>W</b:Middle>
            <b:First>Michael</b:First>
          </b:Person>
        </b:NameList>
      </b:Author>
    </b:Author>
    <b:RefOrder>647</b:RefOrder>
  </b:Source>
  <b:Source>
    <b:Tag>Fis91</b:Tag>
    <b:SourceType>Book</b:SourceType>
    <b:Guid>{EEDE7330-A784-4D43-AECD-A9D28FE572A3}</b:Guid>
    <b:Title>Getting to Yes: Negotiating Agreement Without Giving In. Revised 2nd edition</b:Title>
    <b:Year>1991</b:Year>
    <b:Author>
      <b:Author>
        <b:NameList>
          <b:Person>
            <b:Last>Fisher</b:Last>
            <b:First>R</b:First>
          </b:Person>
          <b:Person>
            <b:Last>Ury</b:Last>
            <b:First>W</b:First>
          </b:Person>
          <b:Person>
            <b:Last>Patton</b:Last>
            <b:First>B</b:First>
          </b:Person>
        </b:NameList>
      </b:Author>
    </b:Author>
    <b:City>New York, USA</b:City>
    <b:Publisher>Penguin Books</b:Publisher>
    <b:RefOrder>648</b:RefOrder>
  </b:Source>
  <b:Source>
    <b:Tag>Jen101</b:Tag>
    <b:SourceType>JournalArticle</b:SourceType>
    <b:Guid>{CCEC1F58-5FCC-43C7-997E-560DE1F02672}</b:Guid>
    <b:LCID>0</b:LCID>
    <b:Author>
      <b:Author>
        <b:NameList>
          <b:Person>
            <b:Last>Jenny</b:Last>
            <b:First>C.A</b:First>
          </b:Person>
          <b:Person>
            <b:Last>Isaac</b:Last>
            <b:First>M.M.</b:First>
          </b:Person>
        </b:NameList>
      </b:Author>
    </b:Author>
    <b:Title> Mobile phones and economic development in Africa.</b:Title>
    <b:JournalName>Journal of Economic Perspectives</b:JournalName>
    <b:Year>2010</b:Year>
    <b:Pages>207-232.</b:Pages>
    <b:Volume>24</b:Volume>
    <b:Issue>3</b:Issue>
    <b:RefOrder>649</b:RefOrder>
  </b:Source>
  <b:Source>
    <b:Tag>Abu111</b:Tag>
    <b:SourceType>Misc</b:SourceType>
    <b:Guid>{66EC4C00-630A-44AF-B5C5-801DCA6A8D65}</b:Guid>
    <b:LCID>0</b:LCID>
    <b:Author>
      <b:Author>
        <b:NameList>
          <b:Person>
            <b:Last>Abudu</b:Last>
            <b:First>A.,G.</b:First>
          </b:Person>
        </b:NameList>
      </b:Author>
    </b:Author>
    <b:Title>Assessing the operational performance of Vodafone Ghana company limited in the Ghanaian telecommunication industry.</b:Title>
    <b:PublicationTitle> Published Master Thesis, Kwame Nkrumah University of Science and Technology, Ghana.</b:PublicationTitle>
    <b:Year>2011</b:Year>
    <b:RefOrder>650</b:RefOrder>
  </b:Source>
  <b:Source>
    <b:Tag>Art162</b:Tag>
    <b:SourceType>Misc</b:SourceType>
    <b:Guid>{A4A305E9-3333-4A25-9A6C-6D7B2C305E2F}</b:Guid>
    <b:LCID>0</b:LCID>
    <b:Author>
      <b:Author>
        <b:NameList>
          <b:Person>
            <b:Last>Arthur</b:Last>
            <b:First>E.</b:First>
          </b:Person>
        </b:NameList>
      </b:Author>
    </b:Author>
    <b:Title>Market orientation and firm performance in Ghana’s mobile telecommunications industry.</b:Title>
    <b:PublicationTitle>PhD Thesis, London Metropolitan University,</b:PublicationTitle>
    <b:Year>2016</b:Year>
    <b:CountryRegion>United Kingdom.</b:CountryRegion>
    <b:RefOrder>651</b:RefOrder>
  </b:Source>
  <b:Source>
    <b:Tag>Qua121</b:Tag>
    <b:SourceType>Misc</b:SourceType>
    <b:Guid>{C55C44EE-6A06-43F4-BA38-C59F6B19EA62}</b:Guid>
    <b:LCID>0</b:LCID>
    <b:Author>
      <b:Author>
        <b:NameList>
          <b:Person>
            <b:Last>Quaye</b:Last>
            <b:First>E.A.S.</b:First>
          </b:Person>
        </b:NameList>
      </b:Author>
    </b:Author>
    <b:Title>An Investigation of key Determinants of Customer Loyalty Evidence from Ghana’s Mobile Telecommunication Industry, </b:Title>
    <b:PublicationTitle>Master Thesis, Norges Handelshøyskole.</b:PublicationTitle>
    <b:Year>2012</b:Year>
    <b:RefOrder>652</b:RefOrder>
  </b:Source>
  <b:Source>
    <b:Tag>Tam19</b:Tag>
    <b:SourceType>InternetSite</b:SourceType>
    <b:Guid>{7E23753D-3C38-4227-9AD6-40F16009ED5E}</b:Guid>
    <b:LCID>0</b:LCID>
    <b:Author>
      <b:Author>
        <b:NameList>
          <b:Person>
            <b:Last>Tamakloe</b:Last>
            <b:First>G.</b:First>
            <b:Middle>K.</b:Middle>
          </b:Person>
        </b:NameList>
      </b:Author>
    </b:Author>
    <b:Title>Challenges faced by mobile financial services in Ghana. </b:Title>
    <b:Year>2019</b:Year>
    <b:YearAccessed> 2021</b:YearAccessed>
    <b:MonthAccessed>April</b:MonthAccessed>
    <b:DayAccessed>10</b:DayAccessed>
    <b:URL>https://medium.com/@bacehq/challenges-faced-by-mobile-financial-services-in-ghana-c9b8ef6eb5a.</b:URL>
    <b:RefOrder>653</b:RefOrder>
  </b:Source>
  <b:Source>
    <b:Tag>Lok161</b:Tag>
    <b:SourceType>InternetSite</b:SourceType>
    <b:Guid>{0B61EC48-F101-41AD-8DEE-500BE1FBEFDD}</b:Guid>
    <b:LCID>0</b:LCID>
    <b:Author>
      <b:Author>
        <b:NameList>
          <b:Person>
            <b:Last>Lokko</b:Last>
            <b:First>K.</b:First>
            <b:Middle>V.</b:Middle>
          </b:Person>
        </b:NameList>
      </b:Author>
    </b:Author>
    <b:Title>Alert: Ghana’s telcos in trouble; some faces imminent collapse. 	</b:Title>
    <b:Year>2016</b:Year>
    <b:YearAccessed>2021</b:YearAccessed>
    <b:MonthAccessed>November</b:MonthAccessed>
    <b:DayAccessed>20</b:DayAccessed>
    <b:URL>http://citifmonlin.com/2016/03/17alert-ghanas-telcos-trouble-face-imminent-collapse/. </b:URL>
    <b:RefOrder>654</b:RefOrder>
  </b:Source>
  <b:Source>
    <b:Tag>Tus16</b:Tag>
    <b:SourceType>JournalArticle</b:SourceType>
    <b:Guid>{B2ACF374-1F32-4D66-B1E4-16320CE9D29F}</b:Guid>
    <b:LCID>0</b:LCID>
    <b:Author>
      <b:Author>
        <b:NameList>
          <b:Person>
            <b:Last>Tussyadiah</b:Last>
            <b:First>I.P.</b:First>
          </b:Person>
        </b:NameList>
      </b:Author>
    </b:Author>
    <b:Title>Factors of satisfaction and intention to use peer-to-peer accommodation.</b:Title>
    <b:Year>2016</b:Year>
    <b:JournalName>International Journal of Hospitality Management,</b:JournalName>
    <b:Pages>70-80.</b:Pages>
    <b:Volume>55</b:Volume>
    <b:RefOrder>655</b:RefOrder>
  </b:Source>
  <b:Source>
    <b:Tag>Wor16</b:Tag>
    <b:SourceType>JournalArticle</b:SourceType>
    <b:Guid>{2246050D-8350-405C-A054-F353F63739CA}</b:Guid>
    <b:LCID>0</b:LCID>
    <b:Author>
      <b:Author>
        <b:NameList>
          <b:Person>
            <b:Last>Worsfold</b:Last>
            <b:First>K.</b:First>
          </b:Person>
          <b:Person>
            <b:Last>Fisher</b:Last>
            <b:First>R.</b:First>
          </b:Person>
          <b:Person>
            <b:Last>McPhail</b:Last>
            <b:First>R.</b:First>
          </b:Person>
          <b:Person>
            <b:Last>Francis</b:Last>
            <b:First>M.</b:First>
          </b:Person>
          <b:Person>
            <b:Last>Thomas</b:Last>
            <b:First>A.</b:First>
          </b:Person>
        </b:NameList>
      </b:Author>
    </b:Author>
    <b:Title>Satisfaction, value and intention to return in hotels</b:Title>
    <b:Year>2016</b:Year>
    <b:JournalName>International Journal of Contemporary Hospitality Management</b:JournalName>
    <b:Pages>2570-2588</b:Pages>
    <b:Volume>28</b:Volume>
    <b:Issue>11</b:Issue>
    <b:RefOrder>656</b:RefOrder>
  </b:Source>
  <b:Source>
    <b:Tag>Hun04</b:Tag>
    <b:SourceType>JournalArticle</b:SourceType>
    <b:Guid>{3941610B-8CB3-4EE8-90E9-DBA92C97ADBA}</b:Guid>
    <b:LCID>0</b:LCID>
    <b:Author>
      <b:Author>
        <b:NameList>
          <b:Person>
            <b:Last>Hunt</b:Last>
            <b:First>S.</b:First>
            <b:Middle>D.</b:Middle>
          </b:Person>
          <b:Person>
            <b:Last>Arnett</b:Last>
            <b:First>D.</b:First>
            <b:Middle>B.</b:Middle>
          </b:Person>
        </b:NameList>
      </b:Author>
    </b:Author>
    <b:Title>‘Market segmentation strategy, competitive advantage and public policy: grounding segmentation strategy in resource-advantage theory’.</b:Title>
    <b:JournalName>AustralasianMarketing Journal,</b:JournalName>
    <b:Year>2004</b:Year>
    <b:Pages>7–25</b:Pages>
    <b:Volume>12</b:Volume>
    <b:Issue>1</b:Issue>
    <b:RefOrder>657</b:RefOrder>
  </b:Source>
  <b:Source xmlns:b="http://schemas.openxmlformats.org/officeDocument/2006/bibliography">
    <b:Tag>Kot16</b:Tag>
    <b:SourceType>Book</b:SourceType>
    <b:Guid>{22013137-5F62-46E4-8E11-81200265D9EB}</b:Guid>
    <b:LCID>0</b:LCID>
    <b:Author>
      <b:Author>
        <b:NameList>
          <b:Person>
            <b:Last>Kotler</b:Last>
            <b:First>P.</b:First>
          </b:Person>
          <b:Person>
            <b:Last>Armstrong</b:Last>
            <b:First>G.</b:First>
          </b:Person>
          <b:Person>
            <b:Last>Tait</b:Last>
            <b:First>M.</b:First>
          </b:Person>
        </b:NameList>
      </b:Author>
    </b:Author>
    <b:Title>Principles of Marketing: Global and Southern African Perspectives,</b:Title>
    <b:Year>2016</b:Year>
    <b:City>Cape Town</b:City>
    <b:Publisher>Pearson</b:Publisher>
    <b:Edition>2nd Edition</b:Edition>
    <b:RefOrder>658</b:RefOrder>
  </b:Source>
  <b:Source>
    <b:Tag>Che17</b:Tag>
    <b:SourceType>InternetSite</b:SourceType>
    <b:Guid>{65AC11F4-EFDF-4042-8063-9D9A67879A6E}</b:Guid>
    <b:LCID>0</b:LCID>
    <b:Author>
      <b:Author>
        <b:NameList>
          <b:Person>
            <b:Last>Chepkemoi</b:Last>
            <b:First>J.</b:First>
          </b:Person>
        </b:NameList>
      </b:Author>
    </b:Author>
    <b:Title>The largest mobile network operators in the world. World Atlas</b:Title>
    <b:Year>2017</b:Year>
    <b:YearAccessed>2022</b:YearAccessed>
    <b:MonthAccessed>February</b:MonthAccessed>
    <b:DayAccessed>22</b:DayAccessed>
    <b:URL>http://www.worldatlas.com/articles/the-largest-mobile-networkoperators-in-the-world.html.</b:URL>
    <b:RefOrder>659</b:RefOrder>
  </b:Source>
  <b:Source>
    <b:Tag>Fen17</b:Tag>
    <b:SourceType>InternetSite</b:SourceType>
    <b:Guid>{96F07456-A598-459D-A13F-060FC4F3A3E5}</b:Guid>
    <b:LCID>0</b:LCID>
    <b:Author>
      <b:Author>
        <b:NameList>
          <b:Person>
            <b:Last>Fendelman</b:Last>
            <b:First>A.</b:First>
          </b:Person>
        </b:NameList>
      </b:Author>
    </b:Author>
    <b:Title>Definition of MNO: What is an MNO Cell Phone Carrier? </b:Title>
    <b:Year>2017</b:Year>
    <b:YearAccessed>2022</b:YearAccessed>
    <b:MonthAccessed>February</b:MonthAccessed>
    <b:DayAccessed>4</b:DayAccessed>
    <b:URL>https://www.lifewire.com/what-is-mno-cell-phone-carrier-578672</b:URL>
    <b:RefOrder>660</b:RefOrder>
  </b:Source>
  <b:Source>
    <b:Tag>Glo16</b:Tag>
    <b:SourceType>InternetSite</b:SourceType>
    <b:Guid>{EFB2FF65-A8DD-4DC3-9449-6A4882819E2E}</b:Guid>
    <b:LCID>0</b:LCID>
    <b:Author>
      <b:Author>
        <b:Corporate>Global System for Mobile Communications Association [GSMA]</b:Corporate>
      </b:Author>
    </b:Author>
    <b:Title>“The Mobile Economy Africa 2016”	</b:Title>
    <b:Year>2016</b:Year>
    <b:YearAccessed>2022</b:YearAccessed>
    <b:MonthAccessed>January</b:MonthAccessed>
    <b:DayAccessed>26</b:DayAccessed>
    <b:URL>http://www.gsma.com/mobileeconomy/africa/</b:URL>
    <b:RefOrder>661</b:RefOrder>
  </b:Source>
  <b:Source>
    <b:Tag>Yia191</b:Tag>
    <b:SourceType>Misc</b:SourceType>
    <b:Guid>{15B5BA06-35B9-435C-888F-FAFDABAC50CB}</b:Guid>
    <b:LCID>0</b:LCID>
    <b:Author>
      <b:Author>
        <b:NameList>
          <b:Person>
            <b:Last>Yiadom</b:Last>
          </b:Person>
        </b:NameList>
      </b:Author>
    </b:Author>
    <b:Title>Creating value through experiential marketing for mobile network operators in Ghana</b:Title>
    <b:Year>2019</b:Year>
    <b:PublicationTitle>Unpublished Doctoral Thesis,</b:PublicationTitle>
    <b:City>Port Elizabeth</b:City>
    <b:CountryRegion>South Africa</b:CountryRegion>
    <b:Publisher>Nelson Mandela University</b:Publisher>
    <b:RefOrder>662</b:RefOrder>
  </b:Source>
  <b:Source>
    <b:Tag>Nim101</b:Tag>
    <b:SourceType>JournalArticle</b:SourceType>
    <b:Guid>{234A0FB6-C5AD-4F3A-86F7-980D22B55B8E}</b:Guid>
    <b:LCID>0</b:LCID>
    <b:Author>
      <b:Author>
        <b:NameList>
          <b:Person>
            <b:Last>Nimako</b:Last>
            <b:First>SGK</b:First>
          </b:Person>
          <b:Person>
            <b:Last>Azumah</b:Last>
            <b:First>F</b:First>
          </b:Person>
          <b:Person>
            <b:Last>Donkor</b:Last>
            <b:First>F</b:First>
          </b:Person>
        </b:NameList>
      </b:Author>
    </b:Author>
    <b:Title>Overall Customer Satisfaction in Ghana’s Mobile Telecommunication Networks: Implications for Management and Policy</b:Title>
    <b:Year>2010</b:Year>
    <b:JournalName>ATDF Journal</b:JournalName>
    <b:Volume>7</b:Volume>
    <b:Issue>8/7</b:Issue>
    <b:RefOrder>663</b:RefOrder>
  </b:Source>
  <b:Source>
    <b:Tag>MTN141</b:Tag>
    <b:SourceType>InternetSite</b:SourceType>
    <b:Guid>{F5861433-293C-42FC-AD7E-8D0B6F054C8C}</b:Guid>
    <b:LCID>0</b:LCID>
    <b:Author>
      <b:Author>
        <b:Corporate>MTN Ghana</b:Corporate>
      </b:Author>
    </b:Author>
    <b:Title>A better experience is here</b:Title>
    <b:Year>2014</b:Year>
    <b:YearAccessed>2021</b:YearAccessed>
    <b:MonthAccessed>November</b:MonthAccessed>
    <b:DayAccessed>20</b:DayAccessed>
    <b:URL>https://www.mtn.com.gh/personal/internet/4g-lte</b:URL>
    <b:RefOrder>664</b:RefOrder>
  </b:Source>
  <b:Source>
    <b:Tag>TIG161</b:Tag>
    <b:SourceType>Report</b:SourceType>
    <b:Guid>{9DA5D252-5B91-41E3-9FCB-0B1985BA3BD0}</b:Guid>
    <b:LCID>0</b:LCID>
    <b:Author>
      <b:Author>
        <b:Corporate>TIGO Annual Report</b:Corporate>
      </b:Author>
    </b:Author>
    <b:Title>Creating digital communities; Millicom annual report</b:Title>
    <b:Year>2016</b:Year>
    <b:Publisher>Millicom the Digital 	Lifestyle</b:Publisher>
    <b:RefOrder>665</b:RefOrder>
  </b:Source>
  <b:Source>
    <b:Tag>Abo122</b:Tag>
    <b:SourceType>Misc</b:SourceType>
    <b:Guid>{F295D366-3F17-4C4B-AE54-D5C9C40D5ECA}</b:Guid>
    <b:LCID>0</b:LCID>
    <b:Author>
      <b:Author>
        <b:NameList>
          <b:Person>
            <b:Last>Aboagye-Da-Costa</b:Last>
            <b:First>D.</b:First>
            <b:Middle>P</b:Middle>
          </b:Person>
        </b:NameList>
      </b:Author>
    </b:Author>
    <b:Title>Internet Quality in Southern Ghana for Businesses Vendor: Viope Solutions Oy</b:Title>
    <b:Year>2012</b:Year>
    <b:PublicationTitle>Bachelor Thesis</b:PublicationTitle>
    <b:City>Leppävaara</b:City>
    <b:CountryRegion>Finland</b:CountryRegion>
    <b:Publisher> Laurea University of Applied Sciences</b:Publisher>
    <b:RefOrder>666</b:RefOrder>
  </b:Source>
  <b:Source>
    <b:Tag>Gha19</b:Tag>
    <b:SourceType>InternetSite</b:SourceType>
    <b:Guid>{A22F7AC2-71F0-4AB6-AA91-7D1CFCFD1211}</b:Guid>
    <b:LCID>0</b:LCID>
    <b:Author>
      <b:Author>
        <b:Corporate>Ghanaian Times</b:Corporate>
      </b:Author>
    </b:Author>
    <b:Title>Vodaphone launches product for family</b:Title>
    <b:Year>2019</b:Year>
    <b:YearAccessed>2021</b:YearAccessed>
    <b:MonthAccessed>November</b:MonthAccessed>
    <b:DayAccessed>11</b:DayAccessed>
    <b:URL>https://allafrica.com/stories/201906100372.htm</b:URL>
    <b:RefOrder>667</b:RefOrder>
  </b:Source>
  <b:Source>
    <b:Tag>Gha18</b:Tag>
    <b:SourceType>InternetSite</b:SourceType>
    <b:Guid>{5DC60B64-3654-4DA2-A625-3060A475E3E9}</b:Guid>
    <b:LCID>0</b:LCID>
    <b:Author>
      <b:Author>
        <b:Corporate>Ghana News Agency [GNA]</b:Corporate>
      </b:Author>
    </b:Author>
    <b:Title>Vodaphone partners Kwese to introduce video on-demand</b:Title>
    <b:Year>2018</b:Year>
    <b:YearAccessed>2021</b:YearAccessed>
    <b:MonthAccessed>July</b:MonthAccessed>
    <b:DayAccessed>29</b:DayAccessed>
    <b:URL>https://www.businessghana.com/site/news/business/174687/Vodaphone-partners-Kwese-to-introduce-video-on-demand.</b:URL>
    <b:RefOrder>668</b:RefOrder>
  </b:Source>
  <b:Source>
    <b:Tag>Lan19</b:Tag>
    <b:SourceType>InternetSite</b:SourceType>
    <b:Guid>{346E8FCE-B3E3-493B-B7AA-910B191ACFE7}</b:Guid>
    <b:LCID>0</b:LCID>
    <b:Author>
      <b:Author>
        <b:NameList>
          <b:Person>
            <b:Last>Lancaster</b:Last>
            <b:First>H</b:First>
          </b:Person>
        </b:NameList>
      </b:Author>
    </b:Author>
    <b:Title>Ghana Telecoms, Mobile and Broadband Market Analysis, Trends and Industry Key Players-Vodaphone Ghana, Capital Telecom, Globacom, MainOne, VoltaCom/2019-2023</b:Title>
    <b:Year>2019</b:Year>
    <b:YearAccessed>2021</b:YearAccessed>
    <b:MonthAccessed>June</b:MonthAccessed>
    <b:DayAccessed>24</b:DayAccessed>
    <b:URL>https://www.marketwatch.com/press-release/Ghana-telecoms-mobile-and-broadband-market-analysis-trends-and-industry-key-players---vodaphone-ghana-capital-telecom-globacom-mainone-voltacom-2019-2023-2019-04-08. </b:URL>
    <b:RefOrder>669</b:RefOrder>
  </b:Source>
  <b:Source>
    <b:Tag>Nes171</b:Tag>
    <b:SourceType>Misc</b:SourceType>
    <b:Guid>{17D25192-9682-4309-AB80-7E96D39D6DA2}</b:Guid>
    <b:LCID>0</b:LCID>
    <b:Author>
      <b:Author>
        <b:NameList>
          <b:Person>
            <b:Last>Nes</b:Last>
            <b:First>I.</b:First>
            <b:Middle>P</b:Middle>
          </b:Person>
        </b:NameList>
      </b:Author>
    </b:Author>
    <b:Title>Mobile Phones and Innovations: An Empirical Description of Farmers´ Utilizations of the Mobile Phone in Upper East Region, Ghana</b:Title>
    <b:Year>2017</b:Year>
    <b:PublicationTitle>Master Thesis Department of Geography</b:PublicationTitle>
    <b:Publisher>University of Bergen</b:Publisher>
    <b:RefOrder>670</b:RefOrder>
  </b:Source>
  <b:Source>
    <b:Tag>Asa121</b:Tag>
    <b:SourceType>JournalArticle</b:SourceType>
    <b:Guid>{CEF88BCF-730F-4D86-8885-8842DEAA8084}</b:Guid>
    <b:LCID>0</b:LCID>
    <b:Author>
      <b:Author>
        <b:NameList>
          <b:Person>
            <b:Last>Asabere</b:Last>
            <b:First>N.</b:First>
            <b:Middle>Y</b:Middle>
          </b:Person>
          <b:Person>
            <b:Last>Getor</b:Last>
            <b:First>J</b:First>
          </b:Person>
          <b:Person>
            <b:Last>Asafo-Adjaye</b:Last>
            <b:First>J.</b:First>
            <b:Middle>Y</b:Middle>
          </b:Person>
        </b:NameList>
      </b:Author>
    </b:Author>
    <b:Title>Measuring the Impact of Online Social Networking Sites (SNSs) in the Telecommunication Industry: An Empirical Study of the Republic of Ghana.</b:Title>
    <b:Year>2012</b:Year>
    <b:JournalName>International Journal of Information and Communication Technology Research</b:JournalName>
    <b:Pages>527-547</b:Pages>
    <b:Volume>2</b:Volume>
    <b:Issue>7</b:Issue>
    <b:RefOrder>671</b:RefOrder>
  </b:Source>
  <b:Source>
    <b:Tag>Dow171</b:Tag>
    <b:SourceType>InternetSite</b:SourceType>
    <b:Guid>{2A6A53B4-0909-4FFA-ACD9-42CC5AD0AC89}</b:Guid>
    <b:LCID>0</b:LCID>
    <b:Author>
      <b:Author>
        <b:NameList>
          <b:Person>
            <b:Last>Dowuona</b:Last>
            <b:First>S</b:First>
          </b:Person>
        </b:NameList>
      </b:Author>
    </b:Author>
    <b:Title>Glo launches 4 new products</b:Title>
    <b:Year>2017</b:Year>
    <b:YearAccessed>2022</b:YearAccessed>
    <b:MonthAccessed>February</b:MonthAccessed>
    <b:DayAccessed>23</b:DayAccessed>
    <b:URL>https://www.myjoyonline.com/business/2017/August-28th/glo-launches-4-new-products-	new-ghana-boss-unveiled.php.</b:URL>
    <b:RefOrder>672</b:RefOrder>
  </b:Source>
  <b:Source>
    <b:Tag>Kal16</b:Tag>
    <b:SourceType>Book</b:SourceType>
    <b:Guid>{7A479A38-695D-4242-8A1D-E9DC552B1E59}</b:Guid>
    <b:LCID>0</b:LCID>
    <b:Author>
      <b:Author>
        <b:NameList>
          <b:Person>
            <b:Last>Kalbach</b:Last>
            <b:First>J</b:First>
          </b:Person>
        </b:NameList>
      </b:Author>
    </b:Author>
    <b:Title> Mapping experiences: A complete guide to creating value through journeys, blueprints and diagrams</b:Title>
    <b:Year>2016</b:Year>
    <b:Publisher>Sebastopol: O'Reilly</b:Publisher>
    <b:RefOrder>673</b:RefOrder>
  </b:Source>
  <b:Source>
    <b:Tag>Wal11</b:Tag>
    <b:SourceType>JournalArticle</b:SourceType>
    <b:Guid>{42770200-7994-4E1B-B20E-B34064E61B4E}</b:Guid>
    <b:LCID>0</b:LCID>
    <b:Author>
      <b:Author>
        <b:NameList>
          <b:Person>
            <b:Last>Walls</b:Last>
            <b:First>A</b:First>
          </b:Person>
          <b:Person>
            <b:Last>Okumus</b:Last>
            <b:First>F</b:First>
          </b:Person>
          <b:Person>
            <b:Last>Wang</b:Last>
            <b:First>Y</b:First>
          </b:Person>
          <b:Person>
            <b:Last>Kwun</b:Last>
            <b:First>D</b:First>
          </b:Person>
        </b:NameList>
      </b:Author>
    </b:Author>
    <b:Title>An epistemological view of consumer experiences</b:Title>
    <b:JournalName>International Journal of Hospitality Management</b:JournalName>
    <b:Year>2011</b:Year>
    <b:Pages>10–21</b:Pages>
    <b:Volume>30</b:Volume>
    <b:RefOrder>674</b:RefOrder>
  </b:Source>
  <b:Source>
    <b:Tag>Yia21</b:Tag>
    <b:SourceType>JournalArticle</b:SourceType>
    <b:Guid>{769397F7-DE17-4CFF-B13C-AD4E8C95B67B}</b:Guid>
    <b:LCID>0</b:LCID>
    <b:Author>
      <b:Author>
        <b:NameList>
          <b:Person>
            <b:Last>Yiadom</b:Last>
            <b:First>M.</b:First>
            <b:Middle>B</b:Middle>
          </b:Person>
          <b:Person>
            <b:Last>Tait</b:Last>
            <b:First>M</b:First>
          </b:Person>
        </b:NameList>
      </b:Author>
    </b:Author>
    <b:Title>Integrating Approach to Build Customer Experiences: Lessons Learned from Mobile Customers in Ghana</b:Title>
    <b:Year>2021</b:Year>
    <b:JournalName>Journal of Economics and Behavioral Studies</b:JournalName>
    <b:Pages>34-44</b:Pages>
    <b:Volume>13</b:Volume>
    <b:Issue>2</b:Issue>
    <b:RefOrder>675</b:RefOrder>
  </b:Source>
  <b:Source>
    <b:Tag>Ket18</b:Tag>
    <b:SourceType>InternetSite</b:SourceType>
    <b:Guid>{AD036402-D7CC-435E-9504-6C5EF378F875}</b:Guid>
    <b:LCID>0</b:LCID>
    <b:Author>
      <b:Author>
        <b:NameList>
          <b:Person>
            <b:Last>Ketchen</b:Last>
            <b:First>E</b:First>
          </b:Person>
        </b:NameList>
      </b:Author>
    </b:Author>
    <b:Title>Measuring experiential marketing: Finding tangible KPIs in ephemeral experiences</b:Title>
    <b:Year>2018</b:Year>
    <b:YearAccessed>2021</b:YearAccessed>
    <b:MonthAccessed>April</b:MonthAccessed>
    <b:DayAccessed>19</b:DayAccessed>
    <b:URL>https://www.adexchanger.com/brand-aware/measuring-experiential-marketing-finding-tangible-kpis-in-ephemeral-experiences</b:URL>
    <b:RefOrder>676</b:RefOrder>
  </b:Source>
  <b:Source>
    <b:Tag>Hul11</b:Tag>
    <b:SourceType>JournalArticle</b:SourceType>
    <b:Guid>{E68587DD-D1C7-4B7D-8FA8-68A11A6E47A9}</b:Guid>
    <b:LCID>0</b:LCID>
    <b:Author>
      <b:Author>
        <b:NameList>
          <b:Person>
            <b:Last>Hultén</b:Last>
            <b:First>B.</b:First>
          </b:Person>
        </b:NameList>
      </b:Author>
    </b:Author>
    <b:Title>Sensory marketing: The multi-sensory brand-experience concept</b:Title>
    <b:Year>2011</b:Year>
    <b:JournalName>European Business Review,</b:JournalName>
    <b:Pages>256–273</b:Pages>
    <b:Volume>23</b:Volume>
    <b:RefOrder>677</b:RefOrder>
  </b:Source>
  <b:Source>
    <b:Tag>Lee11</b:Tag>
    <b:SourceType>JournalArticle</b:SourceType>
    <b:Guid>{B9551F07-5CA0-4E92-82FB-CDC4BA789479}</b:Guid>
    <b:LCID>0</b:LCID>
    <b:Author>
      <b:Author>
        <b:NameList>
          <b:Person>
            <b:Last>Lee</b:Last>
            <b:First>M.S.</b:First>
          </b:Person>
          <b:Person>
            <b:Last>Hsiao</b:Last>
            <b:First>H.D.</b:First>
          </b:Person>
          <b:Person>
            <b:Last>Yang</b:Last>
            <b:First>M.F.</b:First>
          </b:Person>
        </b:NameList>
      </b:Author>
    </b:Author>
    <b:Title>The study of the relationships among experiential marketing, service quality, customer satisfaction and customer loyalty</b:Title>
    <b:JournalName> International Journal of Organisation and Innovation</b:JournalName>
    <b:Year>2011</b:Year>
    <b:Pages>352–378.</b:Pages>
    <b:Volume>3</b:Volume>
    <b:RefOrder>678</b:RefOrder>
  </b:Source>
  <b:Source>
    <b:Tag>Rad19</b:Tag>
    <b:SourceType>JournalArticle</b:SourceType>
    <b:Guid>{D4CC4A01-CED2-4535-997A-ED5D4DF3C584}</b:Guid>
    <b:LCID>0</b:LCID>
    <b:Author>
      <b:Author>
        <b:NameList>
          <b:Person>
            <b:Last>Radder</b:Last>
            <b:First>L</b:First>
          </b:Person>
          <b:Person>
            <b:Last>Van Eyk</b:Last>
            <b:First>M</b:First>
          </b:Person>
          <b:Person>
            <b:Last>Koekemoer</b:Last>
            <b:First>E</b:First>
          </b:Person>
        </b:NameList>
      </b:Author>
    </b:Author>
    <b:Title>‘The off-line retail experience: A suggested integrated framework’</b:Title>
    <b:JournalName>The Retail and Marketing Review</b:JournalName>
    <b:Year>2019</b:Year>
    <b:Pages>29–38</b:Pages>
    <b:Volume>15</b:Volume>
    <b:Issue>2</b:Issue>
    <b:RefOrder>679</b:RefOrder>
  </b:Source>
  <b:Source>
    <b:Tag>Jef12</b:Tag>
    <b:SourceType>JournalArticle</b:SourceType>
    <b:Guid>{3FD23449-4BEE-4EE0-82FD-41546D89B0BB}</b:Guid>
    <b:LCID>0</b:LCID>
    <b:Author>
      <b:Author>
        <b:NameList>
          <b:Person>
            <b:Last>Jefferies</b:Last>
            <b:First>K.</b:First>
          </b:Person>
          <b:Person>
            <b:Last>Lepp</b:Last>
            <b:First>A.</b:First>
          </b:Person>
        </b:NameList>
      </b:Author>
    </b:Author>
    <b:Title> ‘An investigation of extraordinary experiences’</b:Title>
    <b:JournalName>Journal of Park and Recreation Administration</b:JournalName>
    <b:Year>2012</b:Year>
    <b:Pages>37–51</b:Pages>
    <b:Volume>30</b:Volume>
    <b:Issue>3</b:Issue>
    <b:RefOrder>680</b:RefOrder>
  </b:Source>
  <b:Source>
    <b:Tag>Wib211</b:Tag>
    <b:SourceType>JournalArticle</b:SourceType>
    <b:Guid>{5080B9D0-D504-4AB2-9815-08BC969998A3}</b:Guid>
    <b:LCID>0</b:LCID>
    <b:Author>
      <b:Author>
        <b:NameList>
          <b:Person>
            <b:Last>Wibowo</b:Last>
            <b:First>A.</b:First>
          </b:Person>
          <b:Person>
            <b:Last>Chen</b:Last>
            <b:First>S.</b:First>
          </b:Person>
          <b:Person>
            <b:Last>Wiagin</b:Last>
            <b:First>U.</b:First>
          </b:Person>
          <b:Person>
            <b:Last>Ma</b:Last>
            <b:First>Y.</b:First>
          </b:Person>
          <b:Person>
            <b:Last>Ruangkanjanases</b:Last>
            <b:First>A</b:First>
          </b:Person>
        </b:NameList>
      </b:Author>
    </b:Author>
    <b:Title>Customer Behavior as na Outcome of Social Media Marketing: The Role of Social Media Marketing Activity and Customer Experience</b:Title>
    <b:JournalName>Sustainability</b:JournalName>
    <b:Year>2021</b:Year>
    <b:Pages>189</b:Pages>
    <b:Volume>13</b:Volume>
    <b:RefOrder>681</b:RefOrder>
  </b:Source>
  <b:Source>
    <b:Tag>Ana161</b:Tag>
    <b:SourceType>ConferenceProceedings</b:SourceType>
    <b:Guid>{DD957389-224A-4DF7-BAA1-28901D6397FA}</b:Guid>
    <b:LCID>0</b:LCID>
    <b:Author>
      <b:Author>
        <b:NameList>
          <b:Person>
            <b:Last>Ananta</b:Last>
            <b:First>B.</b:First>
          </b:Person>
        </b:NameList>
      </b:Author>
    </b:Author>
    <b:Title>Experiential marketing and customer’s relationship marketing in creating customer value. Customer Survey of 3, 4 and 5 star Hotels in the West Java Province, Asia Tourism Forum 2016</b:Title>
    <b:Year>2016</b:Year>
    <b:ConferenceName>The 12th Biennial Conference of Hospitatilty and Tourism Industry in Asia (ATF-16) </b:ConferenceName>
    <b:City>Indonesia</b:City>
    <b:Publisher>Atlantis Press</b:Publisher>
    <b:RefOrder>682</b:RefOrder>
  </b:Source>
  <b:Source>
    <b:Tag>Gao</b:Tag>
    <b:SourceType>JournalArticle</b:SourceType>
    <b:Guid>{2D167E07-FB4E-4FD1-B1A5-B6DB55D945B6}</b:Guid>
    <b:LCID>0</b:LCID>
    <b:Author>
      <b:Author>
        <b:NameList>
          <b:Person>
            <b:Last>Gao</b:Last>
            <b:First>W</b:First>
          </b:Person>
          <b:Person>
            <b:Last>Fan</b:Last>
            <b:First>H</b:First>
          </b:Person>
          <b:Person>
            <b:Last>Li</b:Last>
            <b:First>W</b:First>
          </b:Person>
          <b:Person>
            <b:Last>Wang</b:Last>
            <b:First>H</b:First>
          </b:Person>
        </b:NameList>
      </b:Author>
    </b:Author>
    <b:Title>Crafting the customer experience in omnichannel contexts: The role of channel integration.</b:Title>
    <b:Pages>122-22</b:Pages>
    <b:JournalName>Journal of Business Research</b:JournalName>
    <b:Volume>126</b:Volume>
    <b:Year>2021</b:Year>
    <b:RefOrder>683</b:RefOrder>
  </b:Source>
  <b:Source>
    <b:Tag>Sam141</b:Tag>
    <b:SourceType>JournalArticle</b:SourceType>
    <b:Guid>{F64E07E7-2633-49C5-B1D7-E0D9CC008F8C}</b:Guid>
    <b:LCID>0</b:LCID>
    <b:Author>
      <b:Author>
        <b:NameList>
          <b:Person>
            <b:Last>Same</b:Last>
            <b:First>S.</b:First>
          </b:Person>
        </b:NameList>
      </b:Author>
    </b:Author>
    <b:Title>Experience Marketing in Country Branding: Theoretical Developments and an Estonian Case Study</b:Title>
    <b:JournalName>Research in Economics and Business: Central and Eastern Europe</b:JournalName>
    <b:Year>2014</b:Year>
    <b:Pages>65-88.</b:Pages>
    <b:Volume>6</b:Volume>
    <b:Issue>1</b:Issue>
    <b:RefOrder>684</b:RefOrder>
  </b:Source>
  <b:Source>
    <b:Tag>Dat171</b:Tag>
    <b:SourceType>JournalArticle</b:SourceType>
    <b:Guid>{B1D1A260-1482-4A48-90C1-81A4E731E899}</b:Guid>
    <b:LCID>0</b:LCID>
    <b:Author>
      <b:Author>
        <b:NameList>
          <b:Person>
            <b:Last>Datta</b:Last>
            <b:First>V.</b:First>
          </b:Person>
        </b:NameList>
      </b:Author>
    </b:Author>
    <b:Title> A Conceptual Study of Experiential Marketing: Importance, Strategic Issues and Its Impact</b:Title>
    <b:JournalName>International Journal of Research-Granthaalayah,</b:JournalName>
    <b:Year>2017</b:Year>
    <b:Pages>26-30.</b:Pages>
    <b:Volume>5</b:Volume>
    <b:Issue>7</b:Issue>
    <b:RefOrder>685</b:RefOrder>
  </b:Source>
  <b:Source>
    <b:Tag>Yan11</b:Tag>
    <b:SourceType>JournalArticle</b:SourceType>
    <b:Guid>{9E77ED55-9F8C-452A-9AA5-8CABFC5BDDA2}</b:Guid>
    <b:LCID>0</b:LCID>
    <b:Author>
      <b:Author>
        <b:NameList>
          <b:Person>
            <b:Last>Yang</b:Last>
            <b:First>Z.</b:First>
            <b:Middle>Y.</b:Middle>
          </b:Person>
          <b:Person>
            <b:Last>He</b:Last>
            <b:First>L.</b:First>
            <b:Middle>Y.</b:Middle>
          </b:Person>
        </b:NameList>
      </b:Author>
    </b:Author>
    <b:Title> Goal, Customer Experience and Purchase Intention in a Retail Context in China: An Empirical Study</b:Title>
    <b:JournalName>African Journal of Business Management</b:JournalName>
    <b:Year>2011</b:Year>
    <b:Pages>6738-6746</b:Pages>
    <b:Volume>5</b:Volume>
    <b:Issue>16</b:Issue>
    <b:RefOrder>686</b:RefOrder>
  </b:Source>
  <b:Source>
    <b:Tag>Con161</b:Tag>
    <b:SourceType>Misc</b:SourceType>
    <b:Guid>{FA1B15AC-BEE6-4439-AEDA-02F33843B80A}</b:Guid>
    <b:LCID>0</b:LCID>
    <b:Author>
      <b:Author>
        <b:NameList>
          <b:Person>
            <b:Last>Conti</b:Last>
            <b:First>E.</b:First>
          </b:Person>
          <b:Person>
            <b:Last>Peachlivanidou</b:Last>
            <b:First>I.</b:First>
          </b:Person>
        </b:NameList>
      </b:Author>
    </b:Author>
    <b:Title>Experiential marketing and cultural route: The Case Study of the Routes of the Olive Tree</b:Title>
    <b:Year>2016</b:Year>
    <b:PublicationTitle>Master Thesis</b:PublicationTitle>
    <b:CountryRegion> Denmark</b:CountryRegion>
    <b:Publisher>Aalborg University.</b:Publisher>
    <b:RefOrder>687</b:RefOrder>
  </b:Source>
  <b:Source>
    <b:Tag>Git17</b:Tag>
    <b:SourceType>JournalArticle</b:SourceType>
    <b:Guid>{56ABD15B-3E8C-4AD3-8E06-ABBBA7771924}</b:Guid>
    <b:LCID>0</b:LCID>
    <b:Author>
      <b:Author>
        <b:NameList>
          <b:Person>
            <b:Last>Gita</b:Last>
            <b:First>H.</b:First>
            <b:Middle>S.</b:Middle>
          </b:Person>
        </b:NameList>
      </b:Author>
    </b:Author>
    <b:Title>Experiential Marketing Creative Antecedence for Success of Brand Loyalty (A Study on the Users of Perfume for Body in Indonesia)</b:Title>
    <b:Year>2017</b:Year>
    <b:JournalName>International Review of Management and Marketing</b:JournalName>
    <b:Pages>529-536</b:Pages>
    <b:Volume>7</b:Volume>
    <b:Issue>1</b:Issue>
    <b:RefOrder>688</b:RefOrder>
  </b:Source>
  <b:Source>
    <b:Tag>Jon19</b:Tag>
    <b:SourceType>JournalArticle</b:SourceType>
    <b:Guid>{4A81AD74-7C7F-4B74-81C7-50EC8B923D45}</b:Guid>
    <b:LCID>0</b:LCID>
    <b:Author>
      <b:Author>
        <b:NameList>
          <b:Person>
            <b:Last>Jonas</b:Last>
            <b:First>A.G.</b:First>
          </b:Person>
          <b:Person>
            <b:Last>Radder</b:Last>
            <b:First>L.</b:First>
          </b:Person>
          <b:Person>
            <b:Last>van Eyk</b:Last>
            <b:First>M.</b:First>
          </b:Person>
        </b:NameList>
      </b:Author>
    </b:Author>
    <b:Title>Profile characteristics of marine tourist</b:Title>
    <b:JournalName>African Journal of Tourism, and Leisure</b:JournalName>
    <b:Year>2019</b:Year>
    <b:Pages>1-18</b:Pages>
    <b:Volume>8</b:Volume>
    <b:Issue>4</b:Issue>
    <b:RefOrder>689</b:RefOrder>
  </b:Source>
  <b:Source>
    <b:Tag>Rad111</b:Tag>
    <b:SourceType>JournalArticle</b:SourceType>
    <b:Guid>{D3278F8A-4D39-4DFF-B6CF-D49ECE9318BA}</b:Guid>
    <b:LCID>0</b:LCID>
    <b:Author>
      <b:Author>
        <b:NameList>
          <b:Person>
            <b:Last>Radder</b:Last>
          </b:Person>
          <b:Person>
            <b:Last>Han</b:Last>
            <b:First>X.</b:First>
          </b:Person>
        </b:NameList>
      </b:Author>
    </b:Author>
    <b:Title>Segmentation and profiling South African minibus taxi commuters: A factor- cluster- tabulation analysis approach</b:Title>
    <b:JournalName>International Business and Economics Research Journal</b:JournalName>
    <b:Year>2011</b:Year>
    <b:Pages>127-138</b:Pages>
    <b:Volume>10</b:Volume>
    <b:Issue>12</b:Issue>
    <b:RefOrder>690</b:RefOrder>
  </b:Source>
  <b:Source>
    <b:Tag>The09</b:Tag>
    <b:SourceType>JournalArticle</b:SourceType>
    <b:Guid>{8B95206B-F141-4864-B8C7-2B7E883DAF97}</b:Guid>
    <b:LCID>0</b:LCID>
    <b:Author>
      <b:Author>
        <b:NameList>
          <b:Person>
            <b:Last>Theodoridis</b:Last>
            <b:First>P.</b:First>
            <b:Middle>K.</b:Middle>
          </b:Person>
          <b:Person>
            <b:Last>Chatzipanagiotou</b:Last>
            <b:First>K.</b:First>
            <b:Middle>C.</b:Middle>
          </b:Person>
        </b:NameList>
      </b:Author>
    </b:Author>
    <b:Title>Store image attributes and customer satisfaction across different customer profiles within the supermarket sector in Greece</b:Title>
    <b:JournalName>European Journal of Marketing</b:JournalName>
    <b:Year>2009</b:Year>
    <b:Pages>708-734</b:Pages>
    <b:Volume>43</b:Volume>
    <b:Issue>5/6</b:Issue>
    <b:RefOrder>691</b:RefOrder>
  </b:Source>
  <b:Source>
    <b:Tag>Placeholder27</b:Tag>
    <b:SourceType>Book</b:SourceType>
    <b:Guid>{C73C3905-41E6-40F1-ADBD-FD5B4F912EB4}</b:Guid>
    <b:LCID>0</b:LCID>
    <b:Author>
      <b:Author>
        <b:NameList>
          <b:Person>
            <b:Last>Kotler</b:Last>
            <b:First>P</b:First>
          </b:Person>
          <b:Person>
            <b:Last>Keller</b:Last>
            <b:First>K.L.</b:First>
          </b:Person>
        </b:NameList>
      </b:Author>
    </b:Author>
    <b:Title>Marketing Management</b:Title>
    <b:Year>2012</b:Year>
    <b:City>New Jersey</b:City>
    <b:Publisher>Pearson Prentice Hall</b:Publisher>
    <b:Edition>14th Edition</b:Edition>
    <b:RefOrder>692</b:RefOrder>
  </b:Source>
  <b:Source>
    <b:Tag>Kot14</b:Tag>
    <b:SourceType>Book</b:SourceType>
    <b:Guid>{4CB70896-765F-4568-8385-A141E7CCB64E}</b:Guid>
    <b:LCID>0</b:LCID>
    <b:Author>
      <b:Author>
        <b:NameList>
          <b:Person>
            <b:Last>Kotler</b:Last>
            <b:First>P.</b:First>
          </b:Person>
          <b:Person>
            <b:Last>Armstrong</b:Last>
            <b:First>G.</b:First>
          </b:Person>
        </b:NameList>
      </b:Author>
    </b:Author>
    <b:Title>Principles of Marketing</b:Title>
    <b:Year>2014</b:Year>
    <b:City>Cape Town</b:City>
    <b:Publisher>Pearson</b:Publisher>
    <b:Edition>2nd Edition</b:Edition>
    <b:RefOrder>693</b:RefOrder>
  </b:Source>
  <b:Source>
    <b:Tag>Kot141</b:Tag>
    <b:SourceType>Book</b:SourceType>
    <b:Guid>{12C70C2A-4683-4654-BBAE-7F3ACD620E37}</b:Guid>
    <b:LCID>0</b:LCID>
    <b:Author>
      <b:Author>
        <b:NameList>
          <b:Person>
            <b:Last>Kotler</b:Last>
            <b:First>P.</b:First>
          </b:Person>
          <b:Person>
            <b:Last>Armstrong</b:Last>
            <b:First>G.</b:First>
          </b:Person>
        </b:NameList>
      </b:Author>
    </b:Author>
    <b:Title>Principles of Marketing</b:Title>
    <b:Year>2014</b:Year>
    <b:City>Cape Town</b:City>
    <b:Publisher>Pearson</b:Publisher>
    <b:Edition>2nd Edition</b:Edition>
    <b:RefOrder>694</b:RefOrder>
  </b:Source>
  <b:Source>
    <b:Tag>Gin06</b:Tag>
    <b:SourceType>ArticleInAPeriodical</b:SourceType>
    <b:Guid>{A9827789-DACA-48B6-A187-4BA5B9BEE16C}</b:Guid>
    <b:LCID>0</b:LCID>
    <b:Author>
      <b:Author>
        <b:NameList>
          <b:Person>
            <b:Last>Gina</b:Last>
            <b:First>C.</b:First>
          </b:Person>
        </b:NameList>
      </b:Author>
    </b:Author>
    <b:Title>Car Makers Talk 'Bout G-G-Generations</b:Title>
    <b:Year>2006</b:Year>
    <b:PeriodicalTitle>Wall Street Journal</b:PeriodicalTitle>
    <b:Month>May</b:Month>
    <b:Day>9</b:Day>
    <b:JournalName>Wall Street Journal</b:JournalName>
    <b:RefOrder>695</b:RefOrder>
  </b:Source>
  <b:Source>
    <b:Tag>Rad15</b:Tag>
    <b:SourceType>JournalArticle</b:SourceType>
    <b:Guid>{8C7C793F-8339-476F-9FA1-04D96E719F79}</b:Guid>
    <b:LCID>0</b:LCID>
    <b:Author>
      <b:Author>
        <b:NameList>
          <b:Person>
            <b:Last>Radder</b:Last>
            <b:First>L.</b:First>
          </b:Person>
          <b:Person>
            <b:Last>Han</b:Last>
            <b:First>X.</b:First>
          </b:Person>
        </b:NameList>
      </b:Author>
    </b:Author>
    <b:Title>An examination of the museum experience based on Pine and Gilmore's experience economy realms</b:Title>
    <b:Year>2015</b:Year>
    <b:Pages>455-470</b:Pages>
    <b:JournalName>The Journal of Applied Business Research</b:JournalName>
    <b:Volume>31</b:Volume>
    <b:Issue>2</b:Issue>
    <b:RefOrder>696</b:RefOrder>
  </b:Source>
  <b:Source>
    <b:Tag>Leo95</b:Tag>
    <b:SourceType>JournalArticle</b:SourceType>
    <b:Guid>{D1DAF4CA-43B8-4888-9D5E-7E33BFAF988F}</b:Guid>
    <b:LCID>0</b:LCID>
    <b:Author>
      <b:Author>
        <b:NameList>
          <b:Person>
            <b:Last>Leonard</b:Last>
            <b:First>M.</b:First>
            <b:Middle>L.</b:Middle>
          </b:Person>
          <b:Person>
            <b:Last>Magid</b:Last>
            <b:First>A.</b:First>
          </b:Person>
          <b:Person>
            <b:Last>Stuart</b:Last>
            <b:First>K.</b:First>
          </b:Person>
          <b:Person>
            <b:Last>Jeanne</b:Last>
            <b:First>L.</b:First>
          </b:Person>
          <b:Person>
            <b:Last>Beth</b:Last>
            <b:First>L.</b:First>
          </b:Person>
          <b:Person>
            <b:Last>Bruce</b:Last>
            <b:First>R.</b:First>
          </b:Person>
          <b:Person>
            <b:Last>Mary</b:Last>
            <b:First>E.S.</b:First>
          </b:Person>
        </b:NameList>
      </b:Author>
    </b:Author>
    <b:Title> How T.V. Advertising Works: A Meta-Analysis of 389 Real-World Split Cable T.V. Advertising Experiments</b:Title>
    <b:JournalName>Journal of Marketing Research</b:JournalName>
    <b:Year>1995</b:Year>
    <b:Pages>125-39</b:Pages>
    <b:Volume>32</b:Volume>
    <b:RefOrder>697</b:RefOrder>
  </b:Source>
  <b:Source>
    <b:Tag>Sei13</b:Tag>
    <b:SourceType>JournalArticle</b:SourceType>
    <b:Guid>{F3B7749A-ED4B-4E94-B0A2-9A3F36104646}</b:Guid>
    <b:LCID>0</b:LCID>
    <b:Author>
      <b:Author>
        <b:NameList>
          <b:Person>
            <b:Last>Seiler</b:Last>
            <b:First>V.</b:First>
          </b:Person>
          <b:Person>
            <b:Last>Rudolf</b:Last>
            <b:First>M.</b:First>
          </b:Person>
          <b:Person>
            <b:Last>Krume</b:Last>
            <b:First>T.</b:First>
          </b:Person>
        </b:NameList>
      </b:Author>
    </b:Author>
    <b:Title> The influence of socio-demographic variables on customer satisfaction and loyalty in the private banking industry.</b:Title>
    <b:JournalName> International Journal of Bank Marketing</b:JournalName>
    <b:Year>2013</b:Year>
    <b:Pages>235-258</b:Pages>
    <b:Volume>31</b:Volume>
    <b:Issue>4</b:Issue>
    <b:RefOrder>698</b:RefOrder>
  </b:Source>
  <b:Source>
    <b:Tag>Cet14</b:Tag>
    <b:SourceType>JournalArticle</b:SourceType>
    <b:Guid>{4AE1C1D7-160B-48C1-8F71-17A90CD5C5B6}</b:Guid>
    <b:LCID>0</b:LCID>
    <b:Author>
      <b:Author>
        <b:NameList>
          <b:Person>
            <b:Last>Cetina</b:Last>
            <b:First>G.</b:First>
          </b:Person>
          <b:Person>
            <b:Last>Akovab</b:Last>
            <b:First>O.</b:First>
          </b:Person>
          <b:Person>
            <b:Last>Fazil</b:Last>
            <b:First>K.</b:First>
          </b:Person>
        </b:NameList>
      </b:Author>
    </b:Author>
    <b:Title> Components of experiential value: Case of the hospitality industry.</b:Title>
    <b:JournalName>Procedia- Social and Behavioral Sciences</b:JournalName>
    <b:Year>2014</b:Year>
    <b:Pages>1040–1049</b:Pages>
    <b:Volume>150</b:Volume>
    <b:RefOrder>699</b:RefOrder>
  </b:Source>
  <b:Source>
    <b:Tag>Cam18</b:Tag>
    <b:SourceType>BookSection</b:SourceType>
    <b:Guid>{C2B38768-15EF-4239-AE98-DE862350F7D1}</b:Guid>
    <b:LCID>0</b:LCID>
    <b:Author>
      <b:Author>
        <b:NameList>
          <b:Person>
            <b:Last>Camilleri</b:Last>
            <b:First>M.</b:First>
            <b:Middle>A.</b:Middle>
          </b:Person>
        </b:NameList>
      </b:Author>
    </b:Author>
    <b:Title>, Market Segmentation, Targeting and Positioning. In Travel Marketing, Tourism Economics and the Airline Product </b:Title>
    <b:Year>2018</b:Year>
    <b:Pages>69-83</b:Pages>
    <b:City>Cham, Switzerland</b:City>
    <b:Publisher>Springer</b:Publisher>
    <b:ChapterNumber>4</b:ChapterNumber>
    <b:RefOrder>700</b:RefOrder>
  </b:Source>
  <b:Source>
    <b:Tag>Nat191</b:Tag>
    <b:SourceType>InternetSite</b:SourceType>
    <b:Guid>{1599A53B-81F7-41B3-89D7-2EB91BA0792D}</b:Guid>
    <b:LCID>0</b:LCID>
    <b:Author>
      <b:Author>
        <b:Corporate>National Communications Authority </b:Corporate>
      </b:Author>
    </b:Author>
    <b:Title>Telecom Voice Subscription</b:Title>
    <b:Year>2019</b:Year>
    <b:YearAccessed>2022</b:YearAccessed>
    <b:MonthAccessed>February</b:MonthAccessed>
    <b:DayAccessed>21</b:DayAccessed>
    <b:URL>https://nca.org.gh/industry-data-2/market-share-statistics-2/voice-2/</b:URL>
    <b:RefOrder>701</b:RefOrder>
  </b:Source>
  <b:Source>
    <b:Tag>Amo18</b:Tag>
    <b:SourceType>JournalArticle</b:SourceType>
    <b:Guid>{E4ED0AD4-4853-4C24-ADDC-7586C7F69F9A}</b:Guid>
    <b:LCID>0</b:LCID>
    <b:Author>
      <b:Author>
        <b:NameList>
          <b:Person>
            <b:Last>Amoah</b:Last>
            <b:First>F.</b:First>
          </b:Person>
          <b:Person>
            <b:Last>Radder</b:Last>
            <b:First>L.</b:First>
          </b:Person>
          <b:Person>
            <b:Last>van Eyk</b:Last>
            <b:First>M.</b:First>
          </b:Person>
        </b:NameList>
      </b:Author>
    </b:Author>
    <b:Title>Profile Variables as a Basis of Segmenting Markets: A Guesthouse Perspective</b:Title>
    <b:Year>2018</b:Year>
    <b:JournalName>Journal of Economics and Behaviorial Studies</b:JournalName>
    <b:Pages>60-73</b:Pages>
    <b:Volume>10</b:Volume>
    <b:Issue>3</b:Issue>
    <b:RefOrder>702</b:RefOrder>
  </b:Source>
  <b:Source>
    <b:Tag>Juw07</b:Tag>
    <b:SourceType>JournalArticle</b:SourceType>
    <b:Guid>{662DA6FF-61EE-4961-BE8C-119FCE071399}</b:Guid>
    <b:LCID>0</b:LCID>
    <b:Author>
      <b:Author>
        <b:NameList>
          <b:Person>
            <b:Last>Juwaheer</b:Last>
            <b:First>T.</b:First>
            <b:Middle>D.</b:Middle>
          </b:Person>
        </b:NameList>
      </b:Author>
    </b:Author>
    <b:Title>Using service quality expectations as a criterion to segment international tourists in thehospitality industry. Journal of Travel and Tourism Marketing</b:Title>
    <b:Year>2007</b:Year>
    <b:Pages>1-18</b:Pages>
    <b:Volume>21</b:Volume>
    <b:Issue>2-3</b:Issue>
    <b:RefOrder>703</b:RefOrder>
  </b:Source>
  <b:Source>
    <b:Tag>Har96</b:Tag>
    <b:SourceType>JournalArticle</b:SourceType>
    <b:Guid>{7FF6E5C3-BA62-48B2-B205-4EF7D63E3812}</b:Guid>
    <b:LCID>0</b:LCID>
    <b:Author>
      <b:Author>
        <b:NameList>
          <b:Person>
            <b:Last>Haralambopoulos</b:Last>
            <b:First>N.</b:First>
          </b:Person>
          <b:Person>
            <b:Last>Pizam</b:Last>
            <b:First>A.</b:First>
          </b:Person>
        </b:NameList>
      </b:Author>
    </b:Author>
    <b:Title>Perceived impacts of tourism: The case of Samos</b:Title>
    <b:JournalName>Annals of Tourism Research</b:JournalName>
    <b:Year>1996</b:Year>
    <b:Pages>503-526</b:Pages>
    <b:Volume>23</b:Volume>
    <b:RefOrder>704</b:RefOrder>
  </b:Source>
  <b:Source>
    <b:Tag>Alt11</b:Tag>
    <b:SourceType>Misc</b:SourceType>
    <b:Guid>{083938AC-ECE2-4AF5-B56C-E51FCAC058E9}</b:Guid>
    <b:LCID>0</b:LCID>
    <b:Author>
      <b:Author>
        <b:NameList>
          <b:Person>
            <b:Last>Altobelli</b:Last>
            <b:First>R.</b:First>
          </b:Person>
        </b:NameList>
      </b:Author>
    </b:Author>
    <b:Title> The experience of shark diving in Pacific Harbor, Fiji: Who goes and how important is education and interpretation? </b:Title>
    <b:Year>2011</b:Year>
    <b:PublicationTitle>Unpublished doctoral thesis </b:PublicationTitle>
    <b:StateProvince>Auckland, </b:StateProvince>
    <b:CountryRegion>New Zealand</b:CountryRegion>
    <b:Publisher>Auckland University of Technology</b:Publisher>
    <b:RefOrder>705</b:RefOrder>
  </b:Source>
  <b:Source>
    <b:Tag>Dic09</b:Tag>
    <b:SourceType>JournalArticle</b:SourceType>
    <b:Guid>{5E7A61F9-A6D5-4610-9009-4DFAFDB6240A}</b:Guid>
    <b:LCID>0</b:LCID>
    <b:Author>
      <b:Author>
        <b:NameList>
          <b:Person>
            <b:Last>Dicken</b:Last>
            <b:First>M.</b:First>
          </b:Person>
          <b:Person>
            <b:Last>Hosking</b:Last>
            <b:First>S.</b:First>
          </b:Person>
        </b:NameList>
      </b:Author>
    </b:Author>
    <b:Title>Socio-economic aspects of the tiger shark diving industry within the Aliwal Shoal Marine Protected Area, South Africa</b:Title>
    <b:Year>2009</b:Year>
    <b:JournalName>American Journal of Marine Science</b:JournalName>
    <b:Pages>227 ̶ 232</b:Pages>
    <b:Volume>31</b:Volume>
    <b:Issue>2</b:Issue>
    <b:RefOrder>706</b:RefOrder>
  </b:Source>
  <b:Source>
    <b:Tag>Kri141</b:Tag>
    <b:SourceType>JournalArticle</b:SourceType>
    <b:Guid>{47497780-08FA-41EE-BB9E-E53630CC5E3B}</b:Guid>
    <b:LCID>0</b:LCID>
    <b:Author>
      <b:Author>
        <b:NameList>
          <b:Person>
            <b:Last>Krishna</b:Last>
            <b:First>A.</b:First>
          </b:Person>
          <b:Person>
            <b:Last>Schwarz</b:Last>
            <b:First>N.</b:First>
          </b:Person>
        </b:NameList>
      </b:Author>
    </b:Author>
    <b:Title>Sensory Marketing, Embodiment, and Grounded Cognition: A Review and Introduction</b:Title>
    <b:JournalName>Journal of Consumer Psychology</b:JournalName>
    <b:Year>2014</b:Year>
    <b:Pages>30-36</b:Pages>
    <b:Volume>20</b:Volume>
    <b:Issue>10</b:Issue>
    <b:RefOrder>707</b:RefOrder>
  </b:Source>
  <b:Source>
    <b:Tag>Sch99</b:Tag>
    <b:SourceType>JournalArticle</b:SourceType>
    <b:Guid>{D4A1B74B-73AB-4BEE-88DF-64A00BAD1FBB}</b:Guid>
    <b:LCID>0</b:LCID>
    <b:Author>
      <b:Author>
        <b:NameList>
          <b:Person>
            <b:Last>Schmitt</b:Last>
            <b:First>B.</b:First>
          </b:Person>
        </b:NameList>
      </b:Author>
    </b:Author>
    <b:Title> Experiential marketing</b:Title>
    <b:JournalName>Journal of Marketing Management</b:JournalName>
    <b:Year>1999</b:Year>
    <b:Pages>53–67</b:Pages>
    <b:Volume>15</b:Volume>
    <b:RefOrder>708</b:RefOrder>
  </b:Source>
  <b:Source>
    <b:Tag>Art161</b:Tag>
    <b:SourceType>Misc</b:SourceType>
    <b:Guid>{0861262A-C8A9-4B1C-9C4D-A5E44A9A3230}</b:Guid>
    <b:LCID>0</b:LCID>
    <b:Author>
      <b:Author>
        <b:NameList>
          <b:Person>
            <b:Last>E</b:Last>
            <b:First>Arthur</b:First>
          </b:Person>
        </b:NameList>
      </b:Author>
    </b:Author>
    <b:Title> Market orientation and firm performance in Ghana’s mobile telecommunications industry. </b:Title>
    <b:Year>2016.</b:Year>
    <b:PublicationTitle> PhD Thesis, London Metropolitan University, </b:PublicationTitle>
    <b:CountryRegion>United Kingdom.</b:CountryRegion>
    <b:RefOrder>709</b:RefOrder>
  </b:Source>
  <b:Source xmlns:b="http://schemas.openxmlformats.org/officeDocument/2006/bibliography">
    <b:Tag>Smi10</b:Tag>
    <b:SourceType>Report</b:SourceType>
    <b:Guid>{B494D140-F44F-4740-8780-C51B588F5A93}</b:Guid>
    <b:LCID>0</b:LCID>
    <b:Author>
      <b:Author>
        <b:NameList>
          <b:Person>
            <b:Last>Smith</b:Last>
          </b:Person>
        </b:NameList>
      </b:Author>
    </b:Author>
    <b:Title>Segmentation: How and why to implement a best-practice Market Segmentation	strategy in the Financial Services sector, Research White Paper, WP101</b:Title>
    <b:Year>2010</b:Year>
    <b:Publisher>Mungo Dunnett 	Associates Ltd</b:Publisher>
    <b:RefOrder>710</b:RefOrder>
  </b:Source>
  <b:Source>
    <b:Tag>Rad11</b:Tag>
    <b:SourceType>JournalArticle</b:SourceType>
    <b:Guid>{2E8A7475-01AA-4263-94F8-58FC3D28A66E}</b:Guid>
    <b:LCID>0</b:LCID>
    <b:Author>
      <b:Author>
        <b:NameList>
          <b:Person>
            <b:Last>Radder</b:Last>
            <b:First>L.</b:First>
          </b:Person>
          <b:Person>
            <b:Last>Han</b:Last>
            <b:First>X.</b:First>
          </b:Person>
        </b:NameList>
      </b:Author>
    </b:Author>
    <b:Title>Segmentation and profiling South African minibus taxi commuters: A factor- cluster- tabulation analysis approach</b:Title>
    <b:JournalName>International Business and Economics Research Journal</b:JournalName>
    <b:Year>2011</b:Year>
    <b:Pages>127-138</b:Pages>
    <b:Volume>10</b:Volume>
    <b:Issue>12</b:Issue>
    <b:RefOrder>711</b:RefOrder>
  </b:Source>
  <b:Source>
    <b:Tag>Kot13</b:Tag>
    <b:SourceType>Book</b:SourceType>
    <b:Guid>{DFA98B08-48F6-402A-BBED-48566F76C2BE}</b:Guid>
    <b:LCID>0</b:LCID>
    <b:Author>
      <b:Author>
        <b:NameList>
          <b:Person>
            <b:Last>Kotler</b:Last>
            <b:First>P.</b:First>
          </b:Person>
          <b:Person>
            <b:Last>Armstrong</b:Last>
            <b:First>G.</b:First>
          </b:Person>
        </b:NameList>
      </b:Author>
    </b:Author>
    <b:Title>Principles of Marketing: Global and South African perspectives</b:Title>
    <b:Year>2013</b:Year>
    <b:City>Cape Town</b:City>
    <b:Publisher>Pearson</b:Publisher>
    <b:Edition>2nd Edition</b:Edition>
    <b:RefOrder>712</b:RefOrder>
  </b:Source>
  <b:Source>
    <b:Tag>Gre04</b:Tag>
    <b:SourceType>JournalArticle</b:SourceType>
    <b:Guid>{E85CA2CE-EDC0-4349-9B01-BD340759D8AE}</b:Guid>
    <b:LCID>0</b:LCID>
    <b:Author>
      <b:Author>
        <b:NameList>
          <b:Person>
            <b:Last>Greg</b:Last>
            <b:First>A.</b:First>
          </b:Person>
          <b:Person>
            <b:Last>Dominique</b:Last>
            <b:First>H.</b:First>
          </b:Person>
        </b:NameList>
      </b:Author>
    </b:Author>
    <b:Title>“Advertising Response,” Marketing Science Institute, Special Report, No. 05- 200, 2005; Jack Neff, “TV Doesn’t SellPackage Goods</b:Title>
    <b:JournalName>Advertising Age</b:JournalName>
    <b:Year>2004</b:Year>
    <b:Pages>1-30</b:Pages>
    <b:Volume>5</b:Volume>
    <b:RefOrder>713</b:RefOrder>
  </b:Source>
  <b:Source>
    <b:Tag>Mul21</b:Tag>
    <b:SourceType>JournalArticle</b:SourceType>
    <b:Guid>{1F561D7E-A5C1-405A-AFBC-61E41EBE72B6}</b:Guid>
    <b:Author>
      <b:Author>
        <b:NameList>
          <b:Person>
            <b:Last>Mulugeta</b:Last>
            <b:First>L.</b:First>
          </b:Person>
        </b:NameList>
      </b:Author>
    </b:Author>
    <b:Title>Productivity improvement through lean manufacturing tools in Ethiopian garment manufacturing company</b:Title>
    <b:JournalName>Materials Today</b:JournalName>
    <b:Year>2021</b:Year>
    <b:RefOrder>714</b:RefOrder>
  </b:Source>
  <b:Source>
    <b:Tag>AlD21</b:Tag>
    <b:SourceType>JournalArticle</b:SourceType>
    <b:Guid>{F737107D-195B-4627-BA7A-744DAD7EF6DF}</b:Guid>
    <b:LCID>1033</b:LCID>
    <b:Author>
      <b:Author>
        <b:NameList>
          <b:Person>
            <b:Last>Al-Dhubaibi</b:Last>
            <b:First>A.</b:First>
          </b:Person>
        </b:NameList>
      </b:Author>
    </b:Author>
    <b:Title>Optimizing the value of activity based costing system: The role of successful implementation.</b:Title>
    <b:JournalName>Management Science Letters</b:JournalName>
    <b:Year>2021</b:Year>
    <b:Pages>179-186</b:Pages>
    <b:DOI>10.5267/j.msl.2020.8.017</b:DOI>
    <b:RefOrder>715</b:RefOrder>
  </b:Source>
  <b:Source>
    <b:Tag>Kab20</b:Tag>
    <b:SourceType>JournalArticle</b:SourceType>
    <b:Guid>{981BFAE1-9E62-41B6-8169-7B6C0F8221FE}</b:Guid>
    <b:Author>
      <b:Author>
        <b:NameList>
          <b:Person>
            <b:Last>Kablan</b:Last>
            <b:First>A.</b:First>
          </b:Person>
        </b:NameList>
      </b:Author>
    </b:Author>
    <b:Title>Dark Factories from an Industry 4.0 Perspective: Its Effects on Cost Accounting and Managerial Accounting</b:Title>
    <b:JournalName>Springer, Cham</b:JournalName>
    <b:Year>2020</b:Year>
    <b:DOI>10.1007/978-3-030-29739-8_24</b:DOI>
    <b:RefOrder>716</b:RefOrder>
  </b:Source>
  <b:Source>
    <b:Tag>Saa88</b:Tag>
    <b:SourceType>JournalArticle</b:SourceType>
    <b:Guid>{799D45E8-D441-44BC-AE3D-009FB32A771B}</b:Guid>
    <b:Author>
      <b:Author>
        <b:NameList>
          <b:Person>
            <b:Last>Saaty</b:Last>
            <b:First>T.L.</b:First>
          </b:Person>
        </b:NameList>
      </b:Author>
    </b:Author>
    <b:Title>What is the Analytic Hierarchy Process?</b:Title>
    <b:Year>1988</b:Year>
    <b:JournalName>In: Mitra, G., Greenberg, H.J., Lootsma, F.A., Rijkaert, M.J., Zimmermann, H.J. (eds) Mathematical Models for Decision Support. NATO ASI Series</b:JournalName>
    <b:DOI>10.1007/978-3-642-83555-1_5</b:DOI>
    <b:RefOrder>717</b:RefOrder>
  </b:Source>
  <b:Source>
    <b:Tag>Ibr21</b:Tag>
    <b:SourceType>Book</b:SourceType>
    <b:Guid>{12982F13-1B60-4654-81A7-A0A51494C03B}</b:Guid>
    <b:Author>
      <b:Author>
        <b:NameList>
          <b:Person>
            <b:Last>Ibrahim</b:Last>
            <b:First>I.R.A.</b:First>
          </b:Person>
        </b:NameList>
      </b:Author>
    </b:Author>
    <b:Title>Methods to improve lean production systems in line with industry 4.0</b:Title>
    <b:Year>2021</b:Year>
    <b:City>Germany</b:City>
    <b:Publisher>Ingolstadt,</b:Publisher>
    <b:RefOrder>718</b:RefOrder>
  </b:Source>
  <b:Source>
    <b:Tag>AlQ21</b:Tag>
    <b:SourceType>JournalArticle</b:SourceType>
    <b:Guid>{12B45A74-802C-4281-8B81-85CDCD0C0DE8}</b:Guid>
    <b:Author>
      <b:Author>
        <b:NameList>
          <b:Person>
            <b:Last>Al-Qershi</b:Last>
            <b:First>N.</b:First>
          </b:Person>
        </b:NameList>
      </b:Author>
    </b:Author>
    <b:Title>Strategic thinking, strategic planning, strategic innovation and the performance of SMEs: The mediating role of human capital</b:Title>
    <b:JournalName>Management Science Letters</b:JournalName>
    <b:Year>2021</b:Year>
    <b:Pages>1003–1012</b:Pages>
    <b:DOI>10.5267/j.msl.2020.9.042</b:DOI>
    <b:RefOrder>719</b:RefOrder>
  </b:Source>
  <b:Source>
    <b:Tag>Tho21</b:Tag>
    <b:SourceType>JournalArticle</b:SourceType>
    <b:Guid>{68EADC5E-DA4B-4F4D-9750-D236FBF175EE}</b:Guid>
    <b:Author>
      <b:Author>
        <b:NameList>
          <b:Person>
            <b:Last>Thomas</b:Last>
            <b:First>R.K.</b:First>
          </b:Person>
        </b:NameList>
      </b:Author>
    </b:Author>
    <b:Title>Health Services Planning. Springer Science+Business Media, LLC</b:Title>
    <b:JournalName>part of Springer Nature</b:JournalName>
    <b:Year>2021</b:Year>
    <b:DOI>10.1007/978-1-0716-1076-3_9</b:DOI>
    <b:RefOrder>720</b:RefOrder>
  </b:Source>
  <b:Source>
    <b:Tag>Sal20</b:Tag>
    <b:SourceType>Report</b:SourceType>
    <b:Guid>{87034981-E80B-41CA-B793-9231703D6C46}</b:Guid>
    <b:Author>
      <b:Author>
        <b:NameList>
          <b:Person>
            <b:Last>Saleh</b:Last>
            <b:First>M.</b:First>
          </b:Person>
        </b:NameList>
      </b:Author>
    </b:Author>
    <b:Title>Built-in software quality in Agile development</b:Title>
    <b:Year>2020</b:Year>
    <b:Publisher>diva-portal.org</b:Publisher>
    <b:RefOrder>721</b:RefOrder>
  </b:Source>
  <b:Source>
    <b:Tag>Kar21</b:Tag>
    <b:SourceType>JournalArticle</b:SourceType>
    <b:Guid>{708F8F5D-E309-4C85-91F4-EDEC2579BC68}</b:Guid>
    <b:Author>
      <b:Author>
        <b:NameList>
          <b:Person>
            <b:Last>Karekatti</b:Last>
            <b:First>C.</b:First>
          </b:Person>
        </b:NameList>
      </b:Author>
    </b:Author>
    <b:Title>Lean Tools in Apparel Manufacturing, 11-Lean human resources</b:Title>
    <b:Year>2021</b:Year>
    <b:JournalName>Elsevier B.V.</b:JournalName>
    <b:Pages>331-353</b:Pages>
    <b:DOI>10.1016/B978-0-12-819426-3.00006-0</b:DOI>
    <b:RefOrder>722</b:RefOrder>
  </b:Source>
  <b:Source>
    <b:Tag>Dev16</b:Tag>
    <b:SourceType>JournalArticle</b:SourceType>
    <b:Guid>{E7C7F4D4-2A0E-470F-B67E-1B4CC26BA748}</b:Guid>
    <b:Author>
      <b:Author>
        <b:NameList>
          <b:Person>
            <b:Last>Devine</b:Last>
            <b:First>F.</b:First>
          </b:Person>
        </b:NameList>
      </b:Author>
    </b:Author>
    <b:Title>When employees create their own high performance culture: the rapid, mass engagement process</b:Title>
    <b:JournalName>Lean Manage J</b:JournalName>
    <b:Year>2016</b:Year>
    <b:RefOrder>723</b:RefOrder>
  </b:Source>
  <b:Source>
    <b:Tag>Lik04</b:Tag>
    <b:SourceType>Book</b:SourceType>
    <b:Guid>{918E162C-1CFE-426D-8B1A-AC0AB572C089}</b:Guid>
    <b:Author>
      <b:Author>
        <b:NameList>
          <b:Person>
            <b:Last>Liker</b:Last>
            <b:First>J.K.</b:First>
          </b:Person>
        </b:NameList>
      </b:Author>
    </b:Author>
    <b:Title>The Toyota way: 14 management principles from the world’s greatest manufacturer</b:Title>
    <b:Year>2004</b:Year>
    <b:City>New York</b:City>
    <b:Publisher>McGraw- Hill</b:Publisher>
    <b:RefOrder>724</b:RefOrder>
  </b:Source>
  <b:Source>
    <b:Tag>Sus21</b:Tag>
    <b:SourceType>JournalArticle</b:SourceType>
    <b:Guid>{8291D71C-6C07-47A4-9D95-081277F29652}</b:Guid>
    <b:Author>
      <b:Author>
        <b:NameList>
          <b:Person>
            <b:Last>Susilawati</b:Last>
            <b:First>A.</b:First>
          </b:Person>
        </b:NameList>
      </b:Author>
    </b:Author>
    <b:Title>Productivity enhancement: lean manufacturing performance measurement based multiple indicators of decision making</b:Title>
    <b:JournalName>Prod. Eng. Res. Devel.</b:JournalName>
    <b:Year>2021</b:Year>
    <b:Pages>343–359</b:Pages>
    <b:DOI>10.1007/s11740-021-01025-7</b:DOI>
    <b:RefOrder>725</b:RefOrder>
  </b:Source>
  <b:Source>
    <b:Tag>Ohn88</b:Tag>
    <b:SourceType>Book</b:SourceType>
    <b:Guid>{5C3BC64F-4AD3-4CB3-ACFE-C70C04D15E93}</b:Guid>
    <b:Author>
      <b:Author>
        <b:NameList>
          <b:Person>
            <b:Last>Ohno</b:Last>
            <b:First>T.</b:First>
          </b:Person>
        </b:NameList>
      </b:Author>
    </b:Author>
    <b:Title>Toyota production system – Beyond large-scale production. 1st edition</b:Title>
    <b:Year>1988</b:Year>
    <b:City>New York</b:City>
    <b:Publisher>Productivity Press,</b:Publisher>
    <b:DOI>10.4324/9780429273018</b:DOI>
    <b:RefOrder>726</b:RefOrder>
  </b:Source>
  <b:Source>
    <b:Tag>Saa80</b:Tag>
    <b:SourceType>Book</b:SourceType>
    <b:Guid>{C477EA26-6B67-491C-A19D-79C37F549644}</b:Guid>
    <b:Title>The Analytic Hierarchy Process</b:Title>
    <b:Year>1980</b:Year>
    <b:Author>
      <b:Author>
        <b:NameList>
          <b:Person>
            <b:Last>Saaty</b:Last>
            <b:First>T.L.</b:First>
          </b:Person>
        </b:NameList>
      </b:Author>
    </b:Author>
    <b:City>New York</b:City>
    <b:Publisher>McGraw:</b:Publisher>
    <b:RefOrder>727</b:RefOrder>
  </b:Source>
  <b:Source>
    <b:Tag>Var90</b:Tag>
    <b:SourceType>JournalArticle</b:SourceType>
    <b:Guid>{5E789EE4-771A-4452-8922-79CE5188224B}</b:Guid>
    <b:Author>
      <b:Author>
        <b:NameList>
          <b:Person>
            <b:Last>Vargas</b:Last>
            <b:First>L.G.</b:First>
          </b:Person>
        </b:NameList>
      </b:Author>
    </b:Author>
    <b:Title>Overview of the analytic hierarchy process and its applications</b:Title>
    <b:Year>1990</b:Year>
    <b:City>1990</b:City>
    <b:Pages>2-8</b:Pages>
    <b:JournalName>European Journal of Operational Research</b:JournalName>
    <b:DOI>10.1016/0377-2217(90)90056-H</b:DOI>
    <b:RefOrder>728</b:RefOrder>
  </b:Source>
  <b:Source>
    <b:Tag>Tua21</b:Tag>
    <b:SourceType>JournalArticle</b:SourceType>
    <b:Guid>{F77C6D28-6940-4FFE-B9B2-660E80CE502F}</b:Guid>
    <b:Author>
      <b:Author>
        <b:NameList>
          <b:Person>
            <b:Last>Tuan</b:Last>
            <b:First>N.T.</b:First>
          </b:Person>
        </b:NameList>
      </b:Author>
    </b:Author>
    <b:Title>The Other Side of Success Factors—A Systemic Methodology for Exploring Critical Success Factors</b:Title>
    <b:JournalName>Systemic Practice and Action Research</b:JournalName>
    <b:Year>2021</b:Year>
    <b:Pages>441–452</b:Pages>
    <b:DOI>10.1007/s11213-021-09577-6</b:DOI>
    <b:RefOrder>729</b:RefOrder>
  </b:Source>
  <b:Source>
    <b:Tag>Viv14</b:Tag>
    <b:SourceType>JournalArticle</b:SourceType>
    <b:Guid>{687F63D8-60C6-4EF2-8D4C-C60EF142FE24}</b:Guid>
    <b:Author>
      <b:Author>
        <b:NameList>
          <b:Person>
            <b:Last>Vivas-López</b:Last>
            <b:First>S.</b:First>
          </b:Person>
        </b:NameList>
      </b:Author>
    </b:Author>
    <b:Title>Talent management and teamwork interaction: Evidence in large Spanish companies</b:Title>
    <b:JournalName>International Journal of Business</b:JournalName>
    <b:Year>2014</b:Year>
    <b:RefOrder>730</b:RefOrder>
  </b:Source>
  <b:Source>
    <b:Tag>Pet21</b:Tag>
    <b:SourceType>Report</b:SourceType>
    <b:Guid>{74406A96-DC11-4529-82C2-2B5962EB029C}</b:Guid>
    <b:Author>
      <b:Author>
        <b:NameList>
          <b:Person>
            <b:Last>Peterson</b:Last>
            <b:First>C.</b:First>
          </b:Person>
        </b:NameList>
      </b:Author>
    </b:Author>
    <b:Title>3M Investment Report</b:Title>
    <b:Year>2021</b:Year>
    <b:Publisher>3M</b:Publisher>
    <b:RefOrder>731</b:RefOrder>
  </b:Source>
  <b:Source>
    <b:Tag>Bru09</b:Tag>
    <b:SourceType>JournalArticle</b:SourceType>
    <b:Guid>{BB774A18-1CF8-44E8-BE57-FAAAAC7F495E}</b:Guid>
    <b:Author>
      <b:Author>
        <b:NameList>
          <b:Person>
            <b:Last>Brush</b:Last>
            <b:First>Candida</b:First>
          </b:Person>
          <b:Person>
            <b:Last>De Bruin</b:Last>
            <b:First>Anne</b:First>
          </b:Person>
          <b:Person>
            <b:Last>Welter</b:Last>
            <b:First>Friederike</b:First>
          </b:Person>
        </b:NameList>
      </b:Author>
    </b:Author>
    <b:Title>A Gender-Aware Framework for Women's Entrepreneurship</b:Title>
    <b:JournalName>International Journal of Gender and Entrepreneurship</b:JournalName>
    <b:Year>2009</b:Year>
    <b:Pages>8-24</b:Pages>
    <b:RefOrder>1</b:RefOrder>
  </b:Source>
  <b:Source>
    <b:Tag>Kel17</b:Tag>
    <b:SourceType>Report</b:SourceType>
    <b:Guid>{8BEC6C12-BE24-4F08-AD79-47787BC4F395}</b:Guid>
    <b:Title>Women’s entrepreneurship 2016/2017 report.</b:Title>
    <b:Year>2017</b:Year>
    <b:Author>
      <b:Author>
        <b:NameList>
          <b:Person>
            <b:Last>Kelley</b:Last>
            <b:First>D. J.</b:First>
          </b:Person>
          <b:Person>
            <b:Last>Baumer</b:Last>
            <b:First>B. S.</b:First>
          </b:Person>
          <b:Person>
            <b:Last>Brush</b:Last>
            <b:First>C.</b:First>
          </b:Person>
          <b:Person>
            <b:Last>Greene </b:Last>
            <b:First>P. G.</b:First>
          </b:Person>
          <b:Person>
            <b:Last>Mahdavi</b:Last>
            <b:First>M.</b:First>
          </b:Person>
          <b:Person>
            <b:Last>Majbouri</b:Last>
            <b:First>M.</b:First>
          </b:Person>
          <b:Person>
            <b:Last>Cole</b:Last>
            <b:First>M.</b:First>
          </b:Person>
          <b:Person>
            <b:Last>Dean</b:Last>
            <b:First>M.</b:First>
          </b:Person>
          <b:Person>
            <b:Last>Heavlow</b:Last>
            <b:First>R.</b:First>
          </b:Person>
        </b:NameList>
      </b:Author>
    </b:Author>
    <b:JournalName>Global Entrepreneurship Research Association.</b:JournalName>
    <b:Pages>9(19)</b:Pages>
    <b:Publisher>Global Entrepreneurship Research Association.</b:Publisher>
    <b:City>Kelley, Donna J., Benjamin S. Baumer, Candida Brush, Patrica G. Greene, Mahnaz Mahdavi, Mahdi Majbouri, Marcia Cole, Monica Dean, and René Heavlow.</b:City>
    <b:RefOrder>2</b:RefOrder>
  </b:Source>
  <b:Source>
    <b:Tag>Bas18</b:Tag>
    <b:SourceType>JournalArticle</b:SourceType>
    <b:Guid>{B9564BB6-84BD-48CA-B470-7FA9773B1559}</b:Guid>
    <b:Author>
      <b:Author>
        <b:NameList>
          <b:Person>
            <b:Last>Basaffar</b:Last>
            <b:First>Amal</b:First>
          </b:Person>
          <b:Person>
            <b:Last>Niehm</b:Last>
            <b:First>Linda</b:First>
          </b:Person>
          <b:Person>
            <b:Last>Bosselman</b:Last>
            <b:First>Robert</b:First>
          </b:Person>
        </b:NameList>
      </b:Author>
    </b:Author>
    <b:Title>SAUDI ARABIAN WOMEN IN ENTREPRENEURSHIP: CHALLENGES, OPPORTUNITIES AND POTENTIAL</b:Title>
    <b:JournalName>Journal of Developmental Entrepreneurship.</b:JournalName>
    <b:Year>2018</b:Year>
    <b:Pages>23</b:Pages>
    <b:RefOrder>3</b:RefOrder>
  </b:Source>
  <b:Source>
    <b:Tag>Isl23</b:Tag>
    <b:SourceType>JournalArticle</b:SourceType>
    <b:Guid>{E7C0C5F1-F991-4984-A437-689CBCCB0CED}</b:Guid>
    <b:Author>
      <b:Author>
        <b:NameList>
          <b:Person>
            <b:Last>Islam</b:Last>
            <b:Middle>Tariqul</b:Middle>
            <b:First>Md </b:First>
          </b:Person>
          <b:Person>
            <b:Last>Shrabani </b:Last>
            <b:First>Saha</b:First>
          </b:Person>
          <b:Person>
            <b:Last>Mahfuzur </b:Last>
            <b:First>Rahman </b:First>
          </b:Person>
        </b:NameList>
      </b:Author>
    </b:Author>
    <b:Title>Diversity–performance nexus in an emerging economy: an investigation of family and non-family firms.</b:Title>
    <b:JournalName>International Journal of Emerging Markets.</b:JournalName>
    <b:Year>2023</b:Year>
    <b:RefOrder>4</b:RefOrder>
  </b:Source>
  <b:Source>
    <b:Tag>Bas20</b:Tag>
    <b:SourceType>JournalArticle</b:SourceType>
    <b:Guid>{631A65EB-4906-475C-A82D-C88555B0591D}</b:Guid>
    <b:Author>
      <b:Author>
        <b:NameList>
          <b:Person>
            <b:Last>Basit</b:Last>
            <b:First>Abdul</b:First>
          </b:Person>
          <b:Person>
            <b:Last>Hassan</b:Last>
            <b:First>Zubair</b:First>
          </b:Person>
          <b:Person>
            <b:Last>Sethu</b:Last>
            <b:First>Sharmila</b:First>
          </b:Person>
        </b:NameList>
      </b:Author>
    </b:Author>
    <b:Title>Entrepreneurial Success: Key Challenges Faced by Malaysian Women Entrepreneurs in 21st Century.</b:Title>
    <b:JournalName>International Journal of Business and Management</b:JournalName>
    <b:Year>2020</b:Year>
    <b:Pages>122-138</b:Pages>
    <b:RefOrder>5</b:RefOrder>
  </b:Source>
  <b:Source>
    <b:Tag>Kap16</b:Tag>
    <b:SourceType>ConferenceProceedings</b:SourceType>
    <b:Guid>{DB03D21B-66A4-402C-994B-CA38F87AE157}</b:Guid>
    <b:Title>Impact of microcredit on women empowerment in India: An empirical study of Punjab state</b:Title>
    <b:Year>2016</b:Year>
    <b:Publisher>Newswood Limited</b:Publisher>
    <b:City>London</b:City>
    <b:Author>
      <b:Author>
        <b:NameList>
          <b:Person>
            <b:Last>Kapila</b:Last>
            <b:First>Munish</b:First>
          </b:Person>
          <b:Person>
            <b:Last>Singla</b:Last>
            <b:First>Anju</b:First>
          </b:Person>
          <b:Person>
            <b:Last>Gupta</b:Last>
            <b:Middle>L</b:Middle>
            <b:First>M</b:First>
          </b:Person>
        </b:NameList>
      </b:Author>
    </b:Author>
    <b:Pages>Vol 2</b:Pages>
    <b:ConferenceName>Proceedings of the World Congress on Engineering</b:ConferenceName>
    <b:RefOrder>6</b:RefOrder>
  </b:Source>
  <b:Source>
    <b:Tag>Jam16</b:Tag>
    <b:SourceType>JournalArticle</b:SourceType>
    <b:Guid>{7C4822CD-DCB0-4F51-9F6A-53D7AF67410A}</b:Guid>
    <b:Author>
      <b:Author>
        <b:NameList>
          <b:Person>
            <b:Last>Jamal</b:Last>
            <b:Middle>Abdul</b:Middle>
            <b:First>M</b:First>
          </b:Person>
          <b:Person>
            <b:Last>Raihana</b:Last>
            <b:Middle>Ayesha</b:Middle>
            <b:First>Amatul Khadir</b:First>
          </b:Person>
          <b:Person>
            <b:Last>Sultana</b:Last>
            <b:Middle>H</b:Middle>
            <b:First>Yasmeen</b:First>
          </b:Person>
        </b:NameList>
      </b:Author>
    </b:Author>
    <b:Title>Empowerment of Muslim women through microfinance and self help groups: A case study of Chennai City</b:Title>
    <b:Pages>117-124</b:Pages>
    <b:Year>2016</b:Year>
    <b:Publisher>Jamal, M. Abdul, Amatul Khadir Ayesha Raihana, and H. Yasmeen Sultana. "Empowerment of Muslim women through microfinance and self help groups: A case study of Chennai City." Asian Business Review 6.2 (2016): 117-124.</b:Publisher>
    <b:JournalName>Asian Business Review</b:JournalName>
    <b:RefOrder>7</b:RefOrder>
  </b:Source>
  <b:Source>
    <b:Tag>Bhu23</b:Tag>
    <b:SourceType>JournalArticle</b:SourceType>
    <b:Guid>{6144A8CA-972C-4420-A21A-0B3049B408F8}</b:Guid>
    <b:Title>Empowering The Women Through Microfinance In India.</b:Title>
    <b:JournalName>European Journal of Molecular &amp; Clinical Medicine</b:JournalName>
    <b:Year>2023</b:Year>
    <b:Pages>617-620</b:Pages>
    <b:Author>
      <b:Author>
        <b:NameList>
          <b:Person>
            <b:Last>Bhumeeka</b:Last>
            <b:First>Badhri </b:First>
          </b:Person>
          <b:Person>
            <b:Last>Kumari</b:Last>
            <b:First>Neha </b:First>
          </b:Person>
          <b:Person>
            <b:Last>Pallavi </b:Last>
          </b:Person>
          <b:Person>
            <b:Last>Ahmed</b:Last>
            <b:First>Aariz </b:First>
          </b:Person>
          <b:Person>
            <b:Last>Pandey </b:Last>
            <b:Middle>Ms. K </b:Middle>
            <b:First>Shinki </b:First>
          </b:Person>
        </b:NameList>
      </b:Author>
    </b:Author>
    <b:RefOrder>8</b:RefOrder>
  </b:Source>
  <b:Source>
    <b:Tag>Aco13</b:Tag>
    <b:SourceType>InternetSite</b:SourceType>
    <b:Guid>{2A9F5FB0-23A2-4CDF-AC8B-746BDBEB68CD}</b:Guid>
    <b:Title>ECONOMIC EMPOWERMENT OF WOMEN</b:Title>
    <b:Year>2013</b:Year>
    <b:InternetSiteTitle>UN Women</b:InternetSiteTitle>
    <b:URL>https://www.unwomen.org/sites/default/files/Headquarters/Attachments/Sections/Library/Publications/2013/12/UN%20Women_EE-Thematic-Brief_US-web%20pdf.pdf</b:URL>
    <b:Author>
      <b:Author>
        <b:NameList>
          <b:Person>
            <b:Last>Acosta</b:Last>
            <b:First>Luis</b:First>
          </b:Person>
        </b:NameList>
      </b:Author>
    </b:Author>
    <b:RefOrder>9</b:RefOrder>
  </b:Source>
  <b:Source>
    <b:Tag>Kov04</b:Tag>
    <b:SourceType>JournalArticle</b:SourceType>
    <b:Guid>{E6ED48DB-3A83-411F-8201-646D74516C77}</b:Guid>
    <b:Author>
      <b:Author>
        <b:NameList>
          <b:Person>
            <b:Last>Koveos</b:Last>
            <b:First>P.</b:First>
          </b:Person>
        </b:NameList>
      </b:Author>
    </b:Author>
    <b:Title>Financial services for the poor: Assessing microfinance institutions.</b:Title>
    <b:Year>2004</b:Year>
    <b:JournalName>Managerial Finance.</b:JournalName>
    <b:Pages>30(9), 70-95.</b:Pages>
    <b:RefOrder>10</b:RefOrder>
  </b:Source>
  <b:Source>
    <b:Tag>Cho07</b:Tag>
    <b:SourceType>JournalArticle</b:SourceType>
    <b:Guid>{85079B99-7B5A-4907-9022-1199939921B8}</b:Guid>
    <b:Author>
      <b:Author>
        <b:NameList>
          <b:Person>
            <b:Last>Chowdhury</b:Last>
            <b:First>M. S.</b:First>
          </b:Person>
        </b:NameList>
      </b:Author>
    </b:Author>
    <b:Title>Overcoming entrepreneurship development constraints: the case of Bangladesh.</b:Title>
    <b:JournalName>Journal of Enterprising Communities: People and Places in the Global Economy.</b:JournalName>
    <b:Year>2007</b:Year>
    <b:RefOrder>11</b:RefOrder>
  </b:Source>
  <b:Source>
    <b:Tag>Rhy06</b:Tag>
    <b:SourceType>Book</b:SourceType>
    <b:Guid>{863CA1B5-5AC2-4D3A-9A55-10A214CF69F9}</b:Guid>
    <b:Title>Microfinance through the next decade: Visioning the who, what, where, when and how</b:Title>
    <b:Year>2006</b:Year>
    <b:Author>
      <b:Author>
        <b:NameList>
          <b:Person>
            <b:Last>Rhyne</b:Last>
            <b:First>E.</b:First>
          </b:Person>
          <b:Person>
            <b:Last>Otero</b:Last>
            <b:First>M.</b:First>
          </b:Person>
        </b:NameList>
      </b:Author>
    </b:Author>
    <b:City>Boston, MA:</b:City>
    <b:Publisher>Accion International.</b:Publisher>
    <b:RefOrder>12</b:RefOrder>
  </b:Source>
  <b:Source>
    <b:Tag>Hos08</b:Tag>
    <b:SourceType>JournalArticle</b:SourceType>
    <b:Guid>{0D7D06BC-DC95-49D9-9888-D0035620FDCC}</b:Guid>
    <b:Title>Can micro-credit improve the livelihoods of the poor and disadvantaged?</b:Title>
    <b:Year>2008</b:Year>
    <b:Author>
      <b:Author>
        <b:NameList>
          <b:Person>
            <b:Last>Hossain</b:Last>
            <b:First>F.</b:First>
          </b:Person>
          <b:Person>
            <b:Last>Knight</b:Last>
            <b:First>T.</b:First>
          </b:Person>
        </b:NameList>
      </b:Author>
    </b:Author>
    <b:JournalName>International Development Planning Review</b:JournalName>
    <b:Pages>30(2).</b:Pages>
    <b:RefOrder>13</b:RefOrder>
  </b:Source>
  <b:Source>
    <b:Tag>Laz08</b:Tag>
    <b:SourceType>Report</b:SourceType>
    <b:Guid>{8428E994-EA9D-4F69-8F96-75F81994FA46}</b:Guid>
    <b:Author>
      <b:Author>
        <b:Corporate>Lazer</b:Corporate>
      </b:Author>
    </b:Author>
    <b:Title>Microfinance and poverty eradication-Indian and global experience.</b:Title>
    <b:Year>2008</b:Year>
    <b:Publisher>New Century.</b:Publisher>
    <b:City>New Delhi</b:City>
    <b:RefOrder>14</b:RefOrder>
  </b:Source>
  <b:Source>
    <b:Tag>Tiw07</b:Tag>
    <b:SourceType>Report</b:SourceType>
    <b:Guid>{850AADFD-4256-4559-98A0-9FAEE1E74CD3}</b:Guid>
    <b:Title>SHG-based Microfinance programs –Can they remove poverty</b:Title>
    <b:Year>2007</b:Year>
    <b:City>London and New York</b:City>
    <b:Publisher>Routledge</b:Publisher>
    <b:Author>
      <b:Author>
        <b:NameList>
          <b:Person>
            <b:Last>Tiwari</b:Last>
            <b:First>A. M.</b:First>
          </b:Person>
          <b:Person>
            <b:Last>Thakkur</b:Last>
            <b:First>S. G.</b:First>
          </b:Person>
        </b:NameList>
      </b:Author>
    </b:Author>
    <b:RefOrder>15</b:RefOrder>
  </b:Source>
  <b:Source>
    <b:Tag>Mis15</b:Tag>
    <b:SourceType>JournalArticle</b:SourceType>
    <b:Guid>{FBCAD171-3E45-421F-AF75-04F8AB18939D}</b:Guid>
    <b:Author>
      <b:Author>
        <b:NameList>
          <b:Person>
            <b:Last>Misnan</b:Last>
            <b:Middle>Shamilah</b:Middle>
            <b:First>Noor</b:First>
          </b:Person>
          <b:Person>
            <b:Last>Abdul</b:Last>
            <b:Middle>H</b:Middle>
            <b:First>Manaf</b:First>
          </b:Person>
          <b:Person>
            <b:Last>Othman</b:Last>
            <b:First>F</b:First>
          </b:Person>
        </b:NameList>
      </b:Author>
    </b:Author>
    <b:Title>The Role of Microcredit in Promoting Women’s Entrepreneurship Skills: Lesson from Amanah Ikhtiar Malaysia (AIM), Malaysia</b:Title>
    <b:JournalName>Special Issue on Social Entrepreneurship</b:JournalName>
    <b:Year>2015</b:Year>
    <b:Pages>39–51.</b:Pages>
    <b:RefOrder>16</b:RefOrder>
  </b:Source>
  <b:Source>
    <b:Tag>Awa15</b:Tag>
    <b:SourceType>JournalArticle</b:SourceType>
    <b:Guid>{479CB871-5E2B-496A-8FA3-677358D68515}</b:Guid>
    <b:Author>
      <b:Author>
        <b:NameList>
          <b:Person>
            <b:Last>Awang</b:Last>
            <b:First>Z.</b:First>
          </b:Person>
          <b:Person>
            <b:Last>Afthanorhan</b:Last>
            <b:First>A.</b:First>
          </b:Person>
          <b:Person>
            <b:Last>Asri</b:Last>
            <b:Middle>M.</b:Middle>
            <b:First>M. A.</b:First>
          </b:Person>
        </b:NameList>
      </b:Author>
    </b:Author>
    <b:Title>Parametric and Non Parametric Approach in Structural Equation Modeling (SEM): The Application of Bootstrapping</b:Title>
    <b:JournalName>Modern Applied Science</b:JournalName>
    <b:Year>2015</b:Year>
    <b:Pages>9, 58-67</b:Pages>
    <b:RefOrder>17</b:RefOrder>
  </b:Source>
  <b:Source>
    <b:Tag>Gef11</b:Tag>
    <b:SourceType>JournalArticle</b:SourceType>
    <b:Guid>{924F9FB6-4609-41D3-91A9-B799D5660526}</b:Guid>
    <b:Author>
      <b:Author>
        <b:NameList>
          <b:Person>
            <b:Last>Gefen</b:Last>
            <b:First>D.</b:First>
          </b:Person>
          <b:Person>
            <b:Last>Rigdon</b:Last>
            <b:First>E.</b:First>
          </b:Person>
          <b:Person>
            <b:Last>Straub</b:Last>
            <b:First>D.</b:First>
          </b:Person>
        </b:NameList>
      </b:Author>
    </b:Author>
    <b:Title>An Update and Extension to SEM Guidelines for Administrative and Social Science Research.</b:Title>
    <b:JournalName>MIS Quarterly.</b:JournalName>
    <b:Year>2011</b:Year>
    <b:Pages>35, III–XII</b:Pages>
    <b:RefOrder>18</b:RefOrder>
  </b:Source>
  <b:Source>
    <b:Tag>Placeholder28</b:Tag>
    <b:SourceType>Book</b:SourceType>
    <b:Guid>{8DB54664-128C-4C97-A456-AA4FAEEC8F84}</b:Guid>
    <b:Title>Research methods for business: A skill building approach.</b:Title>
    <b:Year>2016</b:Year>
    <b:Author>
      <b:Author>
        <b:NameList>
          <b:Person>
            <b:Last>Sekaran</b:Last>
            <b:First>Uma</b:First>
          </b:Person>
          <b:Person>
            <b:Last>Bougie</b:Last>
            <b:First>Roger</b:First>
          </b:Person>
        </b:NameList>
      </b:Author>
    </b:Author>
    <b:Publisher>John Wiley &amp; Sons.</b:Publisher>
    <b:RefOrder>19</b:RefOrder>
  </b:Source>
  <b:Source>
    <b:Tag>Sar22</b:Tag>
    <b:SourceType>JournalArticle</b:SourceType>
    <b:Guid>{0598DDF9-C09A-4BDE-982C-57E0E8AC16A1}</b:Guid>
    <b:Title>Progress in partial least squares structural equation modeling use in marketing research in the last decade.</b:Title>
    <b:Year>2022</b:Year>
    <b:Author>
      <b:Author>
        <b:NameList>
          <b:Person>
            <b:Last>Sarstedt</b:Last>
            <b:First>M.</b:First>
          </b:Person>
          <b:Person>
            <b:Last>Hair</b:Last>
            <b:Middle>F.</b:Middle>
            <b:First>J.</b:First>
          </b:Person>
          <b:Person>
            <b:Last>Pick</b:Last>
            <b:First>M.</b:First>
          </b:Person>
          <b:Person>
            <b:Last>Liengaard</b:Last>
            <b:Middle>D.</b:Middle>
            <b:First>B.</b:First>
          </b:Person>
          <b:Person>
            <b:Last>Radomir</b:Last>
            <b:First>L.</b:First>
          </b:Person>
          <b:Person>
            <b:Last>Ringle</b:Last>
            <b:Middle>M.</b:Middle>
            <b:First>C.</b:First>
          </b:Person>
        </b:NameList>
      </b:Author>
    </b:Author>
    <b:JournalName>Psychology &amp; Marketing</b:JournalName>
    <b:Pages>39(5), 1035-1064.</b:Pages>
    <b:RefOrder>20</b:RefOrder>
  </b:Source>
  <b:Source>
    <b:Tag>Hai14</b:Tag>
    <b:SourceType>JournalArticle</b:SourceType>
    <b:Guid>{8552B4AF-A41B-415F-A14C-856A70641A56}</b:Guid>
    <b:Author>
      <b:Author>
        <b:NameList>
          <b:Person>
            <b:Last>Hair</b:Last>
            <b:Middle>Jr.</b:Middle>
            <b:First>F.</b:First>
          </b:Person>
          <b:Person>
            <b:Last>Sarstedt</b:Last>
            <b:First>M.</b:First>
          </b:Person>
          <b:Person>
            <b:Last>Hopkins</b:Last>
            <b:First>L.</b:First>
          </b:Person>
          <b:Person>
            <b:Last>Kuppelwieser</b:Last>
            <b:First>V.</b:First>
          </b:Person>
        </b:NameList>
      </b:Author>
    </b:Author>
    <b:Title>Partial least squares structural equation modeling (PLS-SEM): An emerging tool in business research.</b:Title>
    <b:JournalName>European Business Review.</b:JournalName>
    <b:Year>2014</b:Year>
    <b:Pages>26(2), 106–121.</b:Pages>
    <b:RefOrder>21</b:RefOrder>
  </b:Source>
  <b:Source>
    <b:Tag>Ram18</b:Tag>
    <b:SourceType>Book</b:SourceType>
    <b:Guid>{82BE3744-82FC-40BC-8D90-24EA34BB5B4B}</b:Guid>
    <b:Title>Partial least squares structural equation modeling (PLS-SEM) using smartPLS 3.0. An updated guide and practical guide to statistical analysis.</b:Title>
    <b:Year>2018</b:Year>
    <b:City>Kuala Lumpur, Malaysia</b:City>
    <b:Publisher>Pearson</b:Publisher>
    <b:Author>
      <b:Author>
        <b:NameList>
          <b:Person>
            <b:Last>Ramayah</b:Last>
            <b:Middle>J. F. H.</b:Middle>
            <b:First>T.</b:First>
          </b:Person>
          <b:Person>
            <b:Last>Cheah</b:Last>
            <b:First>J.</b:First>
          </b:Person>
          <b:Person>
            <b:Last>Chuah</b:Last>
            <b:First>F.</b:First>
          </b:Person>
          <b:Person>
            <b:Last>Ting</b:Last>
            <b:First>H.</b:First>
          </b:Person>
          <b:Person>
            <b:Last>Memon</b:Last>
            <b:Middle>A.</b:Middle>
            <b:First>M.</b:First>
          </b:Person>
        </b:NameList>
      </b:Author>
    </b:Author>
    <b:RefOrder>22</b:RefOrder>
  </b:Source>
  <b:Source>
    <b:Tag>Hen15</b:Tag>
    <b:SourceType>JournalArticle</b:SourceType>
    <b:Guid>{5F0D78E4-2BE8-4402-8904-E9DA5C188866}</b:Guid>
    <b:Author>
      <b:Author>
        <b:NameList>
          <b:Person>
            <b:Last>Henseler</b:Last>
            <b:First>J.</b:First>
          </b:Person>
          <b:Person>
            <b:Last>Ringle</b:Last>
            <b:First>C.</b:First>
          </b:Person>
          <b:Person>
            <b:Last>Sarstedt</b:Last>
            <b:First>M.</b:First>
          </b:Person>
        </b:NameList>
      </b:Author>
    </b:Author>
    <b:Title>A New Criterion for Assessing Discriminant Validity in Variance-based Structural Equation Modeling.</b:Title>
    <b:Year>2015</b:Year>
    <b:JournalName>Journal of the Academy of Marketing Science</b:JournalName>
    <b:Pages>43, 115–135.</b:Pages>
    <b:RefOrder>23</b:RefOrder>
  </b:Source>
  <b:Source>
    <b:Tag>Kli16</b:Tag>
    <b:SourceType>Report</b:SourceType>
    <b:Guid>{9F67ECFC-F8EA-40CF-81FE-ECBA729B8C99}</b:Guid>
    <b:Title>Principles and Practice of Structural Equation Modeling (4th ed.).</b:Title>
    <b:Year>2016</b:Year>
    <b:Author>
      <b:Author>
        <b:NameList>
          <b:Person>
            <b:Last>Kline</b:Last>
            <b:Middle>B.</b:Middle>
            <b:First>R.</b:First>
          </b:Person>
        </b:NameList>
      </b:Author>
    </b:Author>
    <b:Publisher>The Guilford Press.</b:Publisher>
    <b:City>New York</b:City>
    <b:RefOrder>24</b:RefOrder>
  </b:Source>
  <b:Source>
    <b:Tag>San15</b:Tag>
    <b:SourceType>JournalArticle</b:SourceType>
    <b:Guid>{D9C0841C-727F-4AAC-8B06-A185DC60AF27}</b:Guid>
    <b:Title>Anxiety sensitivity, catastrophic misinterpretations and panic self-efficacy in the prediction of panic disorder severity: Towards a tripartite cognitive model of panic disorder.</b:Title>
    <b:Year>2015</b:Year>
    <b:Author>
      <b:Author>
        <b:NameList>
          <b:Person>
            <b:Last>Sandin</b:Last>
            <b:First>B.</b:First>
          </b:Person>
          <b:Person>
            <b:Last>Sanchez-Arribas</b:Last>
            <b:First>C.</b:First>
          </b:Person>
          <b:Person>
            <b:Last>Chorot</b:Last>
            <b:First>P.</b:First>
          </b:Person>
          <b:Person>
            <b:Last>Valiente</b:Last>
            <b:Middle>M.</b:Middle>
            <b:First>R.</b:First>
          </b:Person>
        </b:NameList>
      </b:Author>
    </b:Author>
    <b:JournalName>Behaviour Research and Therapy</b:JournalName>
    <b:Pages>67, 30-40</b:Pages>
    <b:RefOrder>25</b:RefOrder>
  </b:Source>
  <b:Source>
    <b:Tag>Mau22</b:Tag>
    <b:SourceType>JournalArticle</b:SourceType>
    <b:Guid>{430A431C-B017-4BD8-BF52-899B13DB0356}</b:Guid>
    <b:Author>
      <b:Author>
        <b:NameList>
          <b:Person>
            <b:Last>Maulidia</b:Last>
            <b:First>S.</b:First>
          </b:Person>
          <b:Person>
            <b:Last>Nur</b:Last>
            <b:First>M.</b:First>
          </b:Person>
        </b:NameList>
      </b:Author>
    </b:Author>
    <b:Title>Islamic Microfinance Institutions and Empowering Women-Based MSMEs in an Effort to Reduce Poverty: Study at KSPPS Baytul Ikhtiar Bogor.</b:Title>
    <b:JournalName>Focus.</b:JournalName>
    <b:Year>2022</b:Year>
    <b:Pages>3(1), 27–47.</b:Pages>
    <b:RefOrder>26</b:RefOrder>
  </b:Source>
  <b:Source>
    <b:Tag>Oma12</b:Tag>
    <b:SourceType>JournalArticle</b:SourceType>
    <b:Guid>{6303D1B3-AB07-4A4B-95F3-7CB7B5B94238}</b:Guid>
    <b:Author>
      <b:Author>
        <b:NameList>
          <b:Person>
            <b:Last>Omar</b:Last>
            <b:First>M. Z.</b:First>
          </b:Person>
          <b:Person>
            <b:Last>Supian</b:Last>
            <b:First>C.</b:First>
          </b:Person>
          <b:Person>
            <b:Last>Noor</b:Last>
            <b:First>M.</b:First>
          </b:Person>
          <b:Person>
            <b:Last>Dahalan</b:Last>
            <b:First>N.</b:First>
          </b:Person>
        </b:NameList>
      </b:Author>
    </b:Author>
    <b:Title>The Economic Performance of the Amanah Ikhtiar Malaysia Rural Microcredit Programme : A Case Study in Kedah.</b:Title>
    <b:JournalName>World Journal of Social Sciences.</b:JournalName>
    <b:Year>2012</b:Year>
    <b:Pages>2(5), 286–302.</b:Pages>
    <b:RefOrder>27</b:RefOrder>
  </b:Source>
  <b:Source>
    <b:Tag>Awa22</b:Tag>
    <b:SourceType>InternetSite</b:SourceType>
    <b:Guid>{B2EC5494-9110-4434-BA1B-718FEB271A88}</b:Guid>
    <b:Title>AIM Terima Pengiktirafan Antarbangsa Institusi Mikrokredit Terbaik.</b:Title>
    <b:Year>2022</b:Year>
    <b:Author>
      <b:Author>
        <b:NameList>
          <b:Person>
            <b:Last>Awani</b:Last>
            <b:First>Astro</b:First>
          </b:Person>
        </b:NameList>
      </b:Author>
    </b:Author>
    <b:Publisher>Astro Awani</b:Publisher>
    <b:City>Kuala Lumpur</b:City>
    <b:InternetSiteTitle>Astro Awani</b:InternetSiteTitle>
    <b:URL>https://www.astroawani.com/berita-bisnes/aim-terima-pengiktirafan-antarabangsa-institusi-mikrokredit-terbaik-354818?amp=1</b:URL>
    <b:RefOrder>28</b:RefOrder>
  </b:Source>
  <b:Source>
    <b:Tag>Hus18</b:Tag>
    <b:SourceType>JournalArticle</b:SourceType>
    <b:Guid>{23521AF9-CECA-44EF-BB6D-5C1DBE3164D1}</b:Guid>
    <b:Author>
      <b:Author>
        <b:NameList>
          <b:Person>
            <b:Last>Hussaini</b:Last>
            <b:First>U.</b:First>
          </b:Person>
          <b:Person>
            <b:Last>Chibuzo</b:Last>
            <b:First>I. C.</b:First>
          </b:Person>
        </b:NameList>
      </b:Author>
    </b:Author>
    <b:Title>The effects of financial inclusion on poverty reduction: The moderating effects of microfinance.</b:Title>
    <b:JournalName>International Journal of Multidisciplinary Research and Development.</b:JournalName>
    <b:Year>2018</b:Year>
    <b:Pages>5(12), 188–198.</b:Pages>
    <b:RefOrder>29</b:RefOrder>
  </b:Source>
  <b:Source>
    <b:Tag>Ali17</b:Tag>
    <b:SourceType>JournalArticle</b:SourceType>
    <b:Guid>{B978FD84-D8C7-42EC-8202-8CD9F0D1B1D6}</b:Guid>
    <b:Author>
      <b:Author>
        <b:NameList>
          <b:Person>
            <b:Last>Alimukhamedova</b:Last>
            <b:First>N.</b:First>
          </b:Person>
          <b:Person>
            <b:Last>Filer</b:Last>
            <b:First>R.</b:First>
          </b:Person>
          <b:Person>
            <b:Last>Hanousek</b:Last>
            <b:First>J.</b:First>
          </b:Person>
        </b:NameList>
      </b:Author>
    </b:Author>
    <b:Title>The importance of geographic access for the impact of microfinance</b:Title>
    <b:JournalName>Development Policy Review</b:JournalName>
    <b:Year>2017</b:Year>
    <b:Pages>35(5), 645–657</b:Pages>
    <b:RefOrder>30</b:RefOrder>
  </b:Source>
  <b:Source>
    <b:Tag>DAd22</b:Tag>
    <b:SourceType>JournalArticle</b:SourceType>
    <b:Guid>{36723FAB-41AD-457D-95BE-70EF224CB7BE}</b:Guid>
    <b:Title>Microfinance and the Role of Accounting in Supporting Family-Resilience-Based Women's Empowerment.</b:Title>
    <b:Year>2022</b:Year>
    <b:Author>
      <b:Author>
        <b:NameList>
          <b:Person>
            <b:Last>D.</b:Last>
            <b:First>Adhariani.</b:First>
          </b:Person>
        </b:NameList>
      </b:Author>
    </b:Author>
    <b:JournalName>Qualitative Report</b:JournalName>
    <b:Pages>366-384</b:Pages>
    <b:RefOrder>732</b:RefOrder>
  </b:Source>
  <b:Source>
    <b:Tag>Tam17</b:Tag>
    <b:SourceType>JournalArticle</b:SourceType>
    <b:Guid>{9A4A15BF-648A-43F8-AD69-ED05324E5908}</b:Guid>
    <b:Author>
      <b:Author>
        <b:NameList>
          <b:Person>
            <b:Last>Tammili</b:Last>
            <b:Middle>N. M</b:Middle>
            <b:First>F</b:First>
          </b:Person>
          <b:Person>
            <b:Last>Mohamed</b:Last>
            <b:First>Z</b:First>
          </b:Person>
          <b:Person>
            <b:Last>Terano</b:Last>
            <b:First>R</b:First>
          </b:Person>
        </b:NameList>
      </b:Author>
    </b:Author>
    <b:Title>Effectiveness of the Microcredit Program in Enhancing Micro-Enterprise Entrepreneurs’ Income in Selangor</b:Title>
    <b:Year>2017</b:Year>
    <b:JournalName>Asian Social Science,</b:JournalName>
    <b:Pages>71</b:Pages>
    <b:RefOrder>733</b:RefOrder>
  </b:Source>
  <b:Source>
    <b:Tag>Ado20</b:Tag>
    <b:SourceType>JournalArticle</b:SourceType>
    <b:Guid>{769A1F40-13A1-4BFA-B398-ADE0A62451C1}</b:Guid>
    <b:Author>
      <b:Author>
        <b:NameList>
          <b:Person>
            <b:Last>Ado</b:Last>
            <b:First>B</b:First>
          </b:Person>
          <b:Person>
            <b:Last>Mata</b:Last>
            <b:First>K</b:First>
          </b:Person>
        </b:NameList>
      </b:Author>
    </b:Author>
    <b:Title>The Effect of Social Capital on the Performance of Women Entrepreneurs</b:Title>
    <b:JournalName>European Journal of Business and Management</b:JournalName>
    <b:Year>2020</b:Year>
    <b:Pages>82–90</b:Pages>
    <b:RefOrder>734</b:RefOrder>
  </b:Source>
  <b:Source>
    <b:Tag>Mos99</b:Tag>
    <b:SourceType>JournalArticle</b:SourceType>
    <b:Guid>{77E79F60-2B75-4C9D-86C1-8C88F92B2378}</b:Guid>
    <b:Author>
      <b:Author>
        <b:NameList>
          <b:Person>
            <b:Last>Mosley</b:Last>
            <b:First>P</b:First>
          </b:Person>
          <b:Person>
            <b:Last>Mayoux</b:Last>
            <b:First>L</b:First>
          </b:Person>
        </b:NameList>
      </b:Author>
    </b:Author>
    <b:Title>Questioning virtuous spirals: micro-finance and women’s empowerment in Africa.</b:Title>
    <b:JournalName>Journal of International Development</b:JournalName>
    <b:Year>1999</b:Year>
    <b:Pages>957–984</b:Pages>
    <b:RefOrder>735</b:RefOrder>
  </b:Source>
  <b:Source>
    <b:Tag>Get17</b:Tag>
    <b:SourceType>JournalArticle</b:SourceType>
    <b:Guid>{80B98234-5088-46A4-BD7C-E7026E10E89B}</b:Guid>
    <b:Author>
      <b:Author>
        <b:NameList>
          <b:Person>
            <b:Last>Geta</b:Last>
            <b:First>Endrias</b:First>
          </b:Person>
          <b:Person>
            <b:Last>Tilahun</b:Last>
            <b:First>Hamiso</b:First>
          </b:Person>
        </b:NameList>
      </b:Author>
    </b:Author>
    <b:Title>Access to Microcredit and its Effect on Crop Productivity and Household Income in Hawassa Zuria District of Sidama Zone Southern Ethiopia</b:Title>
    <b:JournalName>Global Journal of Current Research</b:JournalName>
    <b:Year>2017</b:Year>
    <b:Pages>128–134</b:Pages>
    <b:RefOrder>736</b:RefOrder>
  </b:Source>
  <b:Source>
    <b:Tag>Ham19</b:Tag>
    <b:SourceType>Report</b:SourceType>
    <b:Guid>{D3ECC64D-5360-4E5A-A3AD-76AC1942976B}</b:Guid>
    <b:Author>
      <b:Author>
        <b:NameList>
          <b:Person>
            <b:Last>Hameed</b:Last>
            <b:Middle>Ul</b:Middle>
            <b:First>Waseem</b:First>
          </b:Person>
        </b:NameList>
      </b:Author>
    </b:Author>
    <b:Title>The Effects Of Microfinance Factors, Social Capital And Vulnerability On Women-Empowerment In Southern Punjab, Pakistan</b:Title>
    <b:Year>2019</b:Year>
    <b:City>Sintok</b:City>
    <b:Publisher>UUM</b:Publisher>
    <b:RefOrder>737</b:RefOrder>
  </b:Source>
  <b:Source>
    <b:Tag>AlS15</b:Tag>
    <b:SourceType>JournalArticle</b:SourceType>
    <b:Guid>{CBADABBD-A315-4BF7-9F42-423AD1178623}</b:Guid>
    <b:Author>
      <b:Author>
        <b:NameList>
          <b:Person>
            <b:Last>Al-Shami</b:Last>
            <b:Middle>S</b:Middle>
            <b:First>S</b:First>
          </b:Person>
          <b:Person>
            <b:Last>Majid</b:Last>
            <b:First>I</b:First>
          </b:Person>
          <b:Person>
            <b:Last>Rizal</b:Last>
            <b:First>S</b:First>
          </b:Person>
          <b:Person>
            <b:Last>Muhamad</b:Last>
            <b:Middle>R</b:Middle>
            <b:First>M</b:First>
          </b:Person>
          <b:Person>
            <b:Last>Sarah</b:Last>
            <b:First>Halim</b:First>
          </b:Person>
          <b:Person>
            <b:Last>Rashid</b:Last>
            <b:First>N</b:First>
          </b:Person>
        </b:NameList>
      </b:Author>
    </b:Author>
    <b:Title>The Impact of Malaysian Microfinance on Women’s Livelihood</b:Title>
    <b:Year>2015</b:Year>
    <b:Pages>2046–2049.</b:Pages>
    <b:JournalName>Advanced Science Letters</b:JournalName>
    <b:RefOrder>738</b:RefOrder>
  </b:Source>
  <b:Source>
    <b:Tag>UND15</b:Tag>
    <b:SourceType>Report</b:SourceType>
    <b:Guid>{B7BE145C-BDCE-4DD2-BAA9-77E8597DA6A3}</b:Guid>
    <b:Author>
      <b:Author>
        <b:NameList>
          <b:Person>
            <b:Last>UNDAF</b:Last>
          </b:Person>
        </b:NameList>
      </b:Author>
    </b:Author>
    <b:Title>Theory of Change: UNDAF Companion Guidance.</b:Title>
    <b:Year>2015</b:Year>
    <b:Publisher>In United Nations Development Group</b:Publisher>
    <b:RefOrder>739</b:RefOrder>
  </b:Source>
  <b:Source>
    <b:Tag>Wor19</b:Tag>
    <b:SourceType>Report</b:SourceType>
    <b:Guid>{820125BD-A86E-44FF-BB2C-160EC04FF2B9}</b:Guid>
    <b:Author>
      <b:Author>
        <b:NameList>
          <b:Person>
            <b:Last>World Bank</b:Last>
          </b:Person>
        </b:NameList>
      </b:Author>
    </b:Author>
    <b:Title>Ending Poverty, Investing in Opportunity.</b:Title>
    <b:Year>2019</b:Year>
    <b:Publisher>The World Bank Annual Report 2019</b:Publisher>
    <b:RefOrder>740</b:RefOrder>
  </b:Source>
  <b:Source>
    <b:Tag>Akt20</b:Tag>
    <b:SourceType>JournalArticle</b:SourceType>
    <b:Guid>{DA483A74-DE38-4BC9-83FE-61C5623D5EDB}</b:Guid>
    <b:Title>Microfinance and Domestic Violence</b:Title>
    <b:JournalName>The Journal of Adult Protection</b:JournalName>
    <b:Year>2020</b:Year>
    <b:Pages>333-351</b:Pages>
    <b:Author>
      <b:Author>
        <b:NameList>
          <b:Person>
            <b:Last>Aktaruzzaman</b:Last>
            <b:First>Khondker</b:First>
          </b:Person>
          <b:Person>
            <b:Last>Farooq</b:Last>
            <b:First>Omar</b:First>
          </b:Person>
        </b:NameList>
      </b:Author>
    </b:Author>
    <b:RefOrder>741</b:RefOrder>
  </b:Source>
  <b:Source>
    <b:Tag>Nur20</b:Tag>
    <b:SourceType>JournalArticle</b:SourceType>
    <b:Guid>{7DABEBFC-0BEF-4009-B407-BAC01FA02382}</b:Guid>
    <b:Author>
      <b:Author>
        <b:NameList>
          <b:Person>
            <b:Last>Nurasyiah</b:Last>
            <b:First>Aas</b:First>
          </b:Person>
          <b:Person>
            <b:Last>Miyasto</b:Last>
            <b:First>Miyasto</b:First>
          </b:Person>
          <b:Person>
            <b:Last>Mariyanti</b:Last>
            <b:First>Tatik </b:First>
          </b:Person>
          <b:Person>
            <b:Last>Beik</b:Last>
            <b:Middle>Syauqi </b:Middle>
            <b:First>Irfan </b:First>
          </b:Person>
        </b:NameList>
      </b:Author>
    </b:Author>
    <b:Title>Women’s Empowerment and Family Poverty in the Tawhidi Epistemological Approach</b:Title>
    <b:JournalName>International Journal of Ethics and Systems</b:JournalName>
    <b:Year>2020</b:Year>
    <b:Pages>4</b:Pages>
    <b:RefOrder>742</b:RefOrder>
  </b:Source>
  <b:Source>
    <b:Tag>Ali14</b:Tag>
    <b:SourceType>JournalArticle</b:SourceType>
    <b:Guid>{5568E5BE-E69D-4CDC-86F6-B17C00412146}</b:Guid>
    <b:Title>Zakat Poverty Line Index and Gender Poverty in Malaysia: Some Issues and Practices</b:Title>
    <b:JournalName>International Journal of Business and Social Science</b:JournalName>
    <b:Year>2014</b:Year>
    <b:Pages>286-293</b:Pages>
    <b:Author>
      <b:Author>
        <b:NameList>
          <b:Person>
            <b:Last>Ali</b:Last>
            <b:Middle>Mohd</b:Middle>
            <b:First>Ahmad Fahme </b:First>
          </b:Person>
          <b:Person>
            <b:Last>Aziz</b:Last>
            <b:Middle>Ab.</b:Middle>
            <b:First>Muhammad Ridhwan </b:First>
          </b:Person>
        </b:NameList>
      </b:Author>
    </b:Author>
    <b:RefOrder>743</b:RefOrder>
  </b:Source>
  <b:Source>
    <b:Tag>Sel18</b:Tag>
    <b:SourceType>JournalArticle</b:SourceType>
    <b:Guid>{D0AF41EE-2C1A-42FE-B6EB-FE5CC4C6515A}</b:Guid>
    <b:Author>
      <b:Author>
        <b:NameList>
          <b:Person>
            <b:Last>Selvi</b:Last>
            <b:Middle>V</b:Middle>
            <b:First>Darling</b:First>
          </b:Person>
        </b:NameList>
      </b:Author>
    </b:Author>
    <b:Title>Opportunities and Challenges of Women Empowerment in India</b:Title>
    <b:JournalName>Bonfring International Journal of Industrial Engineering and Management Science</b:JournalName>
    <b:Year>2018</b:Year>
    <b:Pages>158-168</b:Pages>
    <b:RefOrder>744</b:RefOrder>
  </b:Source>
  <b:Source>
    <b:Tag>AIM08</b:Tag>
    <b:SourceType>Report</b:SourceType>
    <b:Guid>{9C1CED74-CC40-4BD9-9EA8-99B9BAF36D58}</b:Guid>
    <b:Title>Pembangunan Lestari Keluarga Miskin Melalui Kewangan Mikro-Penemuan Kajian Impak 6</b:Title>
    <b:Year>2008</b:Year>
    <b:Author>
      <b:Author>
        <b:NameList>
          <b:Person>
            <b:Last>AIM</b:Last>
          </b:Person>
        </b:NameList>
      </b:Author>
    </b:Author>
    <b:Publisher>Amanah Ikhtiar Malaysia</b:Publisher>
    <b:RefOrder>745</b:RefOrder>
  </b:Source>
  <b:Source>
    <b:Tag>Kum18</b:Tag>
    <b:SourceType>JournalArticle</b:SourceType>
    <b:Guid>{A512E48C-B52B-4467-BA67-A1835F9CB44C}</b:Guid>
    <b:Author>
      <b:Author>
        <b:NameList>
          <b:Person>
            <b:Last>Kumar</b:Last>
            <b:First>N</b:First>
          </b:Person>
          <b:Person>
            <b:Last>Scott</b:Last>
            <b:First>S</b:First>
          </b:Person>
          <b:Person>
            <b:Last>Menon</b:Last>
            <b:First>P</b:First>
          </b:Person>
          <b:Person>
            <b:Last>Kannan</b:Last>
            <b:First>S</b:First>
          </b:Person>
          <b:Person>
            <b:Last>Cunningham</b:Last>
            <b:First>K</b:First>
          </b:Person>
          <b:Person>
            <b:Last>Tyagi</b:Last>
            <b:First>P</b:First>
          </b:Person>
          <b:Person>
            <b:Last>Wable </b:Last>
            <b:First>G</b:First>
          </b:Person>
          <b:Person>
            <b:Last>Raghunathan</b:Last>
            <b:First>K</b:First>
          </b:Person>
          <b:Person>
            <b:Last>Quisumbing</b:Last>
            <b:First>A</b:First>
          </b:Person>
        </b:NameList>
      </b:Author>
    </b:Author>
    <b:Title>Pathways from women’s group-based programs to nutrition change in South Asia: A conceptual framework and literature review</b:Title>
    <b:Year>2018</b:Year>
    <b:JournalName>Global Food Security</b:JournalName>
    <b:Pages>172-185</b:Pages>
    <b:RefOrder>746</b:RefOrder>
  </b:Source>
  <b:Source>
    <b:Tag>Nic21</b:Tag>
    <b:SourceType>JournalArticle</b:SourceType>
    <b:Guid>{2CB85833-7F42-48E5-90C2-C512AA36C0C5}</b:Guid>
    <b:Author>
      <b:Author>
        <b:NameList>
          <b:Person>
            <b:Last>Nicholas</b:Last>
            <b:First>C</b:First>
          </b:Person>
        </b:NameList>
      </b:Author>
    </b:Author>
    <b:Title>Self-help Groups as Platforms for Development: The Role of Social Capital</b:Title>
    <b:JournalName>World Development</b:JournalName>
    <b:Year>2021</b:Year>
    <b:Pages>146</b:Pages>
    <b:RefOrder>747</b:RefOrder>
  </b:Source>
  <b:Source>
    <b:Tag>May01</b:Tag>
    <b:SourceType>JournalArticle</b:SourceType>
    <b:Guid>{19E04D1C-0F15-4188-BFF0-4019B389CC81}</b:Guid>
    <b:Author>
      <b:Author>
        <b:NameList>
          <b:Person>
            <b:Last>Mayoux</b:Last>
            <b:First>L</b:First>
          </b:Person>
        </b:NameList>
      </b:Author>
    </b:Author>
    <b:Title>Tackling the Down Side: Social Capital, Women’s Empowerment and Micro-Finance in Cameroon.</b:Title>
    <b:JournalName>Development and Change</b:JournalName>
    <b:Year>2001</b:Year>
    <b:Pages>435–464</b:Pages>
    <b:RefOrder>748</b:RefOrder>
  </b:Source>
  <b:Source>
    <b:Tag>Noo13</b:Tag>
    <b:SourceType>JournalArticle</b:SourceType>
    <b:Guid>{7C80F565-79DD-4F1A-9FD6-B5B4C76866CF}</b:Guid>
    <b:Author>
      <b:Author>
        <b:NameList>
          <b:Person>
            <b:Last>Noor</b:Last>
            <b:Middle>Z</b:Middle>
            <b:First>M S</b:First>
          </b:Person>
          <b:Person>
            <b:Last>Che Mat</b:Last>
            <b:Middle>H</b:Middle>
            <b:First>S</b:First>
          </b:Person>
          <b:Person>
            <b:Last>Abdul Hakim</b:Last>
            <b:First>R</b:First>
          </b:Person>
        </b:NameList>
      </b:Author>
    </b:Author>
    <b:Title>Impak kredit mikro ke atas ketaksamarataan pendapatan di kalangan sahabat amanah ikhtiar</b:Title>
    <b:JournalName>Jurnal Ekonomi Malaysia</b:JournalName>
    <b:Year>2013</b:Year>
    <b:Pages>47(1), 75–86.</b:Pages>
    <b:RefOrder>749</b:RefOrder>
  </b:Source>
  <b:Source>
    <b:Tag>Kam15</b:Tag>
    <b:SourceType>JournalArticle</b:SourceType>
    <b:Guid>{809C8897-33F3-461C-867E-311BD426559E}</b:Guid>
    <b:Title>Social collateral model for Islamic microfinance. ,</b:Title>
    <b:JournalName>The Journal of Developing Areas</b:JournalName>
    <b:Year>2015</b:Year>
    <b:Pages>49(5), 353-363.</b:Pages>
    <b:Author>
      <b:Author>
        <b:NameList>
          <b:Person>
            <b:Last>Kamaluddin</b:Last>
            <b:First>A</b:First>
          </b:Person>
          <b:Person>
            <b:Last>Hadi</b:Last>
            <b:Middle>A</b:Middle>
            <b:First>N</b:First>
          </b:Person>
          <b:Person>
            <b:Last>Alam</b:Last>
            <b:Middle>M</b:Middle>
            <b:First>Md</b:First>
          </b:Person>
          <b:Person>
            <b:Last>Adil</b:Last>
            <b:Middle>M.</b:Middle>
            <b:First>M. A.</b:First>
          </b:Person>
        </b:NameList>
      </b:Author>
    </b:Author>
    <b:InternetSiteTitle>http://weekly.cnbnews.com/news/article.html?no=124000</b:InternetSiteTitle>
    <b:URL>http://weekly.cnbnews.com/news/article.html?no=124000</b:URL>
    <b:RefOrder>750</b:RefOrder>
  </b:Source>
  <b:Source>
    <b:Tag>Nug10</b:Tag>
    <b:SourceType>Report</b:SourceType>
    <b:Guid>{738C2977-F7CD-4912-B174-031AE8281B13}</b:Guid>
    <b:Title>Market Segmentation, Social Capital and Welfare – Outreach in Microfinance: A Case Study of Indonesia.</b:Title>
    <b:Year>2010</b:Year>
    <b:Author>
      <b:Author>
        <b:NameList>
          <b:Person>
            <b:Last>Nugroho</b:Last>
            <b:Middle>E.</b:Middle>
            <b:First>A.</b:First>
          </b:Person>
        </b:NameList>
      </b:Author>
    </b:Author>
    <b:Publisher>Doctoral dissertation</b:Publisher>
    <b:City>Curtin University</b:City>
    <b:RefOrder>751</b:RefOrder>
  </b:Source>
  <b:Source>
    <b:Tag>Yus18</b:Tag>
    <b:SourceType>JournalArticle</b:SourceType>
    <b:Guid>{0EB805D0-7A73-41AA-9C5A-FE5B654C33DE}</b:Guid>
    <b:Title>Relationship Between Financial Capital, Social Capital and Women Entrepreneurs’ Business Performance</b:Title>
    <b:Year>2018</b:Year>
    <b:Author>
      <b:Author>
        <b:NameList>
          <b:Person>
            <b:Last>Yusuff</b:Last>
            <b:Middle>Z.</b:Middle>
            <b:First>Y.</b:First>
          </b:Person>
          <b:Person>
            <b:Last>Bakar</b:Last>
            <b:Middle>A.</b:Middle>
            <b:First>A.</b:First>
          </b:Person>
          <b:Person>
            <b:Last>Ahmad</b:Last>
            <b:First>S.</b:First>
          </b:Person>
        </b:NameList>
      </b:Author>
    </b:Author>
    <b:JournalName>Advanced Science Letters</b:JournalName>
    <b:Pages>24(1), 202–204</b:Pages>
    <b:RefOrder>752</b:RefOrder>
  </b:Source>
  <b:Source>
    <b:Tag>Sam15</b:Tag>
    <b:SourceType>JournalArticle</b:SourceType>
    <b:Guid>{8662177D-3004-42FE-BEF3-4B7A38515E62}</b:Guid>
    <b:Author>
      <b:Author>
        <b:NameList>
          <b:Person>
            <b:Last>Samer</b:Last>
            <b:First>S.</b:First>
          </b:Person>
          <b:Person>
            <b:Last>Majid</b:Last>
            <b:First>I.</b:First>
          </b:Person>
          <b:Person>
            <b:Last>Rizal</b:Last>
            <b:First>S.</b:First>
          </b:Person>
          <b:Person>
            <b:Last>Muhamad</b:Last>
            <b:Middle>R.</b:Middle>
            <b:First>M.</b:First>
          </b:Person>
          <b:Person>
            <b:Last>Halim</b:Last>
            <b:First>Sarah</b:First>
          </b:Person>
          <b:Person>
            <b:Last>Rashid</b:Last>
            <b:First>N.</b:First>
          </b:Person>
        </b:NameList>
      </b:Author>
    </b:Author>
    <b:Title>The Impact of Microfinance on Poverty Reduction: Empirical Evidence from Malaysian Perspective</b:Title>
    <b:JournalName>Procedia - Social and Behavioral Sciences</b:JournalName>
    <b:Year>2015</b:Year>
    <b:Pages>195, 721–728</b:Pages>
    <b:RefOrder>753</b:RefOrder>
  </b:Source>
  <b:Source>
    <b:Tag>Han20</b:Tag>
    <b:SourceType>Book</b:SourceType>
    <b:Guid>{770085F7-9956-45CB-94AC-1C8EDB61FED2}</b:Guid>
    <b:Title>Microfinance Services and Women’s Empowerment</b:Title>
    <b:Year>2020</b:Year>
    <b:Author>
      <b:Author>
        <b:NameList>
          <b:Person>
            <b:Last>Hansen</b:Last>
            <b:First>N.</b:First>
          </b:Person>
          <b:Person>
            <b:Last>Huis</b:Last>
            <b:Middle>A.</b:Middle>
            <b:First>M.</b:First>
          </b:Person>
          <b:Person>
            <b:Last>Lensink</b:Last>
            <b:First>R.</b:First>
          </b:Person>
        </b:NameList>
      </b:Author>
    </b:Author>
    <b:City>San-Jose, L., Retolaza, J., van Liedekerke, L.</b:City>
    <b:Publisher>Handbook on Ethics in Finance. International Handbooks in Business Ethics. Springer, Cham.</b:Publisher>
    <b:RefOrder>754</b:RefOrder>
  </b:Source>
  <b:Source>
    <b:Tag>Hai17</b:Tag>
    <b:SourceType>JournalArticle</b:SourceType>
    <b:Guid>{0D75CA68-CA03-4BF0-849A-9AEBCCA4BCD6}</b:Guid>
    <b:Author>
      <b:Author>
        <b:NameList>
          <b:Person>
            <b:Last>Haider</b:Last>
            <b:First>S.</b:First>
            <b:Middle>H., Asad, M., Fatima, M., &amp; Zain Ul Abidin, R.</b:Middle>
          </b:Person>
          <b:Person>
            <b:Last>Haider</b:Last>
            <b:Middle>H.</b:Middle>
            <b:First>S.</b:First>
          </b:Person>
          <b:Person>
            <b:Last>Asad</b:Last>
            <b:First>M.</b:First>
          </b:Person>
          <b:Person>
            <b:Last>Fatima</b:Last>
            <b:First>M.</b:First>
          </b:Person>
          <b:Person>
            <b:Last>Zain</b:Last>
            <b:Middle>R.</b:Middle>
            <b:First>Ul Abidin</b:First>
          </b:Person>
        </b:NameList>
      </b:Author>
    </b:Author>
    <b:Title>Microfinance and Performance of Micro and Small Enterprises: Does Training have an Impact</b:Title>
    <b:Year>2017</b:Year>
    <b:JournalName>Journal of Entrepreneurship and Business Innovation</b:JournalName>
    <b:Pages>4(1), 1</b:Pages>
    <b:RefOrder>755</b:RefOrder>
  </b:Source>
  <b:Source>
    <b:Tag>AIM15</b:Tag>
    <b:SourceType>Report</b:SourceType>
    <b:Guid>{410259A6-868F-49A3-BFEE-D1D2650A5607}</b:Guid>
    <b:Title>Kajian Impak Skim Pembiayaan Amanah Ikhtiar Terhadap Peningkatan Taraf Hidup Sahabat (Kajian Impak 7)</b:Title>
    <b:Year>2015</b:Year>
    <b:Author>
      <b:Author>
        <b:NameList>
          <b:Person>
            <b:Last>AIM</b:Last>
          </b:Person>
        </b:NameList>
      </b:Author>
    </b:Author>
    <b:Publisher>Amanah Ikhtiar Malaysia</b:Publisher>
    <b:RefOrder>756</b:RefOrder>
  </b:Source>
  <b:Source>
    <b:Tag>Placeholder29</b:Tag>
    <b:SourceType>JournalArticle</b:SourceType>
    <b:Guid>{5E61D703-32E7-46AB-ADB8-1AF304582B1E}</b:Guid>
    <b:Title>Determinants of Economic Performance of Micro-Credit Clients and Prospect of Islamic Microfinance in Malaysia</b:Title>
    <b:Year>2010</b:Year>
    <b:Author>
      <b:Author>
        <b:NameList>
          <b:Person>
            <b:Last>Norma</b:Last>
            <b:Middle>Saad</b:Middle>
            <b:First>Md.</b:First>
          </b:Person>
          <b:Person>
            <b:Last>Jarita</b:Last>
            <b:First>D.</b:First>
          </b:Person>
        </b:NameList>
      </b:Author>
    </b:Author>
    <b:JournalName>ISRA International Journal Of Islamic Finance</b:JournalName>
    <b:Pages>2(1), 113–130.</b:Pages>
    <b:RefOrder>757</b:RefOrder>
  </b:Source>
  <b:Source>
    <b:Tag>Aki18</b:Tag>
    <b:SourceType>JournalArticle</b:SourceType>
    <b:Guid>{0AAA315B-E9D2-4830-8144-D02B8452AC51}</b:Guid>
    <b:Author>
      <b:Author>
        <b:NameList>
          <b:Person>
            <b:Last>Akingunola</b:Last>
            <b:Middle>O.</b:Middle>
            <b:First>R.</b:First>
          </b:Person>
          <b:Person>
            <b:Last>Olowofela</b:Last>
            <b:Middle>O.</b:Middle>
            <b:First>E.</b:First>
          </b:Person>
          <b:Person>
            <b:Last>Yunusa</b:Last>
            <b:First>L.</b:First>
          </b:Person>
        </b:NameList>
      </b:Author>
    </b:Author>
    <b:Title>Impact of Microfinance Banks on Micro and Small Enterprises in Ogun State, Nigeria</b:Title>
    <b:JournalName>Binus Business Review</b:JournalName>
    <b:Year>2018</b:Year>
    <b:Pages>9(2), 163–169</b:Pages>
    <b:RefOrder>758</b:RefOrder>
  </b:Source>
  <b:Source>
    <b:Tag>AlS16</b:Tag>
    <b:SourceType>JournalArticle</b:SourceType>
    <b:Guid>{4D92ECAE-67CE-4CE2-8DFD-22DFC2C493C6}</b:Guid>
    <b:Author>
      <b:Author>
        <b:NameList>
          <b:Person>
            <b:Last>Al-Shami</b:Last>
            <b:First>S. S. A.</b:First>
          </b:Person>
          <b:Person>
            <b:Last>Razali</b:Last>
            <b:First>M. M.</b:First>
          </b:Person>
          <b:Person>
            <b:Last>Majid</b:Last>
            <b:First>I.</b:First>
          </b:Person>
          <b:Person>
            <b:Last>Rozelan</b:Last>
            <b:First>A.</b:First>
          </b:Person>
          <b:Person>
            <b:Last>Rashid</b:Last>
            <b:First>N.</b:First>
          </b:Person>
        </b:NameList>
      </b:Author>
    </b:Author>
    <b:Title>The effect of microfinance on women’s empowerment: Evidence from Malaysia</b:Title>
    <b:JournalName>Asian Journal of Women's Studies.</b:JournalName>
    <b:Year>2016</b:Year>
    <b:Pages>22(3), 318-337.</b:Pages>
    <b:RefOrder>759</b:RefOrder>
  </b:Source>
  <b:Source>
    <b:Tag>Far22</b:Tag>
    <b:SourceType>JournalArticle</b:SourceType>
    <b:Guid>{55220089-E4F3-4FCC-AF7C-67396ED8E4D0}</b:Guid>
    <b:Author>
      <b:Author>
        <b:NameList>
          <b:Person>
            <b:Last>Faridi</b:Last>
            <b:First>M. Z.</b:First>
          </b:Person>
          <b:Person>
            <b:Last>Nawaz</b:Last>
            <b:First>S.</b:First>
          </b:Person>
          <b:Person>
            <b:Last>Bibi</b:Last>
            <b:First>S.</b:First>
          </b:Person>
        </b:NameList>
      </b:Author>
    </b:Author>
    <b:Title>Islamic Microfinance and Women Entrepreneurial Success: Mediating Role of Human Capital.</b:Title>
    <b:JournalName>Journal of Accounting and Finance in Emerging Economies</b:JournalName>
    <b:Year>2022</b:Year>
    <b:Pages>8(1), 1–12.</b:Pages>
    <b:RefOrder>760</b:RefOrder>
  </b:Source>
  <b:Source>
    <b:Tag>Wid18</b:Tag>
    <b:SourceType>JournalArticle</b:SourceType>
    <b:Guid>{09E4EF05-64EE-4995-B9A2-E60E296C284A}</b:Guid>
    <b:Author>
      <b:Author>
        <b:NameList>
          <b:Person>
            <b:Last>Widiyanti</b:Last>
            <b:First>E.</b:First>
          </b:Person>
          <b:Person>
            <b:Last>Pudjihardjo</b:Last>
            <b:First>P.</b:First>
          </b:Person>
          <b:Person>
            <b:Last>Saputra</b:Last>
            <b:First>P. M. A.</b:First>
          </b:Person>
        </b:NameList>
      </b:Author>
    </b:Author>
    <b:Title>Tackling Poverty through Women Empowerment: The Role of Social Capital in Indonesian Women’s Cooperative.</b:Title>
    <b:JournalName>Jurnal Ekonomi Dan Studi Pembangunan.</b:JournalName>
    <b:Year>2018</b:Year>
    <b:Pages>10(1), 44–55.</b:Pages>
    <b:RefOrder>761</b:RefOrder>
  </b:Source>
  <b:Source>
    <b:Tag>Kha17</b:Tag>
    <b:SourceType>JournalArticle</b:SourceType>
    <b:Guid>{B6FC8777-2F7E-49E9-9AFF-64030A532FB1}</b:Guid>
    <b:Author>
      <b:Author>
        <b:NameList>
          <b:Person>
            <b:Last>Khan</b:Last>
            <b:First>I. H.</b:First>
          </b:Person>
          <b:Person>
            <b:Last>Bibi</b:Last>
            <b:First>S.</b:First>
          </b:Person>
          <b:Person>
            <b:Last>Javaid</b:Last>
            <b:First>A.</b:First>
          </b:Person>
        </b:NameList>
      </b:Author>
    </b:Author>
    <b:Title>Solving Poverty through Management: Experience in Pakistan.</b:Title>
    <b:JournalName>European Online Journal of Natural and Social Sciences.</b:JournalName>
    <b:Year>2017</b:Year>
    <b:Pages>6(4), 637–645.</b:Pages>
    <b:RefOrder>762</b:RefOrder>
  </b:Source>
  <b:Source>
    <b:Tag>UlH18</b:Tag>
    <b:SourceType>JournalArticle</b:SourceType>
    <b:Guid>{D6EBB7BE-1380-4C0C-9D49-086A1BEF26BE}</b:Guid>
    <b:Author>
      <b:Author>
        <b:NameList>
          <b:Person>
            <b:Last>Ul-Hameed</b:Last>
            <b:First>W.</b:First>
          </b:Person>
          <b:Person>
            <b:Last>Mohammad</b:Last>
            <b:First>H.</b:First>
          </b:Person>
          <b:Person>
            <b:Last>Shahar</b:Last>
            <b:First>H. B. K.</b:First>
          </b:Person>
        </b:NameList>
      </b:Author>
    </b:Author>
    <b:Title>Microfinance institute’s non-financial services and women-empowerment: The role of vulnerability.</b:Title>
    <b:JournalName>Management Science Letters.</b:JournalName>
    <b:Year>2018</b:Year>
    <b:Pages>8(10), 1103–1116.</b:Pages>
    <b:RefOrder>763</b:RefOrder>
  </b:Source>
  <b:Source>
    <b:Tag>Bem16</b:Tag>
    <b:SourceType>JournalArticle</b:SourceType>
    <b:Guid>{154EFAFC-8E3A-4349-AF42-A6DE7BAFA05A}</b:Guid>
    <b:Author>
      <b:Author>
        <b:NameList>
          <b:Person>
            <b:Last>Bembenutty</b:Last>
            <b:First>H.</b:First>
          </b:Person>
          <b:Person>
            <b:Last>White</b:Last>
            <b:First>M. C.</b:First>
          </b:Person>
          <b:Person>
            <b:Last>DiBenedetto</b:Last>
            <b:First>M. K.</b:First>
          </b:Person>
        </b:NameList>
      </b:Author>
    </b:Author>
    <b:Title>Applying social cognitive theory in the development of self-regulated competencies throughout K-12 grades. Psychosocial skills and school systems in the 21st century</b:Title>
    <b:JournalName>Theory, Research, and Practice.</b:JournalName>
    <b:Year>2016</b:Year>
    <b:Pages>215-239</b:Pages>
    <b:RefOrder>764</b:RefOrder>
  </b:Source>
  <b:Source>
    <b:Tag>Hai171</b:Tag>
    <b:SourceType>JournalArticle</b:SourceType>
    <b:Guid>{A4DB5E8E-3112-460D-B582-C14600957A41}</b:Guid>
    <b:Author>
      <b:Author>
        <b:NameList>
          <b:Person>
            <b:Last>Haider</b:Last>
            <b:First>S. H.</b:First>
          </b:Person>
          <b:Person>
            <b:Last>Asad</b:Last>
            <b:First>M.</b:First>
          </b:Person>
          <b:Person>
            <b:Last>Fatima</b:Last>
            <b:First>M.</b:First>
          </b:Person>
          <b:Person>
            <b:Last>Zain</b:Last>
            <b:Middle>R.</b:Middle>
            <b:First>Ul Abidin</b:First>
          </b:Person>
        </b:NameList>
      </b:Author>
    </b:Author>
    <b:Title>Microfinance and Performance of Micro and Small Enterprises: Does Training have an Impact.</b:Title>
    <b:JournalName>Journal of Entrepreneurship and Business Innovation.</b:JournalName>
    <b:Year>2017</b:Year>
    <b:Pages>4(1), 1.</b:Pages>
    <b:RefOrder>765</b:RefOrder>
  </b:Source>
  <b:Source>
    <b:Tag>Jos19</b:Tag>
    <b:SourceType>JournalArticle</b:SourceType>
    <b:Guid>{09B5AFBE-1348-48D5-BF29-FB5E55164B55}</b:Guid>
    <b:Author>
      <b:Author>
        <b:NameList>
          <b:Person>
            <b:Last>Joshi</b:Last>
            <b:First>G.</b:First>
          </b:Person>
        </b:NameList>
      </b:Author>
    </b:Author>
    <b:Title>An analysis of women’s self-help groups’ involvement in microfinance program in India.</b:Title>
    <b:JournalName>Rajagiri Management Journal.</b:JournalName>
    <b:Year>2019</b:Year>
    <b:Pages>13(2), 2–11.</b:Pages>
    <b:RefOrder>766</b:RefOrder>
  </b:Source>
  <b:Source>
    <b:Tag>Pos18</b:Tag>
    <b:SourceType>JournalArticle</b:SourceType>
    <b:Guid>{98C313AA-4EDD-4E61-A3B8-687CEDA9A892}</b:Guid>
    <b:Author>
      <b:Author>
        <b:NameList>
          <b:Person>
            <b:Last>Postelnicu</b:Last>
            <b:First>L.</b:First>
          </b:Person>
          <b:Person>
            <b:Last>Hermes</b:Last>
            <b:First>N.</b:First>
          </b:Person>
        </b:NameList>
      </b:Author>
    </b:Author>
    <b:Title>Microfinance Performance and Social Capital: A Cross-Country Analysis.</b:Title>
    <b:JournalName>Journal of Business Ethics.</b:JournalName>
    <b:Year>2018</b:Year>
    <b:Pages>153(2), 427–445.</b:Pages>
    <b:RefOrder>767</b:RefOrder>
  </b:Source>
  <b:Source>
    <b:Tag>Adh22</b:Tag>
    <b:SourceType>JournalArticle</b:SourceType>
    <b:Guid>{13C24BF3-18BF-412D-B1E5-A2E61CE73A57}</b:Guid>
    <b:Author>
      <b:Author>
        <b:NameList>
          <b:Person>
            <b:Last>Adhariani</b:Last>
            <b:First>D.</b:First>
          </b:Person>
        </b:NameList>
      </b:Author>
    </b:Author>
    <b:Title>Microfinance and the Role of Accounting in Supporting Family-Resilience-Based Women’s Empowerment.</b:Title>
    <b:JournalName>Qualitative Report.</b:JournalName>
    <b:Year>2022</b:Year>
    <b:Pages>27(2), 366–384.</b:Pages>
    <b:RefOrder>768</b:RefOrder>
  </b:Source>
  <b:Source>
    <b:Tag>Duv19</b:Tag>
    <b:SourceType>JournalArticle</b:SourceType>
    <b:Guid>{4987F51E-19B6-4AAB-93AF-5FE13A106C4B}</b:Guid>
    <b:Author>
      <b:Author>
        <b:NameList>
          <b:Person>
            <b:Last>Duvendack</b:Last>
            <b:First>M.</b:First>
          </b:Person>
          <b:Person>
            <b:Last>Mader</b:Last>
            <b:First>P.</b:First>
          </b:Person>
        </b:NameList>
      </b:Author>
    </b:Author>
    <b:Title>Impact of financial inclusion in low‐ and middle‐income countries: A systematic review of reviews.</b:Title>
    <b:JournalName>Campbell Systematic Reviews.</b:JournalName>
    <b:Year>2019</b:Year>
    <b:Pages>15(1–2).</b:Pages>
    <b:RefOrder>769</b:RefOrder>
  </b:Source>
  <b:Source>
    <b:Tag>Laz04</b:Tag>
    <b:SourceType>Book</b:SourceType>
    <b:Guid>{00B54FA2-BEBB-442F-A39E-B3E8B8B99C5D}</b:Guid>
    <b:Title>DNA and the criminal justice system: The technology of justice.</b:Title>
    <b:Year>2004</b:Year>
    <b:Author>
      <b:Author>
        <b:NameList>
          <b:Person>
            <b:Last>Lazer</b:Last>
            <b:First>D.</b:First>
          </b:Person>
        </b:NameList>
      </b:Author>
    </b:Author>
    <b:Publisher>MIT Press.</b:Publisher>
    <b:RefOrder>770</b:RefOrder>
  </b:Source>
  <b:Source>
    <b:Tag>DOS22</b:Tag>
    <b:SourceType>InternetSite</b:SourceType>
    <b:Guid>{A348AFDE-2FBC-4664-94BE-FD28DEBBD612}</b:Guid>
    <b:Title>Department of Statistics (DOSM),</b:Title>
    <b:Year>2022</b:Year>
    <b:Author>
      <b:Author>
        <b:NameList>
          <b:Person>
            <b:Last>DOSM</b:Last>
          </b:Person>
        </b:NameList>
      </b:Author>
    </b:Author>
    <b:InternetSiteTitle>“Salaries &amp; Wages Survey Report, Malaysia, 2020.”</b:InternetSiteTitle>
    <b:URL>https://newss.statistics.gov.my/newss-portalx/ep/epFreeDownloadContentSearch.seam?contentId=154368&amp;amp;actionMethod=ep%2FepFreeDownloadContentSearch.xhtml%3AcontentAction.doDisplayContent&amp;amp;cid=301864</b:URL>
    <b:RefOrder>771</b:RefOrder>
  </b:Source>
  <b:Source>
    <b:Tag>Abd061</b:Tag>
    <b:SourceType>JournalArticle</b:SourceType>
    <b:Guid>{C6199C94-DE8B-4455-A2A8-F56CB975C394}</b:Guid>
    <b:Title>Board, audit committee, culture and earnings management: Malaysian evidence</b:Title>
    <b:JournalName>Managerial Auditing Journal</b:JournalName>
    <b:Year>2006</b:Year>
    <b:Pages>783-804</b:Pages>
    <b:Author>
      <b:Author>
        <b:NameList>
          <b:Person>
            <b:Last>Abdul Rahman</b:Last>
            <b:First>R</b:First>
          </b:Person>
          <b:Person>
            <b:Last>Mohamed Ali</b:Last>
            <b:First>F.H</b:First>
          </b:Person>
        </b:NameList>
      </b:Author>
    </b:Author>
    <b:Volume>21</b:Volume>
    <b:Issue>7</b:Issue>
    <b:RefOrder>772</b:RefOrder>
  </b:Source>
  <b:Source>
    <b:Tag>Abi21</b:Tag>
    <b:SourceType>JournalArticle</b:SourceType>
    <b:Guid>{E339BAF6-73B9-4FAA-AD92-4398FA546594}</b:Guid>
    <b:Title>Internal audit quality and disclosure on risk management and internal control</b:Title>
    <b:JournalName>International Journal of Business, Economics and Management</b:JournalName>
    <b:Year>2021</b:Year>
    <b:Pages>154-164</b:Pages>
    <b:Author>
      <b:Author>
        <b:NameList>
          <b:Person>
            <b:Last>Abidin</b:Last>
            <b:First>N.H.Z</b:First>
          </b:Person>
        </b:NameList>
      </b:Author>
    </b:Author>
    <b:Volume>8</b:Volume>
    <b:Issue>3</b:Issue>
    <b:RefOrder>773</b:RefOrder>
  </b:Source>
  <b:Source>
    <b:Tag>Ada09</b:Tag>
    <b:SourceType>JournalArticle</b:SourceType>
    <b:Guid>{DA61BB6F-386D-477F-B681-9C28E96EFF12}</b:Guid>
    <b:Title>Women in the boardroom and their impact on governance and performance</b:Title>
    <b:JournalName>Journal of Financial Economics</b:JournalName>
    <b:Year>2009</b:Year>
    <b:Pages>291-309</b:Pages>
    <b:Author>
      <b:Author>
        <b:NameList>
          <b:Person>
            <b:Last>Adams</b:Last>
            <b:First>R.B</b:First>
          </b:Person>
          <b:Person>
            <b:Last>Ferreira</b:Last>
            <b:First>D</b:First>
          </b:Person>
        </b:NameList>
      </b:Author>
    </b:Author>
    <b:Volume>94</b:Volume>
    <b:Issue>2</b:Issue>
    <b:RefOrder>774</b:RefOrder>
  </b:Source>
  <b:Source>
    <b:Tag>Ahe12</b:Tag>
    <b:SourceType>JournalArticle</b:SourceType>
    <b:Guid>{2BF4D24E-A949-46C9-AB17-49007C2E3D50}</b:Guid>
    <b:Title>The changing of the boards: The impact on firm valuation of mandated female board representation</b:Title>
    <b:JournalName>The Quarterly Journal of Economics</b:JournalName>
    <b:Year>2012</b:Year>
    <b:Pages>137-197</b:Pages>
    <b:Author>
      <b:Author>
        <b:NameList>
          <b:Person>
            <b:Last>Ahern</b:Last>
            <b:First>K.R</b:First>
          </b:Person>
          <b:Person>
            <b:Last>Dittmar</b:Last>
            <b:First>A.K</b:First>
          </b:Person>
        </b:NameList>
      </b:Author>
    </b:Author>
    <b:Volume>127</b:Volume>
    <b:Issue>1</b:Issue>
    <b:RefOrder>775</b:RefOrder>
  </b:Source>
  <b:Source>
    <b:Tag>Ahm18</b:Tag>
    <b:SourceType>JournalArticle</b:SourceType>
    <b:Guid>{8D03D5CB-D172-4E84-9CB0-2581B81AF334}</b:Guid>
    <b:Title>Chief Executive Officer attributes, board structures, gender diversity and firm performance among French CAC 40 listed firms</b:Title>
    <b:JournalName>Research in International Business and Finance</b:JournalName>
    <b:Year>2018</b:Year>
    <b:Pages>218-226</b:Pages>
    <b:Author>
      <b:Author>
        <b:NameList>
          <b:Person>
            <b:Last>Ahmadi</b:Last>
            <b:First>A</b:First>
          </b:Person>
          <b:Person>
            <b:Last>Nakaa</b:Last>
            <b:First>N</b:First>
          </b:Person>
          <b:Person>
            <b:Last>Bouri</b:Last>
            <b:First>A</b:First>
          </b:Person>
        </b:NameList>
      </b:Author>
    </b:Author>
    <b:Volume>44</b:Volume>
    <b:RefOrder>776</b:RefOrder>
  </b:Source>
  <b:Source>
    <b:Tag>Ala16</b:Tag>
    <b:SourceType>JournalArticle</b:SourceType>
    <b:Guid>{58547A53-CD01-4AB8-BFAA-38C49608CFD8}</b:Guid>
    <b:Title>Role of internal audit in performance of Libyan financial organizations</b:Title>
    <b:JournalName>International Journal of Applied Research</b:JournalName>
    <b:Year>2016</b:Year>
    <b:Pages>352-356</b:Pages>
    <b:Author>
      <b:Author>
        <b:NameList>
          <b:Person>
            <b:Last>Alaswad</b:Last>
            <b:First>S.A.M</b:First>
          </b:Person>
          <b:Person>
            <b:Last>Stanisic</b:Last>
            <b:First>M</b:First>
          </b:Person>
        </b:NameList>
      </b:Author>
    </b:Author>
    <b:Volume>2</b:Volume>
    <b:Issue>2</b:Issue>
    <b:RefOrder>777</b:RefOrder>
  </b:Source>
  <b:Source>
    <b:Tag>Alf17</b:Tag>
    <b:SourceType>JournalArticle</b:SourceType>
    <b:Guid>{49601F76-6490-4AF8-B905-F9D2649BCD63}</b:Guid>
    <b:Title>The impact of internal audit on organizational performance of selected Jordanian companies</b:Title>
    <b:JournalName>International Journal of Multidisciplinary Research and Development</b:JournalName>
    <b:Year>2017</b:Year>
    <b:Pages>285-289</b:Pages>
    <b:Author>
      <b:Author>
        <b:NameList>
          <b:Person>
            <b:Last>Alflahat</b:Last>
            <b:First>M.T.A</b:First>
          </b:Person>
        </b:NameList>
      </b:Author>
    </b:Author>
    <b:Volume>4</b:Volume>
    <b:Issue>8</b:Issue>
    <b:RefOrder>778</b:RefOrder>
  </b:Source>
  <b:Source>
    <b:Tag>AlM19</b:Tag>
    <b:SourceType>JournalArticle</b:SourceType>
    <b:Guid>{4B2433E6-D320-4874-9EB7-65D774F1ED89}</b:Guid>
    <b:Title>The moderating effect of internal audit on the relationship between corporate governance mechanisms and corporate performance among Saudi Arabia listed companies</b:Title>
    <b:JournalName>Contaduria y Administracion</b:JournalName>
    <b:Year>2019</b:Year>
    <b:Pages>1-36</b:Pages>
    <b:Author>
      <b:Author>
        <b:NameList>
          <b:Person>
            <b:Last>Al-Matari</b:Last>
            <b:First>E.M</b:First>
          </b:Person>
          <b:Person>
            <b:Last>Mgammal</b:Last>
            <b:First>M.H</b:First>
          </b:Person>
        </b:NameList>
      </b:Author>
    </b:Author>
    <b:Volume>65</b:Volume>
    <b:Issue>1</b:Issue>
    <b:RefOrder>779</b:RefOrder>
  </b:Source>
  <b:Source>
    <b:Tag>Als21</b:Tag>
    <b:SourceType>JournalArticle</b:SourceType>
    <b:Guid>{182E19E3-49C7-4BFA-9746-9AA9A6B1FA6D}</b:Guid>
    <b:Title>The relationship between corporate governance and firm performance: The effect of internal audit and entreprise ressource planning (ERP)</b:Title>
    <b:JournalName>Open Journal of Accounting</b:JournalName>
    <b:Year>2021</b:Year>
    <b:Pages>56-76</b:Pages>
    <b:Author>
      <b:Author>
        <b:NameList>
          <b:Person>
            <b:Last>Alsurayyi</b:Last>
            <b:First>A.I</b:First>
          </b:Person>
          <b:Person>
            <b:Last>Alsughayer</b:Last>
            <b:First>S.A</b:First>
          </b:Person>
        </b:NameList>
      </b:Author>
    </b:Author>
    <b:Volume>10</b:Volume>
    <b:Issue>2</b:Issue>
    <b:RefOrder>780</b:RefOrder>
  </b:Source>
  <b:Source>
    <b:Tag>Alz21</b:Tag>
    <b:SourceType>JournalArticle</b:SourceType>
    <b:Guid>{4482418F-029A-497F-8A57-2A875EDD3D90}</b:Guid>
    <b:Title>Internal audit findings, audit committees, and firm performance evidence from UK</b:Title>
    <b:JournalName>Asia-Pacific Journal of Accounting and Economics</b:JournalName>
    <b:Year>2021</b:Year>
    <b:Author>
      <b:Author>
        <b:NameList>
          <b:Person>
            <b:Last>Alzeban</b:Last>
            <b:First>A</b:First>
          </b:Person>
        </b:NameList>
      </b:Author>
    </b:Author>
    <b:DOI>10.1080/16081625.2021.1908153</b:DOI>
    <b:RefOrder>781</b:RefOrder>
  </b:Source>
  <b:Source>
    <b:Tag>Ben20</b:Tag>
    <b:SourceType>JournalArticle</b:SourceType>
    <b:Guid>{F51B78ED-B62D-49F6-BCBA-AEE59463BFE7}</b:Guid>
    <b:Title>Etude de l'influence de l'audit interne sur la performance globale des entreprises de la région Souss Massa</b:Title>
    <b:JournalName>Revue Internationale du Chercheur</b:JournalName>
    <b:Year>2020</b:Year>
    <b:Pages>98-116</b:Pages>
    <b:Author>
      <b:Author>
        <b:NameList>
          <b:Person>
            <b:Last>Bengrich</b:Last>
            <b:First>M</b:First>
          </b:Person>
          <b:Person>
            <b:Last>El Ghadouia</b:Last>
            <b:First>M</b:First>
          </b:Person>
        </b:NameList>
      </b:Author>
    </b:Author>
    <b:Volume>1</b:Volume>
    <b:Issue>2</b:Issue>
    <b:RefOrder>782</b:RefOrder>
  </b:Source>
  <b:Source>
    <b:Tag>Bra21</b:Tag>
    <b:SourceType>JournalArticle</b:SourceType>
    <b:Guid>{642C1778-71E5-41F7-89D5-B773575C13EA}</b:Guid>
    <b:Title>Board gender diversity and firm performance: The UK evidence</b:Title>
    <b:JournalName>International Journal of Finance and Economics</b:JournalName>
    <b:Year>2021</b:Year>
    <b:Pages>5704-5719</b:Pages>
    <b:Author>
      <b:Author>
        <b:NameList>
          <b:Person>
            <b:Last>Brahma</b:Last>
            <b:First>S</b:First>
          </b:Person>
          <b:Person>
            <b:Last>Nwafor</b:Last>
            <b:First>C</b:First>
          </b:Person>
          <b:Person>
            <b:Last>Boateng</b:Last>
            <b:First>A</b:First>
          </b:Person>
        </b:NameList>
      </b:Author>
    </b:Author>
    <b:Volume>26</b:Volume>
    <b:Issue>4</b:Issue>
    <b:RefOrder>783</b:RefOrder>
  </b:Source>
  <b:Source>
    <b:Tag>Car03</b:Tag>
    <b:SourceType>JournalArticle</b:SourceType>
    <b:Guid>{A02F33D1-97C1-4121-900A-EABBC161665D}</b:Guid>
    <b:Title>Corporate Governance, Board Diversity,  and Firm Value</b:Title>
    <b:JournalName>The  Financial Review</b:JournalName>
    <b:Year>2003</b:Year>
    <b:Pages>33-53</b:Pages>
    <b:Author>
      <b:Author>
        <b:NameList>
          <b:Person>
            <b:Last>Carter</b:Last>
            <b:First>D.A</b:First>
          </b:Person>
          <b:Person>
            <b:Last>Simkins</b:Last>
            <b:First>B.J</b:First>
          </b:Person>
          <b:Person>
            <b:Last>Simpson</b:Last>
            <b:First>W.G</b:First>
          </b:Person>
        </b:NameList>
      </b:Author>
    </b:Author>
    <b:Volume>38</b:Volume>
    <b:Issue>1</b:Issue>
    <b:RefOrder>784</b:RefOrder>
  </b:Source>
  <b:Source>
    <b:Tag>Placeholder30</b:Tag>
    <b:SourceType>JournalArticle</b:SourceType>
    <b:Guid>{8E65D145-383D-42D2-A909-8F7C5A65E2B2}</b:Guid>
    <b:Title>Proactive internal audit strategy and firm performance: Empirical evidence from Thai-listed firms</b:Title>
    <b:JournalName>AU-GSB e Journal</b:JournalName>
    <b:Year>2016</b:Year>
    <b:Pages>3-24</b:Pages>
    <b:Author>
      <b:Author>
        <b:NameList>
          <b:Person>
            <b:Last>Chatiwong</b:Last>
            <b:First>T</b:First>
          </b:Person>
          <b:Person>
            <b:Last>Ussahawanitichakit</b:Last>
            <b:First>P</b:First>
          </b:Person>
          <b:Person>
            <b:Last>Janjarasjit</b:Last>
            <b:First>S</b:First>
          </b:Person>
        </b:NameList>
      </b:Author>
    </b:Author>
    <b:Volume>9</b:Volume>
    <b:Issue>1</b:Issue>
    <b:RefOrder>785</b:RefOrder>
  </b:Source>
  <b:Source>
    <b:Tag>Chu94</b:Tag>
    <b:SourceType>JournalArticle</b:SourceType>
    <b:Guid>{A7E29AE8-5C6F-4C1B-8AEE-16ECB4E47640}</b:Guid>
    <b:Title>A simple approximation of Tobin's Q</b:Title>
    <b:JournalName>Financial Management</b:JournalName>
    <b:Year>1994</b:Year>
    <b:Pages>70-74</b:Pages>
    <b:Author>
      <b:Author>
        <b:NameList>
          <b:Person>
            <b:Last>Chung</b:Last>
            <b:First>K.H</b:First>
          </b:Person>
          <b:Person>
            <b:Last>Pruitt</b:Last>
            <b:First>S.W</b:First>
          </b:Person>
        </b:NameList>
      </b:Author>
    </b:Author>
    <b:Volume>23</b:Volume>
    <b:Issue>3</b:Issue>
    <b:RefOrder>786</b:RefOrder>
  </b:Source>
  <b:Source>
    <b:Tag>Cor06</b:Tag>
    <b:SourceType>JournalArticle</b:SourceType>
    <b:Guid>{8C2D4987-D824-444E-8C1E-CBB093260733}</b:Guid>
    <b:Title>Does weak governance cause weak stock returns? An examination of firm operating performance and investors'expectations</b:Title>
    <b:JournalName>The journal of Finance</b:JournalName>
    <b:Year>2006</b:Year>
    <b:Pages>655-687</b:Pages>
    <b:Author>
      <b:Author>
        <b:NameList>
          <b:Person>
            <b:Last>Core</b:Last>
            <b:First>J</b:First>
          </b:Person>
          <b:Person>
            <b:Last>Guay</b:Last>
            <b:First>W</b:First>
          </b:Person>
          <b:Person>
            <b:Last>Rusticus</b:Last>
            <b:First>T</b:First>
          </b:Person>
        </b:NameList>
      </b:Author>
    </b:Author>
    <b:Volume>61</b:Volume>
    <b:Issue>2</b:Issue>
    <b:RefOrder>787</b:RefOrder>
  </b:Source>
  <b:Source>
    <b:Tag>Dav05</b:Tag>
    <b:SourceType>JournalArticle</b:SourceType>
    <b:Guid>{5C1C83E3-410C-4D3E-B136-D0BB0A068A64}</b:Guid>
    <b:Title>Internal governance structures and earnings management</b:Title>
    <b:JournalName>Accounting and Finance</b:JournalName>
    <b:Year>2005</b:Year>
    <b:Pages>241-267</b:Pages>
    <b:Author>
      <b:Author>
        <b:NameList>
          <b:Person>
            <b:Last>Davidson</b:Last>
            <b:First>R</b:First>
          </b:Person>
          <b:Person>
            <b:Last>Goodwin-Stewart</b:Last>
            <b:First>J</b:First>
          </b:Person>
          <b:Person>
            <b:Last>Kent</b:Last>
            <b:First>P</b:First>
          </b:Person>
        </b:NameList>
      </b:Author>
    </b:Author>
    <b:Volume>45</b:Volume>
    <b:Issue>2</b:Issue>
    <b:RefOrder>788</b:RefOrder>
  </b:Source>
  <b:Source>
    <b:Tag>Dey19</b:Tag>
    <b:SourceType>JournalArticle</b:SourceType>
    <b:Guid>{1FD1BC81-3A0D-47FA-8C3C-15F1CFF86C92}</b:Guid>
    <b:Title>Internal audit quality and its impact on public sector organizational performance: Evidence from sector Bureaus of Southern Ethiopia</b:Title>
    <b:JournalName>International Journal of Economy, Energy and Environment</b:JournalName>
    <b:Year>2019</b:Year>
    <b:Pages>118-131</b:Pages>
    <b:Author>
      <b:Author>
        <b:NameList>
          <b:Person>
            <b:Last>Deyganto</b:Last>
            <b:First>K.O</b:First>
          </b:Person>
        </b:NameList>
      </b:Author>
    </b:Author>
    <b:Volume>4</b:Volume>
    <b:Issue>6</b:Issue>
    <b:RefOrder>789</b:RefOrder>
  </b:Source>
  <b:Source>
    <b:Tag>Eag03</b:Tag>
    <b:SourceType>JournalArticle</b:SourceType>
    <b:Guid>{21B706C6-217E-42F3-830E-6D2D4827197D}</b:Guid>
    <b:Title>Finding gender advantage and disadvantage : Systematic research integration is the solution</b:Title>
    <b:JournalName>The Leadership Quarterly</b:JournalName>
    <b:Year>2003</b:Year>
    <b:Pages>851-859</b:Pages>
    <b:Author>
      <b:Author>
        <b:NameList>
          <b:Person>
            <b:Last>Eagly</b:Last>
            <b:First>A</b:First>
          </b:Person>
          <b:Person>
            <b:Last>Carli</b:Last>
            <b:First>L</b:First>
          </b:Person>
        </b:NameList>
      </b:Author>
    </b:Author>
    <b:Volume>14</b:Volume>
    <b:Issue>6</b:Issue>
    <b:RefOrder>790</b:RefOrder>
  </b:Source>
  <b:Source>
    <b:Tag>Eag95</b:Tag>
    <b:SourceType>JournalArticle</b:SourceType>
    <b:Guid>{E26C3F49-AFDF-45D1-87EF-840D4640D3EE}</b:Guid>
    <b:Title>Gender and the effectiveness of leaders: Ameta-analysis</b:Title>
    <b:JournalName>Psychological Bulletin</b:JournalName>
    <b:Year>1995</b:Year>
    <b:Pages>125-145</b:Pages>
    <b:Author>
      <b:Author>
        <b:NameList>
          <b:Person>
            <b:Last>Eagly</b:Last>
            <b:First>A.H</b:First>
          </b:Person>
          <b:Person>
            <b:Last>Karau</b:Last>
            <b:First>S.J</b:First>
          </b:Person>
          <b:Person>
            <b:Last>Makhijani</b:Last>
            <b:First>M.G</b:First>
          </b:Person>
        </b:NameList>
      </b:Author>
    </b:Author>
    <b:Volume>117</b:Volume>
    <b:Issue>1</b:Issue>
    <b:RefOrder>791</b:RefOrder>
  </b:Source>
  <b:Source>
    <b:Tag>Ejo14</b:Tag>
    <b:SourceType>JournalArticle</b:SourceType>
    <b:Guid>{7BB2C659-FB32-4D58-9AE9-91C519FADAC8}</b:Guid>
    <b:Title>The effect of internal audit function on the financial performance of tertiary institutions in Nigeria</b:Title>
    <b:JournalName>International Journal of Economics, Commerce and Management</b:JournalName>
    <b:Year>2014</b:Year>
    <b:Pages>1-14</b:Pages>
    <b:Author>
      <b:Author>
        <b:NameList>
          <b:Person>
            <b:Last>Ejoh</b:Last>
            <b:First>N.O</b:First>
          </b:Person>
          <b:Person>
            <b:Last>Ejom</b:Last>
            <b:First>P.E</b:First>
          </b:Person>
        </b:NameList>
      </b:Author>
    </b:Author>
    <b:Volume>2</b:Volume>
    <b:Issue>10</b:Issue>
    <b:RefOrder>792</b:RefOrder>
  </b:Source>
  <b:Source>
    <b:Tag>Ele19</b:Tag>
    <b:SourceType>JournalArticle</b:SourceType>
    <b:Guid>{23B6901C-535C-472A-BC9A-916E8500DC5A}</b:Guid>
    <b:Title>The effect of audit quality on firm performance: A panel data approach</b:Title>
    <b:JournalName>International Journal of Accounting and Financial Reporting</b:JournalName>
    <b:Year>2019</b:Year>
    <b:Pages>229-244</b:Pages>
    <b:Author>
      <b:Author>
        <b:NameList>
          <b:Person>
            <b:Last>Elewa</b:Last>
            <b:First>M.M</b:First>
          </b:Person>
          <b:Person>
            <b:Last>El-Haddad</b:Last>
            <b:First>R</b:First>
          </b:Person>
        </b:NameList>
      </b:Author>
    </b:Author>
    <b:Volume>9</b:Volume>
    <b:Issue>1</b:Issue>
    <b:RefOrder>793</b:RefOrder>
  </b:Source>
  <b:Source>
    <b:Tag>Placeholder31</b:Tag>
    <b:SourceType>JournalArticle</b:SourceType>
    <b:Guid>{BF494084-8D5F-4FB4-B9D0-91F4ACDAEF25}</b:Guid>
    <b:Title>Additions to corporate boards: The effect of gender</b:Title>
    <b:JournalName>Journal of Corporate Finance</b:JournalName>
    <b:Year>2005</b:Year>
    <b:Pages>85-106</b:Pages>
    <b:Author>
      <b:Author>
        <b:NameList>
          <b:Person>
            <b:Last>Farrell</b:Last>
            <b:First>K.A</b:First>
          </b:Person>
          <b:Person>
            <b:Last>Hersch</b:Last>
            <b:First>P.L</b:First>
          </b:Person>
        </b:NameList>
      </b:Author>
    </b:Author>
    <b:Volume>11</b:Volume>
    <b:Issue>1/2</b:Issue>
    <b:RefOrder>794</b:RefOrder>
  </b:Source>
  <b:Source>
    <b:Tag>Gla16</b:Tag>
    <b:SourceType>JournalArticle</b:SourceType>
    <b:Guid>{CCFB745A-3F78-4D43-B75B-07FB4FD94585}</b:Guid>
    <b:Title>Do women leaders promote sustainability? Analyzing the effect of corporate governance composition on</b:Title>
    <b:JournalName>Business Strategy and the Environmrnt</b:JournalName>
    <b:Year>2016</b:Year>
    <b:Pages>495-511</b:Pages>
    <b:Author>
      <b:Author>
        <b:NameList>
          <b:Person>
            <b:Last>Glass</b:Last>
            <b:First>C</b:First>
          </b:Person>
          <b:Person>
            <b:Last>Cook</b:Last>
            <b:First>A</b:First>
          </b:Person>
          <b:Person>
            <b:Last>Ingersoll</b:Last>
            <b:First>A</b:First>
          </b:Person>
        </b:NameList>
      </b:Author>
    </b:Author>
    <b:Volume>25</b:Volume>
    <b:Issue>7</b:Issue>
    <b:RefOrder>795</b:RefOrder>
  </b:Source>
  <b:Source>
    <b:Tag>Gor17</b:Tag>
    <b:SourceType>JournalArticle</b:SourceType>
    <b:Guid>{0D601743-F2EF-425A-9CE9-667B6DFC2E66}</b:Guid>
    <b:Title>Gender diversity in the Italian boardroom and firm financial performance</b:Title>
    <b:JournalName>Management Research Review</b:JournalName>
    <b:Year>2017</b:Year>
    <b:Pages>75-94</b:Pages>
    <b:Author>
      <b:Author>
        <b:NameList>
          <b:Person>
            <b:Last>Gordini</b:Last>
            <b:First>N</b:First>
          </b:Person>
          <b:Person>
            <b:Last>Rancati</b:Last>
            <b:First>E</b:First>
          </b:Person>
        </b:NameList>
      </b:Author>
    </b:Author>
    <b:Volume>40</b:Volume>
    <b:Issue>1</b:Issue>
    <b:RefOrder>796</b:RefOrder>
  </b:Source>
  <b:Source>
    <b:Tag>Gra04</b:Tag>
    <b:SourceType>JournalArticle</b:SourceType>
    <b:Guid>{C2C93F56-8F31-4874-9055-B2C8490A5B16}</b:Guid>
    <b:Title>The role of the internal audit function in corporate governance: A synthesis of the extant internal auditing literature and directions for future research</b:Title>
    <b:JournalName>Journal of Accounting Literature</b:JournalName>
    <b:Year>2004</b:Year>
    <b:Pages>194-244</b:Pages>
    <b:Author>
      <b:Author>
        <b:NameList>
          <b:Person>
            <b:Last>Gramling</b:Last>
            <b:First>A</b:First>
          </b:Person>
          <b:Person>
            <b:Last>Maletta</b:Last>
            <b:First>M.J</b:First>
          </b:Person>
          <b:Person>
            <b:Last>Arnold</b:Last>
            <b:First>S</b:First>
          </b:Person>
          <b:Person>
            <b:Last>Church</b:Last>
            <b:First>B.K</b:First>
          </b:Person>
        </b:NameList>
      </b:Author>
    </b:Author>
    <b:Volume>23</b:Volume>
    <b:Issue>1</b:Issue>
    <b:RefOrder>797</b:RefOrder>
  </b:Source>
  <b:Source>
    <b:Tag>Han06</b:Tag>
    <b:SourceType>JournalArticle</b:SourceType>
    <b:Guid>{2A8214F2-EF59-4460-A357-B23F9A055D4B}</b:Guid>
    <b:Title>Corporate governance structure and performance of Malaysian listed companies</b:Title>
    <b:Year>2006</b:Year>
    <b:JournalName>Journal of Business Finance and Accounting</b:JournalName>
    <b:Pages>1034-1062</b:Pages>
    <b:Author>
      <b:Author>
        <b:NameList>
          <b:Person>
            <b:Last>Haniffa</b:Last>
            <b:First>R</b:First>
          </b:Person>
          <b:Person>
            <b:Last>Hudaib</b:Last>
            <b:First>M</b:First>
          </b:Person>
        </b:NameList>
      </b:Author>
    </b:Author>
    <b:Volume>33</b:Volume>
    <b:Issue>7</b:Issue>
    <b:RefOrder>798</b:RefOrder>
  </b:Source>
  <b:Source>
    <b:Tag>Har18</b:Tag>
    <b:SourceType>JournalArticle</b:SourceType>
    <b:Guid>{7EF4DC65-E6EF-4255-9EE3-8CA8B0D9565D}</b:Guid>
    <b:Title>Gender is not"a dummy variable": a discussion of current gender reserach in accounting</b:Title>
    <b:JournalName>Qualitative Research in Acconting and Mnangement</b:JournalName>
    <b:Year>2018</b:Year>
    <b:Pages>385-407</b:Pages>
    <b:Author>
      <b:Author>
        <b:NameList>
          <b:Person>
            <b:Last>Hardies</b:Last>
            <b:First>K</b:First>
          </b:Person>
          <b:Person>
            <b:Last>Khalifa</b:Last>
            <b:First>R</b:First>
          </b:Person>
        </b:NameList>
      </b:Author>
    </b:Author>
    <b:Volume>15</b:Volume>
    <b:Issue>3</b:Issue>
    <b:RefOrder>799</b:RefOrder>
  </b:Source>
  <b:Source>
    <b:Tag>Haz20</b:Tag>
    <b:SourceType>JournalArticle</b:SourceType>
    <b:Guid>{8495EE43-1312-4711-9266-CBE109ED48DF}</b:Guid>
    <b:Title>The impact of inetrnal audit quality on financial performance of Yemeni commercial banks: An empirical investigation</b:Title>
    <b:JournalName>The Journal of Asian Finance, Economics and Business</b:JournalName>
    <b:Year>2020</b:Year>
    <b:Pages>867-875</b:Pages>
    <b:Author>
      <b:Author>
        <b:NameList>
          <b:Person>
            <b:Last>Hazaea</b:Last>
            <b:First>S.A</b:First>
          </b:Person>
          <b:Person>
            <b:Last>Tabash</b:Last>
            <b:First>M.I</b:First>
          </b:Person>
          <b:Person>
            <b:Last>Khatib</b:Last>
            <b:First>S.F</b:First>
          </b:Person>
          <b:Person>
            <b:Last>Zhu</b:Last>
            <b:First>J</b:First>
          </b:Person>
          <b:Person>
            <b:Last>Al-Khuali</b:Last>
            <b:First>A.A</b:First>
          </b:Person>
        </b:NameList>
      </b:Author>
    </b:Author>
    <b:Volume>7</b:Volume>
    <b:Issue>11</b:Issue>
    <b:RefOrder>800</b:RefOrder>
  </b:Source>
  <b:Source>
    <b:Tag>Haz21</b:Tag>
    <b:SourceType>JournalArticle</b:SourceType>
    <b:Guid>{E08713FC-3AC9-4EA3-AEE4-6914BFCAEB35}</b:Guid>
    <b:Title>Internal audit and financial performance of Yemeni commercial banks: Empirical evidence</b:Title>
    <b:JournalName>Banks and Bank Systems</b:JournalName>
    <b:Year>2021</b:Year>
    <b:Pages>137-147</b:Pages>
    <b:Author>
      <b:Author>
        <b:NameList>
          <b:Person>
            <b:Last>Hazaea</b:Last>
            <b:First>S.A</b:First>
          </b:Person>
          <b:Person>
            <b:Last>Tabash</b:Last>
            <b:First>M.I</b:First>
          </b:Person>
          <b:Person>
            <b:Last>Zhu</b:Last>
            <b:First>J</b:First>
          </b:Person>
          <b:Person>
            <b:Last>Khatib</b:Last>
            <b:First>S.F</b:First>
          </b:Person>
          <b:Person>
            <b:Last>Farhan</b:Last>
            <b:First>N.H</b:First>
          </b:Person>
        </b:NameList>
      </b:Author>
    </b:Author>
    <b:Volume>16</b:Volume>
    <b:Issue>2</b:Issue>
    <b:RefOrder>801</b:RefOrder>
  </b:Source>
  <b:Source>
    <b:Tag>Hel06</b:Tag>
    <b:SourceType>JournalArticle</b:SourceType>
    <b:Guid>{14D591BE-BBDE-47A0-A14C-E32D65D6C28F}</b:Guid>
    <b:Title>The pipeline to the top:Women and men in the top excecutive ranks of U.S corporations</b:Title>
    <b:JournalName>The Academy of Management Perspectives</b:JournalName>
    <b:Year>2006</b:Year>
    <b:Pages>42-64</b:Pages>
    <b:Author>
      <b:Author>
        <b:NameList>
          <b:Person>
            <b:Last>Helfat</b:Last>
            <b:First>C</b:First>
          </b:Person>
          <b:Person>
            <b:Last>Harris</b:Last>
            <b:First>D</b:First>
          </b:Person>
          <b:Person>
            <b:Last>Wolfson</b:Last>
            <b:First>P</b:First>
          </b:Person>
        </b:NameList>
      </b:Author>
    </b:Author>
    <b:Volume>20</b:Volume>
    <b:Issue>4</b:Issue>
    <b:RefOrder>802</b:RefOrder>
  </b:Source>
  <b:Source>
    <b:Tag>Hut09</b:Tag>
    <b:SourceType>JournalArticle</b:SourceType>
    <b:Guid>{12E61875-5897-44E1-82D7-600259E31F3C}</b:Guid>
    <b:Title>Internal  audit quality, audit committee independence, growth opportunities and firm performance</b:Title>
    <b:JournalName>Corporate Ownership and Control</b:JournalName>
    <b:Year>2009</b:Year>
    <b:Pages>50-63</b:Pages>
    <b:Author>
      <b:Author>
        <b:NameList>
          <b:Person>
            <b:Last>Hutchinson</b:Last>
            <b:First>M.R</b:First>
          </b:Person>
          <b:Person>
            <b:Last>Zain</b:Last>
            <b:First>M.M</b:First>
          </b:Person>
        </b:NameList>
      </b:Author>
    </b:Author>
    <b:Volume>7</b:Volume>
    <b:Issue>2</b:Issue>
    <b:RefOrder>803</b:RefOrder>
  </b:Source>
  <b:Source>
    <b:Tag>Ifu22</b:Tag>
    <b:SourceType>JournalArticle</b:SourceType>
    <b:Guid>{C4648F7F-4A72-43C5-A33E-D8ED7643A22C}</b:Guid>
    <b:Title>Effect of audit firm size on market performance of industrial goods companies in Nigeria</b:Title>
    <b:JournalName>Asian Journal of Advances in Research</b:JournalName>
    <b:Year>2022</b:Year>
    <b:Pages>110-118</b:Pages>
    <b:Author>
      <b:Author>
        <b:NameList>
          <b:Person>
            <b:Last>Ifurueze</b:Last>
            <b:First>P.C</b:First>
          </b:Person>
          <b:Person>
            <b:Last>Anichebe</b:Last>
            <b:First>A.S</b:First>
          </b:Person>
          <b:Person>
            <b:Last>Nkechi</b:Last>
            <b:First>M.A</b:First>
          </b:Person>
        </b:NameList>
      </b:Author>
    </b:Author>
    <b:Volume>17</b:Volume>
    <b:Issue>4</b:Issue>
    <b:RefOrder>804</b:RefOrder>
  </b:Source>
  <b:Source>
    <b:Tag>Itt12</b:Tag>
    <b:SourceType>JournalArticle</b:SourceType>
    <b:Guid>{F03853A7-57D6-4626-9FDA-460B598E92E2}</b:Guid>
    <b:Title>Auditor's gender and audit fees</b:Title>
    <b:JournalName>International Journal of Auditing</b:JournalName>
    <b:Year>2012</b:Year>
    <b:Pages>1-18</b:Pages>
    <b:Author>
      <b:Author>
        <b:NameList>
          <b:Person>
            <b:Last>Ittonen</b:Last>
            <b:First>K</b:First>
          </b:Person>
          <b:Person>
            <b:Last>Peni</b:Last>
            <b:First>E</b:First>
          </b:Person>
        </b:NameList>
      </b:Author>
    </b:Author>
    <b:Volume>16</b:Volume>
    <b:Issue>1</b:Issue>
    <b:RefOrder>805</b:RefOrder>
  </b:Source>
  <b:Source>
    <b:Tag>Itt13</b:Tag>
    <b:SourceType>JournalArticle</b:SourceType>
    <b:Guid>{D18844DA-C70B-40EE-A031-DC286B8BF990}</b:Guid>
    <b:Title>Female auditors and accruals quality</b:Title>
    <b:JournalName>Accounting Horizon</b:JournalName>
    <b:Year>2013</b:Year>
    <b:Pages>205-228</b:Pages>
    <b:Author>
      <b:Author>
        <b:NameList>
          <b:Person>
            <b:Last>Ittonen</b:Last>
            <b:First>K</b:First>
          </b:Person>
          <b:Person>
            <b:Last>Vahamaa</b:Last>
            <b:First>E</b:First>
          </b:Person>
          <b:Person>
            <b:Last>Vahamaa</b:Last>
            <b:First>S</b:First>
          </b:Person>
        </b:NameList>
      </b:Author>
    </b:Author>
    <b:Volume>27</b:Volume>
    <b:Issue>2</b:Issue>
    <b:RefOrder>806</b:RefOrder>
  </b:Source>
  <b:Source>
    <b:Tag>Jia20</b:Tag>
    <b:SourceType>JournalArticle</b:SourceType>
    <b:Guid>{4DCBA5DE-BED5-409E-960C-127D3ECA703E}</b:Guid>
    <b:Title>The association between internal audit operations- related services and firm operating performance</b:Title>
    <b:JournalName>Auditing: A journal of practice and Theory</b:JournalName>
    <b:Year>2020</b:Year>
    <b:Pages>101-124</b:Pages>
    <b:Author>
      <b:Author>
        <b:NameList>
          <b:Person>
            <b:Last>Jiang</b:Last>
            <b:First>L</b:First>
          </b:Person>
          <b:Person>
            <b:Last>Messier</b:Last>
            <b:First>W.F</b:First>
          </b:Person>
          <b:Person>
            <b:Last>Wood</b:Last>
            <b:First>D</b:First>
          </b:Person>
        </b:NameList>
      </b:Author>
    </b:Author>
    <b:Volume>39</b:Volume>
    <b:Issue>1</b:Issue>
    <b:RefOrder>807</b:RefOrder>
  </b:Source>
  <b:Source>
    <b:Tag>Kia12</b:Tag>
    <b:SourceType>JournalArticle</b:SourceType>
    <b:Guid>{8563371A-041D-43DE-82DE-DC2EE83B605B}</b:Guid>
    <b:Title>Internal auditing and performance of government entreprises:A Nigerian study</b:Title>
    <b:JournalName>Global Journal of Management and Business Research</b:JournalName>
    <b:Year>2012</b:Year>
    <b:Pages>1-17</b:Pages>
    <b:Author>
      <b:Author>
        <b:NameList>
          <b:Person>
            <b:Last>Kiabel</b:Last>
            <b:First>B.D</b:First>
          </b:Person>
        </b:NameList>
      </b:Author>
    </b:Author>
    <b:Volume>12</b:Volume>
    <b:Issue>6</b:Issue>
    <b:RefOrder>808</b:RefOrder>
  </b:Source>
  <b:Source>
    <b:Tag>Kim16</b:Tag>
    <b:SourceType>JournalArticle</b:SourceType>
    <b:Guid>{3F1E9402-0A6A-48E8-A4DC-D756003A8868}</b:Guid>
    <b:Title>Gender diversity on corporate boards:Do women contribute unique skills?</b:Title>
    <b:JournalName>American Economic Review</b:JournalName>
    <b:Year>2016</b:Year>
    <b:Pages>267-271</b:Pages>
    <b:Author>
      <b:Author>
        <b:NameList>
          <b:Person>
            <b:Last>Kim</b:Last>
            <b:First>D</b:First>
          </b:Person>
          <b:Person>
            <b:Last>Starks</b:Last>
            <b:First>L.T</b:First>
          </b:Person>
        </b:NameList>
      </b:Author>
    </b:Author>
    <b:Volume>106</b:Volume>
    <b:Issue>5</b:Issue>
    <b:RefOrder>809</b:RefOrder>
  </b:Source>
  <b:Source>
    <b:Tag>Liu14</b:Tag>
    <b:SourceType>JournalArticle</b:SourceType>
    <b:Guid>{74BD50E2-E757-4EEB-BC79-293D9F27D2C8}</b:Guid>
    <b:Title>Do women directors improve firm performance in China</b:Title>
    <b:JournalName>Journal of Corporate Finance</b:JournalName>
    <b:Year>2014</b:Year>
    <b:Pages>169-184</b:Pages>
    <b:Author>
      <b:Author>
        <b:NameList>
          <b:Person>
            <b:Last>Liu</b:Last>
            <b:First>Y</b:First>
          </b:Person>
          <b:Person>
            <b:Last>Wei</b:Last>
            <b:First>Z</b:First>
          </b:Person>
          <b:Person>
            <b:Last>Xie</b:Last>
            <b:First>F</b:First>
          </b:Person>
        </b:NameList>
      </b:Author>
    </b:Author>
    <b:Volume>28</b:Volume>
    <b:Issue>C</b:Issue>
    <b:RefOrder>810</b:RefOrder>
  </b:Source>
  <b:Source>
    <b:Tag>Nek22</b:Tag>
    <b:SourceType>JournalArticle</b:SourceType>
    <b:Guid>{91362B87-E531-41DE-92C6-B856C7B5DC4B}</b:Guid>
    <b:Title>Audit partner gender, leadership and ethics: The case of earnings management</b:Title>
    <b:JournalName>Journal of Business Ethics</b:JournalName>
    <b:Year>2022</b:Year>
    <b:Pages>233-260</b:Pages>
    <b:Author>
      <b:Author>
        <b:NameList>
          <b:Person>
            <b:Last>Nekhili</b:Last>
            <b:First>M</b:First>
          </b:Person>
          <b:Person>
            <b:Last>Javed</b:Last>
            <b:First>F</b:First>
          </b:Person>
          <b:Person>
            <b:Last>Nagati</b:Last>
            <b:First>H</b:First>
          </b:Person>
        </b:NameList>
      </b:Author>
    </b:Author>
    <b:Volume>177</b:Volume>
    <b:RefOrder>811</b:RefOrder>
  </b:Source>
  <b:Source>
    <b:Tag>Nel96</b:Tag>
    <b:SourceType>Book</b:SourceType>
    <b:Guid>{998136F1-4B89-4C79-830A-C70F16BB9F05}</b:Guid>
    <b:Title>Feminism, Objectivity and Economics</b:Title>
    <b:Year>1996</b:Year>
    <b:Publisher>Routledge, London</b:Publisher>
    <b:Author>
      <b:Author>
        <b:NameList>
          <b:Person>
            <b:Last>Nelson</b:Last>
            <b:First>J</b:First>
          </b:Person>
        </b:NameList>
      </b:Author>
    </b:Author>
    <b:RefOrder>812</b:RefOrder>
  </b:Source>
  <b:Source>
    <b:Tag>New18</b:Tag>
    <b:SourceType>JournalArticle</b:SourceType>
    <b:Guid>{DD282BF6-0A3D-48F8-A15E-7670E15076CE}</b:Guid>
    <b:Title>Investigating the value creation of internal audit and its impact on company performance</b:Title>
    <b:Year>2018</b:Year>
    <b:Author>
      <b:Author>
        <b:NameList>
          <b:Person>
            <b:Last>Newman</b:Last>
            <b:First>W</b:First>
          </b:Person>
          <b:Person>
            <b:Last>Comfort</b:Last>
            <b:First>M</b:First>
          </b:Person>
        </b:NameList>
      </b:Author>
    </b:Author>
    <b:JournalName>Academy of Entrepreneurship Journal</b:JournalName>
    <b:Pages>1-21</b:Pages>
    <b:Volume>24</b:Volume>
    <b:Issue>3</b:Issue>
    <b:RefOrder>813</b:RefOrder>
  </b:Source>
  <b:Source>
    <b:Tag>Ous19</b:Tag>
    <b:SourceType>JournalArticle</b:SourceType>
    <b:Guid>{E88D517A-DF71-4EBA-843E-CB97F40D85A2}</b:Guid>
    <b:Title>Does the chief audit executive gender matter to internal audit effectiveness? Evidence from Tunisia</b:Title>
    <b:JournalName>African Journal of Economic and  Management Studies</b:JournalName>
    <b:Year>2019</b:Year>
    <b:Pages>424-439</b:Pages>
    <b:Author>
      <b:Author>
        <b:NameList>
          <b:Person>
            <b:Last>Oussii</b:Last>
            <b:First>A.A</b:First>
          </b:Person>
          <b:Person>
            <b:Last>Klibi</b:Last>
            <b:First>M.F</b:First>
          </b:Person>
        </b:NameList>
      </b:Author>
    </b:Author>
    <b:Volume>10</b:Volume>
    <b:Issue>4</b:Issue>
    <b:RefOrder>814</b:RefOrder>
  </b:Source>
  <b:Source>
    <b:Tag>Piz15</b:Tag>
    <b:SourceType>JournalArticle</b:SourceType>
    <b:Guid>{A0B4EC1D-60D5-4687-9C17-B925CFBD02EF}</b:Guid>
    <b:Title>The impact of internal of audit fuction quality and contribution on audit delays</b:Title>
    <b:JournalName>Auditing : A Journal of Practice and Theory</b:JournalName>
    <b:Year>2015</b:Year>
    <b:Pages>25-58</b:Pages>
    <b:Author>
      <b:Author>
        <b:NameList>
          <b:Person>
            <b:Last>Pizzini</b:Last>
            <b:First>M</b:First>
          </b:Person>
          <b:Person>
            <b:Last>Lin</b:Last>
            <b:First>S</b:First>
          </b:Person>
          <b:Person>
            <b:Last>Vargus</b:Last>
            <b:First>M</b:First>
          </b:Person>
          <b:Person>
            <b:Last>Ziegenfuss</b:Last>
            <b:First>D.E</b:First>
          </b:Person>
        </b:NameList>
      </b:Author>
    </b:Author>
    <b:Volume>34</b:Volume>
    <b:Issue>1</b:Issue>
    <b:RefOrder>815</b:RefOrder>
  </b:Source>
  <b:Source>
    <b:Tag>Pos15</b:Tag>
    <b:SourceType>JournalArticle</b:SourceType>
    <b:Guid>{28D6997C-AC45-4461-8FC3-760D4121B58E}</b:Guid>
    <b:Title>Women on boards and firm financial performance: A meta-analysis</b:Title>
    <b:JournalName>Academy of Management Journal</b:JournalName>
    <b:Year>2015</b:Year>
    <b:Pages>1546-1571</b:Pages>
    <b:Author>
      <b:Author>
        <b:NameList>
          <b:Person>
            <b:Last>Post</b:Last>
            <b:First>C</b:First>
          </b:Person>
          <b:Person>
            <b:Last>Byron</b:Last>
            <b:First>K</b:First>
          </b:Person>
        </b:NameList>
      </b:Author>
    </b:Author>
    <b:Volume>58</b:Volume>
    <b:Issue>5</b:Issue>
    <b:RefOrder>816</b:RefOrder>
  </b:Source>
  <b:Source>
    <b:Tag>Pos20</b:Tag>
    <b:SourceType>JournalArticle</b:SourceType>
    <b:Guid>{336CA28C-1C39-409C-8B21-D049615AFE76}</b:Guid>
    <b:Title>Internal audit as a tool to improve the efficiency of public service</b:Title>
    <b:JournalName>European Research Studies Journal</b:JournalName>
    <b:Year>2020</b:Year>
    <b:Pages>699-715</b:Pages>
    <b:Author>
      <b:Author>
        <b:NameList>
          <b:Person>
            <b:Last>Postula</b:Last>
            <b:First>M</b:First>
          </b:Person>
          <b:Person>
            <b:Last>Irodenko</b:Last>
            <b:First>O</b:First>
          </b:Person>
          <b:Person>
            <b:Last>Dubel</b:Last>
            <b:First>P</b:First>
          </b:Person>
        </b:NameList>
      </b:Author>
    </b:Author>
    <b:Issue>3</b:Issue>
    <b:RefOrder>817</b:RefOrder>
  </b:Source>
  <b:Source>
    <b:Tag>Pra09</b:Tag>
    <b:SourceType>JournalArticle</b:SourceType>
    <b:Guid>{16ACC901-0909-42AD-A947-3E41256F7BC1}</b:Guid>
    <b:Title>Internal audit quality and earnings management</b:Title>
    <b:JournalName>The Accounting Review</b:JournalName>
    <b:Year>2009</b:Year>
    <b:Pages>1255-1280</b:Pages>
    <b:Author>
      <b:Author>
        <b:NameList>
          <b:Person>
            <b:Last>Prawitt</b:Last>
            <b:First>D.F</b:First>
          </b:Person>
          <b:Person>
            <b:Last>Smith</b:Last>
            <b:First>J.L</b:First>
          </b:Person>
          <b:Person>
            <b:Last>Wood</b:Last>
            <b:First>D.A</b:First>
          </b:Person>
        </b:NameList>
      </b:Author>
    </b:Author>
    <b:Volume>84</b:Volume>
    <b:Issue>4</b:Issue>
    <b:RefOrder>818</b:RefOrder>
  </b:Source>
  <b:Source>
    <b:Tag>Qia03</b:Tag>
    <b:SourceType>JournalArticle</b:SourceType>
    <b:Guid>{31DC0D07-BE32-4C37-8AE5-691EE2BF2FB6}</b:Guid>
    <b:Title>Profitability of small and medium sized entreprises in high tech industries: The case of the biotechnology industry</b:Title>
    <b:JournalName>Strategic Management Journal</b:JournalName>
    <b:Year>2003</b:Year>
    <b:Pages>881-887</b:Pages>
    <b:Author>
      <b:Author>
        <b:NameList>
          <b:Person>
            <b:Last>Qian</b:Last>
            <b:First>G</b:First>
          </b:Person>
          <b:Person>
            <b:Last>Li</b:Last>
            <b:First>L</b:First>
          </b:Person>
        </b:NameList>
      </b:Author>
    </b:Author>
    <b:Volume>24</b:Volume>
    <b:Issue>9</b:Issue>
    <b:RefOrder>819</b:RefOrder>
  </b:Source>
  <b:Source>
    <b:Tag>Qia19</b:Tag>
    <b:SourceType>JournalArticle</b:SourceType>
    <b:Guid>{FF9ED283-7714-4C9F-BE0A-E4344847267E}</b:Guid>
    <b:Title>Board gender diversity, board independence and firm performance in Malaysia</b:Title>
    <b:JournalName>Institutions and Economies</b:JournalName>
    <b:Year>2019</b:Year>
    <b:Pages>1-20</b:Pages>
    <b:Author>
      <b:Author>
        <b:NameList>
          <b:Person>
            <b:Last>Qian</b:Last>
            <b:First>L.K</b:First>
          </b:Person>
          <b:Person>
            <b:Last>Norazlin</b:Last>
            <b:First>A</b:First>
          </b:Person>
          <b:Person>
            <b:Last>Irene</b:Last>
            <b:First>W.K</b:First>
          </b:Person>
          <b:Person>
            <b:Last>Cheng</b:Last>
            <b:First>Z</b:First>
          </b:Person>
          <b:Person>
            <b:Last>Hasahudin</b:Last>
            <b:First>B.H</b:First>
          </b:Person>
        </b:NameList>
      </b:Author>
    </b:Author>
    <b:Volume>11</b:Volume>
    <b:Issue>1</b:Issue>
    <b:RefOrder>820</b:RefOrder>
  </b:Source>
  <b:Source>
    <b:Tag>Rah22</b:Tag>
    <b:SourceType>JournalArticle</b:SourceType>
    <b:Guid>{0BCFE6EB-94BC-4CB4-B324-2AAF61E3988B}</b:Guid>
    <b:Title>Determination of audit quality: auditor gender stereotype study in South Sulawesi, Indonesia</b:Title>
    <b:JournalName>Journal of Positive Schook Psychology</b:JournalName>
    <b:Year>2022</b:Year>
    <b:Pages>569-586</b:Pages>
    <b:Author>
      <b:Author>
        <b:NameList>
          <b:Person>
            <b:Last>Rahim</b:Last>
            <b:First>S</b:First>
          </b:Person>
          <b:Person>
            <b:Last>Wahyuni</b:Last>
            <b:First>N</b:First>
          </b:Person>
          <b:Person>
            <b:Last>Anzhari</b:Last>
            <b:First>A.M</b:First>
          </b:Person>
          <b:Person>
            <b:Last>Karim</b:Last>
            <b:First>A</b:First>
          </b:Person>
        </b:NameList>
      </b:Author>
    </b:Author>
    <b:Volume>6</b:Volume>
    <b:Issue>11</b:Issue>
    <b:RefOrder>821</b:RefOrder>
  </b:Source>
  <b:Source>
    <b:Tag>Ric13</b:Tag>
    <b:SourceType>JournalArticle</b:SourceType>
    <b:Guid>{03593136-7B58-4B17-B2C0-2E33D44D4ACB}</b:Guid>
    <b:Title>Determinants of transfer pricing aggressiveness: Empirical evidence from Australian firms</b:Title>
    <b:JournalName>Journal of Contemporary Accounting and Economics</b:JournalName>
    <b:Year>2013</b:Year>
    <b:Pages>136-150</b:Pages>
    <b:Author>
      <b:Author>
        <b:NameList>
          <b:Person>
            <b:Last>Richardson</b:Last>
            <b:First>G</b:First>
          </b:Person>
          <b:Person>
            <b:Last>Taylor</b:Last>
            <b:First>G</b:First>
          </b:Person>
          <b:Person>
            <b:Last>Lanis</b:Last>
            <b:First>R</b:First>
          </b:Person>
        </b:NameList>
      </b:Author>
    </b:Author>
    <b:Volume>9</b:Volume>
    <b:Issue>2</b:Issue>
    <b:RefOrder>822</b:RefOrder>
  </b:Source>
  <b:Source>
    <b:Tag>Placeholder32</b:Tag>
    <b:SourceType>JournalArticle</b:SourceType>
    <b:Guid>{5857D17F-5C2C-45F6-A810-EF192B088812}</b:Guid>
    <b:Title>Building a business case for diversity</b:Title>
    <b:JournalName>Academy of Management Executive</b:JournalName>
    <b:Year>1997</b:Year>
    <b:Pages>21-31</b:Pages>
    <b:Author>
      <b:Author>
        <b:NameList>
          <b:Person>
            <b:Last>Robinson</b:Last>
            <b:First>G</b:First>
          </b:Person>
          <b:Person>
            <b:Last>Dechant</b:Last>
          </b:Person>
        </b:NameList>
      </b:Author>
    </b:Author>
    <b:Volume>11</b:Volume>
    <b:Issue>3</b:Issue>
    <b:RefOrder>823</b:RefOrder>
  </b:Source>
  <b:Source>
    <b:Tag>Sab15</b:Tag>
    <b:SourceType>JournalArticle</b:SourceType>
    <b:Guid>{917D1EDA-3A66-4E27-97FF-446FF1A2BF39}</b:Guid>
    <b:Title>A women's boom in the boardroom: Effects on performance?</b:Title>
    <b:JournalName>Applied Economics</b:JournalName>
    <b:Year>2015</b:Year>
    <b:Pages>2717-2727</b:Pages>
    <b:Author>
      <b:Author>
        <b:NameList>
          <b:Person>
            <b:Last>Sabatier</b:Last>
            <b:First>M</b:First>
          </b:Person>
        </b:NameList>
      </b:Author>
    </b:Author>
    <b:Volume>47</b:Volume>
    <b:Issue>26</b:Issue>
    <b:RefOrder>824</b:RefOrder>
  </b:Source>
  <b:Source>
    <b:Tag>Sar11</b:Tag>
    <b:SourceType>JournalArticle</b:SourceType>
    <b:Guid>{5952F928-DFB2-46D0-AD2F-2FCDD3B61776}</b:Guid>
    <b:Title>Monitoring effects of the internal audit function: agency theory versus other explanatory variables</b:Title>
    <b:JournalName>International Journal of Auditing</b:JournalName>
    <b:Year>2011</b:Year>
    <b:Pages>1-20</b:Pages>
    <b:Author>
      <b:Author>
        <b:NameList>
          <b:Person>
            <b:Last>Sarens</b:Last>
            <b:First>G</b:First>
          </b:Person>
          <b:Person>
            <b:Last>Abdolmohammdi</b:Last>
            <b:First>M.J</b:First>
          </b:Person>
        </b:NameList>
      </b:Author>
    </b:Author>
    <b:Volume>15</b:Volume>
    <b:Issue>1</b:Issue>
    <b:RefOrder>825</b:RefOrder>
  </b:Source>
  <b:Source>
    <b:Tag>Sei16</b:Tag>
    <b:SourceType>JournalArticle</b:SourceType>
    <b:Guid>{3080B98F-A29B-4F71-8F90-31F5843FA028}</b:Guid>
    <b:Title>Beyond the business case: The need for both utility and justice rationales for increasing the share of women on boards</b:Title>
    <b:JournalName>Corporate Governance</b:JournalName>
    <b:Year>2016</b:Year>
    <b:Pages>390-405</b:Pages>
    <b:Author>
      <b:Author>
        <b:NameList>
          <b:Person>
            <b:Last>Seierstad</b:Last>
            <b:First>C</b:First>
          </b:Person>
        </b:NameList>
      </b:Author>
    </b:Author>
    <b:Volume>24</b:Volume>
    <b:Issue>4</b:Issue>
    <b:RefOrder>826</b:RefOrder>
  </b:Source>
  <b:Source>
    <b:Tag>Soa22</b:Tag>
    <b:SourceType>JournalArticle</b:SourceType>
    <b:Guid>{065EA61E-3B9A-4880-BA7C-C460172CB669}</b:Guid>
    <b:Title>The impact of the gender composition of company boards on firm performance</b:Title>
    <b:JournalName>International Journal of Productivity and Performance Management</b:JournalName>
    <b:Year>2022</b:Year>
    <b:Pages>1611-1624</b:Pages>
    <b:Author>
      <b:Author>
        <b:NameList>
          <b:Person>
            <b:Last>Soare</b:Last>
            <b:First>T</b:First>
          </b:Person>
          <b:Person>
            <b:Last>Detilleux</b:Last>
            <b:First>C</b:First>
          </b:Person>
          <b:Person>
            <b:Last>Deschacht</b:Last>
            <b:First>N</b:First>
          </b:Person>
        </b:NameList>
      </b:Author>
    </b:Author>
    <b:Volume>71</b:Volume>
    <b:Issue>5</b:Issue>
    <b:RefOrder>827</b:RefOrder>
  </b:Source>
  <b:Source>
    <b:Tag>Sub16</b:Tag>
    <b:SourceType>JournalArticle</b:SourceType>
    <b:Guid>{2E7EF2DD-46EC-4064-AE3C-B38ED627E7EE}</b:Guid>
    <b:Title>Role of internal audit in performance pf Libyan financial organizations</b:Title>
    <b:JournalName>International Journal of Applied Research</b:JournalName>
    <b:Year>2016</b:Year>
    <b:Pages>352-356</b:Pages>
    <b:Author>
      <b:Author>
        <b:NameList>
          <b:Person>
            <b:Last>Subhi</b:Last>
            <b:First>A</b:First>
          </b:Person>
          <b:Person>
            <b:Last>Stanisic</b:Last>
            <b:First>M</b:First>
          </b:Person>
        </b:NameList>
      </b:Author>
    </b:Author>
    <b:Volume>2</b:Volume>
    <b:Issue>2</b:Issue>
    <b:RefOrder>828</b:RefOrder>
  </b:Source>
  <b:Source>
    <b:Tag>Tal18</b:Tag>
    <b:SourceType>JournalArticle</b:SourceType>
    <b:Guid>{1D04603B-9C05-4C0C-BEDB-3E2353F0BFEE}</b:Guid>
    <b:Title>Internal audit function, ownership structure and firm performance in Iraq</b:Title>
    <b:JournalName>Journal of Engineering and Applied Sciences</b:JournalName>
    <b:Year>2018</b:Year>
    <b:Pages>2098-2102</b:Pages>
    <b:Author>
      <b:Author>
        <b:NameList>
          <b:Person>
            <b:Last>Talab</b:Last>
            <b:First>H.R</b:First>
          </b:Person>
          <b:Person>
            <b:Last>Abdul Manaf</b:Last>
            <b:First>K.B</b:First>
          </b:Person>
          <b:Person>
            <b:Last>Siti Seri</b:Last>
            <b:First>D</b:First>
          </b:Person>
        </b:NameList>
      </b:Author>
    </b:Author>
    <b:Volume>13</b:Volume>
    <b:Issue>8</b:Issue>
    <b:RefOrder>829</b:RefOrder>
  </b:Source>
  <b:Source>
    <b:Tag>UdD21</b:Tag>
    <b:SourceType>JournalArticle</b:SourceType>
    <b:Guid>{ADF12216-15A9-473C-AC99-3CBAD14F2A24}</b:Guid>
    <b:Title>Gender diversity in the audit committee and the efficiency of internal control and financial reporting quality</b:Title>
    <b:JournalName>Economic Research</b:JournalName>
    <b:Year>2021</b:Year>
    <b:Pages>1170-1189</b:Pages>
    <b:Author>
      <b:Author>
        <b:NameList>
          <b:Person>
            <b:Last>Ud Din</b:Last>
            <b:First>N</b:First>
          </b:Person>
          <b:Person>
            <b:Last>Cheng</b:Last>
            <b:First>X</b:First>
          </b:Person>
          <b:Person>
            <b:Last>Ahmad</b:Last>
            <b:First>B</b:First>
          </b:Person>
          <b:Person>
            <b:Last>Sheikh</b:Last>
            <b:First>M.F</b:First>
          </b:Person>
        </b:NameList>
      </b:Author>
    </b:Author>
    <b:Volume>34</b:Volume>
    <b:Issue>1</b:Issue>
    <b:RefOrder>830</b:RefOrder>
  </b:Source>
  <b:Source>
    <b:Tag>Vad21</b:Tag>
    <b:SourceType>JournalArticle</b:SourceType>
    <b:Guid>{43D36008-CCCE-4886-AF32-550C8F670689}</b:Guid>
    <b:Title>Internal audit function quality and corporate governance: The case of Greece</b:Title>
    <b:JournalName>Multinational Finance Journal</b:JournalName>
    <b:Year>2021</b:Year>
    <b:Pages>1-61</b:Pages>
    <b:Author>
      <b:Author>
        <b:NameList>
          <b:Person>
            <b:Last>Vadasi</b:Last>
            <b:First>C</b:First>
          </b:Person>
          <b:Person>
            <b:Last>Bekiars</b:Last>
            <b:First>M</b:First>
          </b:Person>
          <b:Person>
            <b:Last>Andrikopoulos</b:Last>
            <b:First>A</b:First>
          </b:Person>
        </b:NameList>
      </b:Author>
    </b:Author>
    <b:Volume>25</b:Volume>
    <b:Issue>1/2</b:Issue>
    <b:RefOrder>831</b:RefOrder>
  </b:Source>
  <b:Source>
    <b:Tag>Zia14</b:Tag>
    <b:SourceType>JournalArticle</b:SourceType>
    <b:Guid>{934B0094-E279-4651-9C46-9D3101B419D7}</b:Guid>
    <b:Title>The effect of audit quality on the performance of listed companies in Tehran stock exchange</b:Title>
    <b:JournalName>International Letters of Social and Humanistic Sciences</b:JournalName>
    <b:Year>2014</b:Year>
    <b:Pages>36-43</b:Pages>
    <b:Author>
      <b:Author>
        <b:NameList>
          <b:Person>
            <b:Last>Ziaee</b:Last>
            <b:First>M</b:First>
          </b:Person>
        </b:NameList>
      </b:Author>
    </b:Author>
    <b:Volume>21</b:Volume>
    <b:RefOrder>832</b:RefOrder>
  </b:Source>
  <b:Source>
    <b:Tag>Muc17</b:Tag>
    <b:SourceType>JournalArticle</b:SourceType>
    <b:Guid>{E8A48610-4A26-4615-B646-2F3930376FA5}</b:Guid>
    <b:Title>Internal auditing and financial performance of public institutions in Kenya: A case study of Kenya Meat Commission</b:Title>
    <b:JournalName>African Journal of Business Management</b:JournalName>
    <b:Year>2017</b:Year>
    <b:Author>
      <b:Author>
        <b:NameList>
          <b:Person>
            <b:Last>Muchiri</b:Last>
            <b:First>N.M</b:First>
          </b:Person>
          <b:Person>
            <b:Last>Jagongo</b:Last>
            <b:First>A</b:First>
          </b:Person>
        </b:NameList>
      </b:Author>
    </b:Author>
    <b:Volume>11</b:Volume>
    <b:Issue>8</b:Issue>
    <b:Pages>168-174</b:Pages>
    <b:RefOrder>833</b:RefOrder>
  </b:Source>
  <b:Source>
    <b:Tag>Ins99</b:Tag>
    <b:SourceType>Book</b:SourceType>
    <b:Guid>{04471FA3-2024-4D58-8132-03D6551A2B7C}</b:Guid>
    <b:Title>Definition of Internal Auditing</b:Title>
    <b:Year>1999</b:Year>
    <b:Author>
      <b:Author>
        <b:NameList>
          <b:Person>
            <b:Last>IIA</b:Last>
          </b:Person>
        </b:NameList>
      </b:Author>
    </b:Author>
    <b:Publisher>The Institute of Internal Auditors, Altamonte Springs, FL</b:Publisher>
    <b:RefOrder>834</b:RefOrder>
  </b:Source>
  <b:Source>
    <b:Tag>Guj09</b:Tag>
    <b:SourceType>Book</b:SourceType>
    <b:Guid>{6E88A70B-5D30-4D95-98D9-C58FF4440917}</b:Guid>
    <b:Title>Basic Econometrics</b:Title>
    <b:JournalName>McGraw-Hill Education Books Forth Ed</b:JournalName>
    <b:Year>2009</b:Year>
    <b:Author>
      <b:Author>
        <b:NameList>
          <b:Person>
            <b:Last>Gujarati</b:Last>
            <b:First>N</b:First>
          </b:Person>
          <b:Person>
            <b:Last>Porter</b:Last>
            <b:First>D</b:First>
          </b:Person>
        </b:NameList>
      </b:Author>
    </b:Author>
    <b:City>US</b:City>
    <b:Publisher>The McGraw-Hill. Third Ed. Ltd</b:Publisher>
    <b:RefOrder>835</b:RefOrder>
  </b:Source>
  <b:Source>
    <b:Tag>Guj04</b:Tag>
    <b:SourceType>Book</b:SourceType>
    <b:Guid>{46DF349E-89BA-43A6-BE4A-9172F0E7EFCD}</b:Guid>
    <b:Title>Basic Econometrics</b:Title>
    <b:Year>2004</b:Year>
    <b:Author>
      <b:Author>
        <b:NameList>
          <b:Person>
            <b:Last>Gujarati</b:Last>
            <b:First>N</b:First>
          </b:Person>
        </b:NameList>
      </b:Author>
    </b:Author>
    <b:City>New York</b:City>
    <b:Publisher>The McGraw-Hill.Fourth Ed.Ltd.</b:Publisher>
    <b:RefOrder>836</b:RefOrder>
  </b:Source>
  <b:Source>
    <b:Tag>FAO19</b:Tag>
    <b:SourceType>InternetSite</b:SourceType>
    <b:Guid>{D3ED04F8-46D7-4DCF-9B14-2113494B7B79}</b:Guid>
    <b:Author>
      <b:Author>
        <b:Corporate>FAO</b:Corporate>
      </b:Author>
    </b:Author>
    <b:Title>The State of Food and Agriculture 2019: Moving Forward on Food Loss and Waste Reduction. Rome.</b:Title>
    <b:InternetSiteTitle>World Food and Agriculture – Statistical pocketbook 2019.</b:InternetSiteTitle>
    <b:Year>2019</b:Year>
    <b:URL>https:www.fao.org</b:URL>
    <b:RefOrder>31</b:RefOrder>
  </b:Source>
  <b:Source>
    <b:Tag>Cla201</b:Tag>
    <b:SourceType>JournalArticle</b:SourceType>
    <b:Guid>{13E0429C-18FF-4870-84F1-7165B20AF208}</b:Guid>
    <b:Author>
      <b:Author>
        <b:NameList>
          <b:Person>
            <b:Last>Clapp</b:Last>
            <b:First>J.</b:First>
          </b:Person>
          <b:Person>
            <b:Last>Moseley</b:Last>
            <b:First>W. G.</b:First>
          </b:Person>
        </b:NameList>
      </b:Author>
    </b:Author>
    <b:Title>This food crisis is different: COVID-19 and the fragility of the neoliberal food security order</b:Title>
    <b:JournalName>The Journal of Peasant Studies</b:JournalName>
    <b:Year>2020</b:Year>
    <b:Pages>47(7), 1393-1417</b:Pages>
    <b:RefOrder>32</b:RefOrder>
  </b:Source>
  <b:Source>
    <b:Tag>IPB19</b:Tag>
    <b:SourceType>Report</b:SourceType>
    <b:Guid>{5A0B5C05-2B2F-4B94-898A-31A9F97FC20D}</b:Guid>
    <b:Title>Summary for policymakers of the global assessment report on biodiversity and ecosystem services of the Intergovernmental Science-Policy Platform on Biodiversity and Ecosystem Services</b:Title>
    <b:Year>2019</b:Year>
    <b:Publisher>Bonn: IPBES Secretariat.</b:Publisher>
    <b:Author>
      <b:Author>
        <b:Corporate>IPBES</b:Corporate>
      </b:Author>
    </b:Author>
    <b:RefOrder>33</b:RefOrder>
  </b:Source>
  <b:Source>
    <b:Tag>Ale19</b:Tag>
    <b:SourceType>JournalArticle</b:SourceType>
    <b:Guid>{B9AACEC3-02B2-4FA5-9A40-94267F1CD9F6}</b:Guid>
    <b:Author>
      <b:Author>
        <b:NameList>
          <b:Person>
            <b:Last>Alexander</b:Last>
            <b:First>P</b:First>
          </b:Person>
          <b:Person>
            <b:Last>Brown</b:Last>
            <b:First>C.</b:First>
          </b:Person>
          <b:Person>
            <b:Last>Arneth</b:Last>
            <b:First>A.</b:First>
          </b:Person>
          <b:Person>
            <b:Last>Finnigan</b:Last>
            <b:First>J.</b:First>
          </b:Person>
          <b:Person>
            <b:Last>Rounsevell</b:Last>
            <b:First>M.</b:First>
          </b:Person>
        </b:NameList>
      </b:Author>
    </b:Author>
    <b:Title>Human appropriation of land for food: The role of diet</b:Title>
    <b:JournalName>Global Environmental Change</b:JournalName>
    <b:Year>2019</b:Year>
    <b:Pages>58</b:Pages>
    <b:RefOrder>34</b:RefOrder>
  </b:Source>
  <b:Source>
    <b:Tag>Placeholder33</b:Tag>
    <b:SourceType>Report</b:SourceType>
    <b:Guid>{28A1B3E6-E1B6-49C5-841A-8076DF86B337}</b:Guid>
    <b:Author>
      <b:Author>
        <b:NameList>
          <b:Person>
            <b:Last>Galli</b:Last>
            <b:First>F.</b:First>
          </b:Person>
          <b:Person>
            <b:Last>Watters</b:Last>
            <b:First>R.</b:First>
          </b:Person>
        </b:NameList>
      </b:Author>
    </b:Author>
    <b:Title>Food systems and the SDGs: Bridging the policy gap</b:Title>
    <b:Year>2019</b:Year>
    <b:Publisher>FAO</b:Publisher>
    <b:City>Rome</b:City>
    <b:RefOrder>35</b:RefOrder>
  </b:Source>
  <b:Source>
    <b:Tag>Ros21</b:Tag>
    <b:SourceType>JournalArticle</b:SourceType>
    <b:Guid>{3E03D80E-F89D-47A8-ACA2-EDFC7B80997E}</b:Guid>
    <b:Title>Food systems and public health: Linkages to achieve healthier diets and healthier communities</b:Title>
    <b:Year>2021</b:Year>
    <b:Author>
      <b:Author>
        <b:NameList>
          <b:Person>
            <b:Last>Rosenthal</b:Last>
            <b:First>J.</b:First>
            <b:Middle>P.</b:Middle>
          </b:Person>
          <b:Person>
            <b:Last>Quinn</b:Last>
            <b:First>M.</b:First>
          </b:Person>
          <b:Person>
            <b:Last>Hatt</b:Last>
            <b:First>E. K.</b:First>
          </b:Person>
          <b:Person>
            <b:Last>Wallinga</b:Last>
            <b:First>D.</b:First>
          </b:Person>
        </b:NameList>
      </b:Author>
    </b:Author>
    <b:JournalName>Annual Review of Public Health</b:JournalName>
    <b:Pages>42, 183-198</b:Pages>
    <b:RefOrder>36</b:RefOrder>
  </b:Source>
  <b:Source>
    <b:Tag>Lei22</b:Tag>
    <b:SourceType>JournalArticle</b:SourceType>
    <b:Guid>{F67F6E5D-710F-4CBE-9169-B66024832FDC}</b:Guid>
    <b:Author>
      <b:Author>
        <b:NameList>
          <b:Person>
            <b:Last>Leip</b:Last>
            <b:First>A.</b:First>
          </b:Person>
          <b:Person>
            <b:Last>Caldeira</b:Last>
            <b:First>C.</b:First>
          </b:Person>
          <b:Person>
            <b:Last>Corrado</b:Last>
            <b:First>S.</b:First>
          </b:Person>
          <b:Person>
            <b:Last> Hutchings</b:Last>
            <b:First>N. J.</b:First>
          </b:Person>
          <b:Person>
            <b:Last>Schaap</b:Last>
            <b:First>M.</b:First>
          </b:Person>
          <b:Person>
            <b:Last>van Grinsven</b:Last>
            <b:First>H. J.</b:First>
          </b:Person>
        </b:NameList>
      </b:Author>
    </b:Author>
    <b:Title>Halving nitrogen waste in the European Union food systems requires both dietary shifts and farm level actions</b:Title>
    <b:JournalName>Global Food Security</b:JournalName>
    <b:Year>2022</b:Year>
    <b:Pages>35</b:Pages>
    <b:RefOrder>37</b:RefOrder>
  </b:Source>
  <b:Source>
    <b:Tag>Nab22</b:Tag>
    <b:SourceType>JournalArticle</b:SourceType>
    <b:Guid>{0165A02B-E24F-4CC7-A306-C9743537207F}</b:Guid>
    <b:Author>
      <b:Author>
        <b:NameList>
          <b:Person>
            <b:Last>Nabuuma</b:Last>
            <b:First>D.</b:First>
          </b:Person>
          <b:Person>
            <b:Last>Reimers</b:Last>
            <b:First>C.</b:First>
          </b:Person>
          <b:Person>
            <b:Last>Hoang</b:Last>
            <b:First>K. T.</b:First>
          </b:Person>
          <b:Person>
            <b:Last>Stomph</b:Last>
            <b:First>T.</b:First>
          </b:Person>
          <b:Person>
            <b:Last> Swaans</b:Last>
            <b:First>K.</b:First>
          </b:Person>
        </b:NameList>
      </b:Author>
    </b:Author>
    <b:Title>Impact of seed system interventions on food and nutrition security in low-and middle-income countries: A scoping review</b:Title>
    <b:JournalName>Global Food Security</b:JournalName>
    <b:Year>2022</b:Year>
    <b:Pages>33</b:Pages>
    <b:RefOrder>38</b:RefOrder>
  </b:Source>
  <b:Source>
    <b:Tag>Phi19</b:Tag>
    <b:SourceType>JournalArticle</b:SourceType>
    <b:Guid>{E7904F3A-A697-474E-898D-315BC287B77D}</b:Guid>
    <b:Author>
      <b:Author>
        <b:NameList>
          <b:Person>
            <b:Last>Philippidis</b:Last>
            <b:First>G.</b:First>
          </b:Person>
          <b:Person>
            <b:Last>Sartori</b:Last>
            <b:First>M.</b:First>
          </b:Person>
          <b:Person>
            <b:Last>Ferrari</b:Last>
            <b:First>E.</b:First>
          </b:Person>
          <b:Person>
            <b:Last>M'Barek</b:Last>
            <b:First>R.</b:First>
          </b:Person>
        </b:NameList>
      </b:Author>
    </b:Author>
    <b:Title>Waste not, want not: A bio-economic impact assessment of household food waste reductions in the EU</b:Title>
    <b:JournalName>Resources, Conservation and Recycling</b:JournalName>
    <b:Year>2019</b:Year>
    <b:Pages>146, 514-522.</b:Pages>
    <b:RefOrder>39</b:RefOrder>
  </b:Source>
  <b:Source>
    <b:Tag>Nak18</b:Tag>
    <b:SourceType>JournalArticle</b:SourceType>
    <b:Guid>{927E60F8-27F9-4A50-B321-485DD7CA4A8F}</b:Guid>
    <b:Author>
      <b:Author>
        <b:NameList>
          <b:Person>
            <b:Last>Nakawuka</b:Last>
            <b:First>P.</b:First>
          </b:Person>
          <b:Person>
            <b:Last>Langan</b:Last>
            <b:First>S.</b:First>
          </b:Person>
          <b:Person>
            <b:Last>Schmitter</b:Last>
            <b:First>P.</b:First>
          </b:Person>
          <b:Person>
            <b:Last>Barron</b:Last>
            <b:First>J.</b:First>
          </b:Person>
        </b:NameList>
      </b:Author>
    </b:Author>
    <b:Title>A review of trends, constraints and opportunities of smallholder irrigation in East Africa</b:Title>
    <b:JournalName>Global food security</b:JournalName>
    <b:Year>2018</b:Year>
    <b:Pages>17, 196-212.</b:Pages>
    <b:RefOrder>40</b:RefOrder>
  </b:Source>
  <b:Source>
    <b:Tag>IPC19</b:Tag>
    <b:SourceType>Report</b:SourceType>
    <b:Guid>{555B60F6-62EE-447F-B4E2-7EDA04D109BE}</b:Guid>
    <b:Title> Climate Change and Land: An IPCC Special Report on Climate Change, Desertification, Land Degradation, Sustainable Land Management, Food Security, and Greenhouse Gas Fluxes in Terrestrial Ecosystems</b:Title>
    <b:Year>2019</b:Year>
    <b:Author>
      <b:Author>
        <b:Corporate>IPCC</b:Corporate>
      </b:Author>
    </b:Author>
    <b:Publisher>IPCC</b:Publisher>
    <b:City>Geneva</b:City>
    <b:RefOrder>41</b:RefOrder>
  </b:Source>
  <b:Source>
    <b:Tag>God21</b:Tag>
    <b:SourceType>JournalArticle</b:SourceType>
    <b:Guid>{3ACCD120-40DE-4D9F-B907-64A003DE1507}</b:Guid>
    <b:Title>Impacts of climate change on the livestock food supply chain; a review of the evidence</b:Title>
    <b:Year>2021</b:Year>
    <b:Author>
      <b:Author>
        <b:NameList>
          <b:Person>
            <b:Last>Godde</b:Last>
            <b:First>C.</b:First>
            <b:Middle>M.</b:Middle>
          </b:Person>
          <b:Person>
            <b:Last>Mason-D’Croz</b:Last>
            <b:First>D.</b:First>
          </b:Person>
          <b:Person>
            <b:Last>Mayberry</b:Last>
            <b:First>D. E.</b:First>
          </b:Person>
          <b:Person>
            <b:Last>Thornton</b:Last>
            <b:First>P. K.</b:First>
          </b:Person>
        </b:NameList>
      </b:Author>
    </b:Author>
    <b:JournalName>Global food security</b:JournalName>
    <b:Pages>28</b:Pages>
    <b:RefOrder>42</b:RefOrder>
  </b:Source>
  <b:Source>
    <b:Tag>Sha20</b:Tag>
    <b:SourceType>JournalArticle</b:SourceType>
    <b:Guid>{67053061-B59D-40A0-9498-EB6F7122FE6D}</b:Guid>
    <b:Author>
      <b:Author>
        <b:NameList>
          <b:Person>
            <b:Last>Sharifi</b:Last>
            <b:First>A.</b:First>
          </b:Person>
        </b:NameList>
      </b:Author>
    </b:Author>
    <b:Title>Trade-offs and conflicts between urban climate change mitigation and adaptation measures: A literature review</b:Title>
    <b:JournalName>Journal of Cleaner Production,</b:JournalName>
    <b:Year>2020</b:Year>
    <b:Pages> 276</b:Pages>
    <b:RefOrder>43</b:RefOrder>
  </b:Source>
  <b:Source>
    <b:Tag>OHa21</b:Tag>
    <b:SourceType>JournalArticle</b:SourceType>
    <b:Guid>{420EB62C-9993-45E5-81D3-B670E36EA510}</b:Guid>
    <b:Title>Food access in crisis: Food security and COVID-19</b:Title>
    <b:JournalName>Ecological Economics</b:JournalName>
    <b:Year>2021</b:Year>
    <b:Pages>180</b:Pages>
    <b:Author>
      <b:Author>
        <b:NameList>
          <b:Person>
            <b:Last>O'Hara</b:Last>
            <b:First>S.</b:First>
          </b:Person>
          <b:Person>
            <b:Last>Toussaint</b:Last>
            <b:First>E. C.</b:First>
          </b:Person>
        </b:NameList>
      </b:Author>
    </b:Author>
    <b:RefOrder>44</b:RefOrder>
  </b:Source>
  <b:Source>
    <b:Tag>Fan14</b:Tag>
    <b:SourceType>JournalArticle</b:SourceType>
    <b:Guid>{CB9EDDC8-8BCB-4DE0-802A-CD48CEB103C7}</b:Guid>
    <b:Author>
      <b:Author>
        <b:NameList>
          <b:Person>
            <b:Last>Fanzo</b:Last>
            <b:First>J.</b:First>
          </b:Person>
        </b:NameList>
      </b:Author>
    </b:Author>
    <b:Title>Strengthening the engagement of food and health systems to improve nutrition security: Synthesis and overview of approaches to address malnutrition</b:Title>
    <b:JournalName>Global food security</b:JournalName>
    <b:Year>2014</b:Year>
    <b:Pages>3(3-4), 183-192</b:Pages>
    <b:RefOrder>45</b:RefOrder>
  </b:Source>
  <b:Source>
    <b:Tag>Lig22</b:Tag>
    <b:SourceType>JournalArticle</b:SourceType>
    <b:Guid>{672C3260-B94E-4189-8A74-D0668B131664}</b:Guid>
    <b:Author>
      <b:Author>
        <b:NameList>
          <b:Person>
            <b:Last>Liguori</b:Last>
            <b:First>J.</b:First>
          </b:Person>
          <b:Person>
            <b:Last> Trübswasser</b:Last>
            <b:First>U.</b:First>
          </b:Person>
          <b:Person>
            <b:Last>Pradeilles</b:Last>
            <b:First>R.</b:First>
          </b:Person>
          <b:Person>
            <b:Last>Le Port</b:Last>
            <b:First>A.</b:First>
          </b:Person>
          <b:Person>
            <b:Last>Landais</b:Last>
            <b:First>E.</b:First>
          </b:Person>
          <b:Person>
            <b:Last>Talsma</b:Last>
            <b:First>E. F.</b:First>
          </b:Person>
          <b:Person>
            <b:Last>Holdsworth</b:Last>
            <b:First>M.</b:First>
          </b:Person>
        </b:NameList>
      </b:Author>
    </b:Author>
    <b:Title>How do food safety concerns affect consumer behaviors and diets in low-and middle-income countries? A systematic review</b:Title>
    <b:JournalName>Global Food Security</b:JournalName>
    <b:Year>2022</b:Year>
    <b:Pages>35</b:Pages>
    <b:RefOrder>46</b:RefOrder>
  </b:Source>
  <b:Source>
    <b:Tag>Ign23</b:Tag>
    <b:SourceType>JournalArticle</b:SourceType>
    <b:Guid>{AB7F0645-F498-414E-B338-C9940866D1B3}</b:Guid>
    <b:Author>
      <b:Author>
        <b:NameList>
          <b:Person>
            <b:Last>Ignowski</b:Last>
            <b:First>L.</b:First>
          </b:Person>
          <b:Person>
            <b:Last>Belton</b:Last>
            <b:First>B.</b:First>
          </b:Person>
          <b:Person>
            <b:Last>Tran</b:Last>
            <b:First>N.</b:First>
          </b:Person>
          <b:Person>
            <b:Last> Ameye</b:Last>
            <b:First>H.</b:First>
          </b:Person>
        </b:NameList>
      </b:Author>
    </b:Author>
    <b:Title>Dietary inadequacy in Tanzania is linked to the rising cost of nutritious foods and consumption of food-away-from-home</b:Title>
    <b:JournalName>Global Food Security</b:JournalName>
    <b:Year>2023</b:Year>
    <b:Pages>37</b:Pages>
    <b:RefOrder>47</b:RefOrder>
  </b:Source>
  <b:Source>
    <b:Tag>Rip21</b:Tag>
    <b:SourceType>JournalArticle</b:SourceType>
    <b:Guid>{7C5F8DC1-0566-494B-AF95-953F75995DB6}</b:Guid>
    <b:Author>
      <b:Author>
        <b:NameList>
          <b:Person>
            <b:Last>Ripkey</b:Last>
            <b:First>C.</b:First>
          </b:Person>
          <b:Person>
            <b:Last>Little</b:Last>
            <b:First>P. D.</b:First>
          </b:Person>
          <b:Person>
            <b:Last>Dominguez-Salas</b:Last>
            <b:First>P.</b:First>
          </b:Person>
          <b:Person>
            <b:Last> Kinabo</b:Last>
            <b:First>J.</b:First>
          </b:Person>
          <b:Person>
            <b:Last>Mwanri</b:Last>
            <b:First>A.</b:First>
          </b:Person>
          <b:Person>
            <b:Last>Girard</b:Last>
            <b:First>A. W.</b:First>
          </b:Person>
        </b:NameList>
      </b:Author>
    </b:Author>
    <b:Title>Increased climate variability and sedentarization in Tanzania: Health and nutrition implications on pastoral communities of Mvomero and Handeni districts, Tanzania</b:Title>
    <b:Year>2021</b:Year>
    <b:JournalName>Global Food Security</b:JournalName>
    <b:Pages>29</b:Pages>
    <b:RefOrder>48</b:RefOrder>
  </b:Source>
  <b:Source>
    <b:Tag>DiP22</b:Tag>
    <b:SourceType>JournalArticle</b:SourceType>
    <b:Guid>{A7A7910D-B999-4165-AFD2-FE05CDEE65D8}</b:Guid>
    <b:Author>
      <b:Author>
        <b:NameList>
          <b:Person>
            <b:Last>Di Prima</b:Last>
            <b:First>S.</b:First>
          </b:Person>
          <b:Person>
            <b:Last>Wright</b:Last>
            <b:First>E.</b:First>
            <b:Middle>P.</b:Middle>
          </b:Person>
          <b:Person>
            <b:Last>Sharma</b:Last>
            <b:First>I.</b:First>
            <b:Middle>K.</b:Middle>
          </b:Person>
          <b:Person>
            <b:Last>Syurina</b:Last>
            <b:First>E.</b:First>
          </b:Person>
          <b:Person>
            <b:Last>Broerse</b:Last>
            <b:First>J. E.</b:First>
          </b:Person>
        </b:NameList>
      </b:Author>
    </b:Author>
    <b:Title>Implementation and scale-up of nutrition-sensitive agriculture in low-and middle-income countries: a systematic review of what works, what doesn't work and why</b:Title>
    <b:JournalName>Global Food Security</b:JournalName>
    <b:Year>2022</b:Year>
    <b:Pages>32</b:Pages>
    <b:RefOrder>49</b:RefOrder>
  </b:Source>
  <b:Source>
    <b:Tag>Ade191</b:Tag>
    <b:SourceType>JournalArticle</b:SourceType>
    <b:Guid>{931826F9-492A-4832-8B84-24668804BD37}</b:Guid>
    <b:Author>
      <b:Author>
        <b:NameList>
          <b:Person>
            <b:Last>Adenle</b:Last>
            <b:First>A.</b:First>
            <b:Middle>A.</b:Middle>
          </b:Person>
          <b:Person>
            <b:Last>Wedig</b:Last>
            <b:First>K.</b:First>
          </b:Person>
          <b:Person>
            <b:Last>Azadi</b:Last>
            <b:First>H.</b:First>
          </b:Person>
        </b:NameList>
      </b:Author>
    </b:Author>
    <b:Title>Sustainable agriculture and food security in Africa: The role of innovative technologies and international organizations</b:Title>
    <b:JournalName>Technology in Society</b:JournalName>
    <b:Year>2019</b:Year>
    <b:Pages>58</b:Pages>
    <b:RefOrder>50</b:RefOrder>
  </b:Source>
  <b:Source>
    <b:Tag>Bjo22</b:Tag>
    <b:SourceType>JournalArticle</b:SourceType>
    <b:Guid>{0D34F08F-B3DB-41C4-B931-3A4873CF4BCE}</b:Guid>
    <b:Author>
      <b:Author>
        <b:NameList>
          <b:Person>
            <b:Last>Bjornlund</b:Last>
            <b:First>V.</b:First>
          </b:Person>
          <b:Person>
            <b:Last> Bjornlund</b:Last>
            <b:First>H.</b:First>
          </b:Person>
          <b:Person>
            <b:Last>van Rooyen</b:Last>
            <b:First>A.</b:First>
          </b:Person>
        </b:NameList>
      </b:Author>
    </b:Author>
    <b:Title>Why food insecurity persists in sub-Saharan Africa: A review of existing evidence</b:Title>
    <b:JournalName>Food Security</b:JournalName>
    <b:Year>2022</b:Year>
    <b:Pages>14(4), 845-864</b:Pages>
    <b:RefOrder>51</b:RefOrder>
  </b:Source>
  <b:Source>
    <b:Tag>Mat21</b:Tag>
    <b:SourceType>JournalArticle</b:SourceType>
    <b:Guid>{D731D401-E2DA-4CE4-B6F0-F41FBE914232}</b:Guid>
    <b:Author>
      <b:Author>
        <b:NameList>
          <b:Person>
            <b:Last>Mattas</b:Last>
            <b:First>K.</b:First>
          </b:Person>
          <b:Person>
            <b:Last> Tsakiridou</b:Last>
            <b:First>E.</b:First>
          </b:Person>
          <b:Person>
            <b:Last>Karelakis</b:Last>
            <b:First>C.</b:First>
          </b:Person>
          <b:Person>
            <b:Last>Lazaridou</b:Last>
            <b:First>D.</b:First>
          </b:Person>
          <b:Person>
            <b:Last>Gorton</b:Last>
            <b:First>M.</b:First>
          </b:Person>
          <b:Person>
            <b:Last>Filipović</b:Last>
            <b:First>J.</b:First>
          </b:Person>
          <b:Person>
            <b:Last>Veneziani</b:Last>
            <b:First>M.</b:First>
          </b:Person>
        </b:NameList>
      </b:Author>
    </b:Author>
    <b:Title>Strengthening the sustainability of European food chains through quality and procurement policies</b:Title>
    <b:JournalName>Trends in Food Science &amp; Technology</b:JournalName>
    <b:Year>2021</b:Year>
    <b:Pages>120, 248-253</b:Pages>
    <b:RefOrder>52</b:RefOrder>
  </b:Source>
  <b:Source>
    <b:Tag>Gee20</b:Tag>
    <b:SourceType>JournalArticle</b:SourceType>
    <b:Guid>{AF741A56-5F55-4D9D-BC22-5CA4C0D6965B}</b:Guid>
    <b:Author>
      <b:Author>
        <b:NameList>
          <b:Person>
            <b:Last>Geekiyanage</b:Last>
            <b:First>D.</b:First>
          </b:Person>
          <b:Person>
            <b:Last>Fernando</b:Last>
            <b:First>T.</b:First>
          </b:Person>
          <b:Person>
            <b:Last>Keraminiyage</b:Last>
            <b:First>K.</b:First>
          </b:Person>
        </b:NameList>
      </b:Author>
    </b:Author>
    <b:Title>Assessing the state of the art in community engagement for participatory decision-making in disaster risk-sensitive urban development</b:Title>
    <b:JournalName>International journal of disaster risk reduction</b:JournalName>
    <b:Year>2020</b:Year>
    <b:Pages>51</b:Pages>
    <b:RefOrder>53</b:RefOrder>
  </b:Source>
  <b:Source>
    <b:Tag>Smi17</b:Tag>
    <b:SourceType>JournalArticle</b:SourceType>
    <b:Guid>{48AEFD8A-BC4A-420C-86C8-77DBBB83B90A}</b:Guid>
    <b:Author>
      <b:Author>
        <b:NameList>
          <b:Person>
            <b:Last>Smith</b:Last>
            <b:First>L.</b:First>
            <b:Middle>P.</b:Middle>
          </b:Person>
          <b:Person>
            <b:Last> Ng</b:Last>
            <b:First>S. W.</b:First>
          </b:Person>
          <b:Person>
            <b:Last>Popkin</b:Last>
            <b:First>B. M.</b:First>
          </b:Person>
        </b:NameList>
      </b:Author>
    </b:Author>
    <b:Title>Trends in US home food preparation and consumption: analysis of national nutrition surveys and time use studies from 1965-1966 to 2007-2008</b:Title>
    <b:JournalName>Nutrition Journal</b:JournalName>
    <b:Year>2017</b:Year>
    <b:Pages>16(1), 1-16.</b:Pages>
    <b:RefOrder>54</b:RefOrder>
  </b:Source>
  <b:Source>
    <b:Tag>Pen21</b:Tag>
    <b:SourceType>JournalArticle</b:SourceType>
    <b:Guid>{2E569A8C-5C20-4838-B1DF-B6E4C1C88AEE}</b:Guid>
    <b:Author>
      <b:Author>
        <b:NameList>
          <b:Person>
            <b:Last>Penne</b:Last>
            <b:First>T.</b:First>
          </b:Person>
          <b:Person>
            <b:Last>Goedemé</b:Last>
            <b:First>T.</b:First>
          </b:Person>
        </b:NameList>
      </b:Author>
    </b:Author>
    <b:Title>Can low-income households afford a healthy diet? Insufficient income as a driver of food insecurity in Europe</b:Title>
    <b:JournalName>Food Policy</b:JournalName>
    <b:Year>2021</b:Year>
    <b:Pages>99</b:Pages>
    <b:RefOrder>55</b:RefOrder>
  </b:Source>
  <b:Source>
    <b:Tag>Fit19</b:Tag>
    <b:SourceType>JournalArticle</b:SourceType>
    <b:Guid>{8428703E-2A97-4F54-9B66-DF30BF502B00}</b:Guid>
    <b:Author>
      <b:Author>
        <b:NameList>
          <b:Person>
            <b:Last>Fitzpatrick</b:Last>
            <b:First>K.</b:First>
          </b:Person>
          <b:Person>
            <b:Last>Greenhalgh-Stanley</b:Last>
            <b:First>N.</b:First>
          </b:Person>
          <b:Person>
            <b:Last> Ver Ploeg</b:Last>
            <b:First>M.</b:First>
          </b:Person>
        </b:NameList>
      </b:Author>
    </b:Author>
    <b:Title>Food deserts and diet-related health outcomes of the elderly.</b:Title>
    <b:JournalName>Food Policy</b:JournalName>
    <b:Year>2019</b:Year>
    <b:Pages>87</b:Pages>
    <b:RefOrder>56</b:RefOrder>
  </b:Source>
  <b:Source>
    <b:Tag>And21</b:Tag>
    <b:SourceType>JournalArticle</b:SourceType>
    <b:Guid>{C980E178-B447-4948-8304-C2280D22F530}</b:Guid>
    <b:Author>
      <b:Author>
        <b:NameList>
          <b:Person>
            <b:Last>Anderson</b:Last>
            <b:First>E.</b:First>
          </b:Person>
          <b:Person>
            <b:Last>Wei</b:Last>
            <b:First>R.</b:First>
          </b:Person>
          <b:Person>
            <b:Last>Liu</b:Last>
            <b:First>B.</b:First>
          </b:Person>
          <b:Person>
            <b:Last>Plummer</b:Last>
            <b:First>R.</b:First>
          </b:Person>
          <b:Person>
            <b:Last>Kelahan</b:Last>
            <b:First>H.</b:First>
          </b:Person>
          <b:Person>
            <b:Last>Tamez</b:Last>
            <b:First>M.</b:First>
          </b:Person>
          <b:Person>
            <b:Last>Mattei</b:Last>
            <b:First>J.</b:First>
          </b:Person>
        </b:NameList>
      </b:Author>
    </b:Author>
    <b:Title>Improving healthy food choices in low-income settings in the United States using behavioral economic-based adaptations to choice architecture</b:Title>
    <b:JournalName>Frontiers in Nutrition</b:JournalName>
    <b:Year>2021</b:Year>
    <b:Pages>8</b:Pages>
    <b:RefOrder>57</b:RefOrder>
  </b:Source>
  <b:Source>
    <b:Tag>Spe23</b:Tag>
    <b:SourceType>JournalArticle</b:SourceType>
    <b:Guid>{99FE0BBE-9755-4D3A-AB09-CC9F4B3EDC2E}</b:Guid>
    <b:Author>
      <b:Author>
        <b:NameList>
          <b:Person>
            <b:Last>Speich</b:Last>
            <b:First>C.</b:First>
          </b:Person>
          <b:Person>
            <b:Last>Barth-Jaeggi</b:Last>
            <b:First>T.</b:First>
          </b:Person>
          <b:Person>
            <b:Last> Musard</b:Last>
            <b:First>C.</b:First>
          </b:Person>
          <b:Person>
            <b:Last>Havugimana</b:Last>
            <b:First>C.</b:First>
          </b:Person>
          <b:Person>
            <b:Last>Gakuba</b:Last>
            <b:First>E.</b:First>
          </b:Person>
          <b:Person>
            <b:Last>Prytherch</b:Last>
            <b:First>H.</b:First>
          </b:Person>
        </b:NameList>
      </b:Author>
    </b:Author>
    <b:Title>Nutrition in City Ecosystems (NICE): Protocol of a multi-sectoral development project to improve food and nutrition security of secondary city populations in Bangladesh, Kenya and Rwanda</b:Title>
    <b:Year>2023</b:Year>
    <b:JournalName>Frontiers in Public Health</b:JournalName>
    <b:Pages>11, 211.</b:Pages>
    <b:RefOrder>58</b:RefOrder>
  </b:Source>
  <b:Source>
    <b:Tag>Die20</b:Tag>
    <b:SourceType>JournalArticle</b:SourceType>
    <b:Guid>{58519FC0-8F98-45E0-A457-37E0FE7499AD}</b:Guid>
    <b:Author>
      <b:Author>
        <b:NameList>
          <b:Person>
            <b:Last>Diekmann</b:Last>
            <b:First>L.</b:First>
            <b:Middle>O.</b:Middle>
          </b:Person>
          <b:Person>
            <b:Last>Gray</b:Last>
            <b:First>L. C.</b:First>
          </b:Person>
          <b:Person>
            <b:Last>Thai</b:Last>
            <b:First>C. L.</b:First>
          </b:Person>
        </b:NameList>
      </b:Author>
    </b:Author>
    <b:Title>More than food: The social benefits of localized urban food systems</b:Title>
    <b:JournalName>Frontiers in Sustainable Food Systems,</b:JournalName>
    <b:Year>2020</b:Year>
    <b:Pages>4</b:Pages>
    <b:RefOrder>59</b:RefOrder>
  </b:Source>
  <b:Source>
    <b:Tag>Des17</b:Tag>
    <b:SourceType>Book</b:SourceType>
    <b:Guid>{2F734349-3AE8-4676-814D-21B2C58F8EE5}</b:Guid>
    <b:Title>Food sovereignty and the challenge of democracy: A public policy perspective</b:Title>
    <b:Year>2017</b:Year>
    <b:Author>
      <b:Author>
        <b:NameList>
          <b:Person>
            <b:Last>Desmarais</b:Last>
            <b:First>A.</b:First>
            <b:Middle>A.</b:Middle>
          </b:Person>
        </b:NameList>
      </b:Author>
    </b:Author>
    <b:Publisher>Routledge</b:Publisher>
    <b:RefOrder>60</b:RefOrder>
  </b:Source>
  <b:Source>
    <b:Tag>Ing20</b:Tag>
    <b:SourceType>JournalArticle</b:SourceType>
    <b:Guid>{0FC1B27E-2198-462D-8379-54EA806B6FD9}</b:Guid>
    <b:Title>Nutrition security is more than food security.</b:Title>
    <b:Year>2020</b:Year>
    <b:Author>
      <b:Author>
        <b:NameList>
          <b:Person>
            <b:Last>Ingram</b:Last>
            <b:First>J.</b:First>
          </b:Person>
        </b:NameList>
      </b:Author>
    </b:Author>
    <b:JournalName>Nature food</b:JournalName>
    <b:Pages>1(1), 2-2.</b:Pages>
    <b:RefOrder>61</b:RefOrder>
  </b:Source>
  <b:Source>
    <b:Tag>Poi23</b:Tag>
    <b:SourceType>JournalArticle</b:SourceType>
    <b:Guid>{0E01FAC1-A243-4A83-A7D8-B0011D2652D7}</b:Guid>
    <b:Author>
      <b:Author>
        <b:NameList>
          <b:Person>
            <b:Last>Poirier</b:Last>
            <b:First>B.</b:First>
          </b:Person>
          <b:Person>
            <b:Last>Neufeld</b:Last>
            <b:First>H. T.</b:First>
          </b:Person>
        </b:NameList>
      </b:Author>
    </b:Author>
    <b:Title>We Need to Live off the Land”: An Exploration and Conceptualization of Community-Based Indigenous Food Sovereignty Experiences and Practices</b:Title>
    <b:JournalName>International Journal of Environmental Research and Public Health</b:JournalName>
    <b:Year>2023</b:Year>
    <b:Pages>20(5), 4627</b:Pages>
    <b:RefOrder>62</b:RefOrder>
  </b:Source>
  <b:Source xmlns:b="http://schemas.openxmlformats.org/officeDocument/2006/bibliography">
    <b:Tag>Cla21</b:Tag>
    <b:SourceType>JournalArticle</b:SourceType>
    <b:Guid>{1F4CFA64-5E70-4744-947D-51EEEB6B115D}</b:Guid>
    <b:Author>
      <b:Author>
        <b:NameList>
          <b:Person>
            <b:Last>Clapp</b:Last>
            <b:First>J.</b:First>
          </b:Person>
        </b:NameList>
      </b:Author>
    </b:Author>
    <b:JournalName>Nature Food</b:JournalName>
    <b:Year>2021</b:Year>
    <b:Pages>2(6), 404-408.</b:Pages>
    <b:RefOrder>63</b:RefOrder>
  </b:Source>
  <b:Source>
    <b:Tag>Adu21</b:Tag>
    <b:SourceType>JournalArticle</b:SourceType>
    <b:Guid>{34FE0D37-D40F-446D-9ABB-A1352DB9B3C3}</b:Guid>
    <b:Author>
      <b:Author>
        <b:NameList>
          <b:Person>
            <b:Last>Adu-Baffour</b:Last>
            <b:First>F.</b:First>
          </b:Person>
          <b:Person>
            <b:Last>Daum</b:Last>
            <b:First>T.</b:First>
          </b:Person>
          <b:Person>
            <b:Last>Birner</b:Last>
            <b:First>R.</b:First>
          </b:Person>
        </b:NameList>
      </b:Author>
    </b:Author>
    <b:Title>Governance challenges of small-scale gold mining in Ghana: Insights from a process net-map study</b:Title>
    <b:JournalName>Land Use Policy</b:JournalName>
    <b:Year>2021</b:Year>
    <b:Pages>102</b:Pages>
    <b:RefOrder>64</b:RefOrder>
  </b:Source>
  <b:Source>
    <b:Tag>Pan21</b:Tag>
    <b:SourceType>JournalArticle</b:SourceType>
    <b:Guid>{C684B512-4987-4FB6-85F1-5790514EEF6A}</b:Guid>
    <b:Author>
      <b:Author>
        <b:NameList>
          <b:Person>
            <b:Last>Panchasara</b:Last>
            <b:First>H.</b:First>
          </b:Person>
          <b:Person>
            <b:Last>Samrat</b:Last>
            <b:First>N. H.</b:First>
          </b:Person>
          <b:Person>
            <b:Last>Islam</b:Last>
            <b:First>N.</b:First>
          </b:Person>
        </b:NameList>
      </b:Author>
    </b:Author>
    <b:Title>Greenhouse gas emissions trends and mitigation measures in australian agriculture sector—a review</b:Title>
    <b:JournalName>Agriculture</b:JournalName>
    <b:Year>2021</b:Year>
    <b:Pages>11(2), 85.</b:Pages>
    <b:RefOrder>65</b:RefOrder>
  </b:Source>
  <b:Source>
    <b:Tag>Ago23</b:Tag>
    <b:SourceType>JournalArticle</b:SourceType>
    <b:Guid>{E1A3F7AC-B17C-4764-9D88-1E442FFBB5AB}</b:Guid>
    <b:Author>
      <b:Author>
        <b:NameList>
          <b:Person>
            <b:Last>Agostoni</b:Last>
            <b:First>C.</b:First>
          </b:Person>
          <b:Person>
            <b:Last>Baglioni</b:Last>
            <b:First>M.</b:First>
          </b:Person>
          <b:Person>
            <b:Last>La Vecchia</b:Last>
            <b:First>A.</b:First>
          </b:Person>
          <b:Person>
            <b:Last>Molari</b:Last>
            <b:First>G.</b:First>
          </b:Person>
          <b:Person>
            <b:Last>Berti</b:Last>
            <b:First>C.</b:First>
          </b:Person>
        </b:NameList>
      </b:Author>
    </b:Author>
    <b:Title>Interlinkages between Climate Change and Food Systems: The Impact on Child Malnutrition-Narrative Review</b:Title>
    <b:JournalName>Nutrients</b:JournalName>
    <b:Year>2023</b:Year>
    <b:Pages>15(2), 416</b:Pages>
    <b:RefOrder>66</b:RefOrder>
  </b:Source>
  <b:Source>
    <b:Tag>Nis22</b:Tag>
    <b:SourceType>JournalArticle</b:SourceType>
    <b:Guid>{B0FA34DA-51CC-4296-86A3-73AA78947268}</b:Guid>
    <b:Author>
      <b:Author>
        <b:NameList>
          <b:Person>
            <b:Last>Nisbett</b:Last>
            <b:First>N.</b:First>
          </b:Person>
          <b:Person>
            <b:Last>Harris</b:Last>
            <b:First>J.</b:First>
          </b:Person>
          <b:Person>
            <b:Last>Backholer</b:Last>
            <b:First>K.</b:First>
          </b:Person>
          <b:Person>
            <b:Last>Baker</b:Last>
            <b:First>P.</b:First>
          </b:Person>
          <b:Person>
            <b:Last>Jernigan</b:Last>
            <b:First>V. B. B.</b:First>
          </b:Person>
          <b:Person>
            <b:Last>Friel</b:Last>
            <b:First>S.</b:First>
          </b:Person>
        </b:NameList>
      </b:Author>
    </b:Author>
    <b:Title>Holding no-one back: the nutrition equity framework in theory and practice</b:Title>
    <b:JournalName>Global Food Security </b:JournalName>
    <b:Year>2022</b:Year>
    <b:Pages>32</b:Pages>
    <b:RefOrder>67</b:RefOrder>
  </b:Source>
  <b:Source>
    <b:Tag>Sco20</b:Tag>
    <b:SourceType>JournalArticle</b:SourceType>
    <b:Guid>{2DB26C0E-21C1-4831-8C32-4F3755FAE474}</b:Guid>
    <b:Author>
      <b:Author>
        <b:NameList>
          <b:Person>
            <b:Last>Scoones</b:Last>
            <b:First>I.</b:First>
          </b:Person>
          <b:Person>
            <b:Last>Stirling</b:Last>
            <b:First>A.</b:First>
          </b:Person>
          <b:Person>
            <b:Last>Abrol</b:Last>
            <b:First>D.</b:First>
          </b:Person>
          <b:Person>
            <b:Last>Atela</b:Last>
            <b:First>J.</b:First>
          </b:Person>
          <b:Person>
            <b:Last>Charli-Joseph</b:Last>
            <b:First>L.</b:First>
          </b:Person>
          <b:Person>
            <b:Last>Eakin</b:Last>
            <b:First>H.</b:First>
          </b:Person>
          <b:Person>
            <b:Last>Yang</b:Last>
            <b:First>L.</b:First>
          </b:Person>
        </b:NameList>
      </b:Author>
    </b:Author>
    <b:Title>Transformations to sustainability: combining structural, systemic and enabling approaches</b:Title>
    <b:JournalName>Current Opinion in Environmental Sustainability</b:JournalName>
    <b:Year>2020</b:Year>
    <b:Pages>42, 65-75</b:Pages>
    <b:RefOrder>68</b:RefOrder>
  </b:Source>
  <b:Source>
    <b:Tag>Bel20</b:Tag>
    <b:SourceType>JournalArticle</b:SourceType>
    <b:Guid>{980B9BEC-A4DE-4D50-8EB2-838929EB4673}</b:Guid>
    <b:Author>
      <b:Author>
        <b:NameList>
          <b:Person>
            <b:Last>Belton</b:Last>
            <b:First>B.</b:First>
          </b:Person>
          <b:Person>
            <b:Last>Johnson</b:Last>
            <b:First>D. S.</b:First>
          </b:Person>
          <b:Person>
            <b:Last>Thrift</b:Last>
            <b:First>E.</b:First>
          </b:Person>
          <b:Person>
            <b:Last>Olsen</b:Last>
            <b:First>J.</b:First>
          </b:Person>
          <b:Person>
            <b:Last>Hossain</b:Last>
            <b:First>M. A. R.</b:First>
          </b:Person>
          <b:Person>
            <b:Last>Thilsted</b:Last>
            <b:First>S. H.</b:First>
          </b:Person>
        </b:NameList>
      </b:Author>
    </b:Author>
    <b:Title>Dried fish at the intersection of food science, economy, and culture: A global survey</b:Title>
    <b:JournalName>Fish and Fisheries</b:JournalName>
    <b:Year>2022</b:Year>
    <b:Pages>23(4), 941-962.</b:Pages>
    <b:RefOrder>69</b:RefOrder>
  </b:Source>
  <b:Source>
    <b:Tag>Sin22</b:Tag>
    <b:SourceType>JournalArticle</b:SourceType>
    <b:Guid>{B03EA79A-A4D2-4D90-9331-0BAA3C62F189}</b:Guid>
    <b:Author>
      <b:Author>
        <b:NameList>
          <b:Person>
            <b:Last>Sinclair</b:Last>
            <b:First>K.</b:First>
          </b:Person>
          <b:Person>
            <b:Last>Thompson-Colón</b:Last>
            <b:First>T.</b:First>
          </b:Person>
          <b:Person>
            <b:Last>Bastidas-Granja</b:Last>
            <b:First>A. M.</b:First>
          </b:Person>
          <b:Person>
            <b:Last>Matamoros</b:Last>
            <b:First>S. E. D. C.</b:First>
          </b:Person>
          <b:Person>
            <b:Last>Olaya</b:Last>
            <b:First>E.</b:First>
          </b:Person>
          <b:Person>
            <b:Last>Melgar-Quiñonez</b:Last>
            <b:First>H.</b:First>
          </b:Person>
        </b:NameList>
      </b:Author>
    </b:Author>
    <b:Title>Women's autonomy and food security: connecting the dots from the perspective of Indigenous women in rural Colombia</b:Title>
    <b:Year>2022</b:Year>
    <b:JournalName>SSM-Qualitative Research in Health</b:JournalName>
    <b:Pages>2</b:Pages>
    <b:RefOrder>70</b:RefOrder>
  </b:Source>
  <b:Source>
    <b:Tag>Gar13</b:Tag>
    <b:SourceType>JournalArticle</b:SourceType>
    <b:Guid>{926B2063-D804-4DD5-AFA2-23C0048B6EA5}</b:Guid>
    <b:Author>
      <b:Author>
        <b:NameList>
          <b:Person>
            <b:Last>Garnett</b:Last>
            <b:First>T.</b:First>
          </b:Person>
          <b:Person>
            <b:Last>Appleby</b:Last>
            <b:First>M. C.</b:First>
          </b:Person>
          <b:Person>
            <b:Last>Balmford</b:Last>
            <b:First>A.</b:First>
          </b:Person>
          <b:Person>
            <b:Last>Bateman</b:Last>
            <b:First>I. J.</b:First>
          </b:Person>
          <b:Person>
            <b:Last>Benton</b:Last>
            <b:First>T.G</b:First>
          </b:Person>
          <b:Person>
            <b:Last>Bloomer</b:Last>
            <b:First>P.</b:First>
          </b:Person>
          <b:Person>
            <b:Last>Godfray</b:Last>
            <b:First>H. C. J.</b:First>
          </b:Person>
        </b:NameList>
      </b:Author>
    </b:Author>
    <b:Title>Sustainable intensification in agriculture: premises and policies</b:Title>
    <b:JournalName>Science</b:JournalName>
    <b:Year>2013</b:Year>
    <b:Pages>341(6141), 33-34.</b:Pages>
    <b:RefOrder>71</b:RefOrder>
  </b:Source>
  <b:Source>
    <b:Tag>Fil19</b:Tag>
    <b:SourceType>JournalArticle</b:SourceType>
    <b:Guid>{0F8A8870-D096-41E9-828F-C7803465B4D5}</b:Guid>
    <b:Author>
      <b:Author>
        <b:NameList>
          <b:Person>
            <b:Last>Filippini</b:Last>
            <b:First>R.,</b:First>
          </b:Person>
          <b:Person>
            <b:Last>Mazzocchi</b:Last>
            <b:First>C.</b:First>
          </b:Person>
          <b:Person>
            <b:Last>Corsi</b:Last>
            <b:First>S</b:First>
          </b:Person>
        </b:NameList>
      </b:Author>
    </b:Author>
    <b:Title>The contribution of Urban Food Policies toward food security in developing and developed countries: A network analysis approach</b:Title>
    <b:JournalName>Sustainable Cities and Society</b:JournalName>
    <b:Year>2019</b:Year>
    <b:Pages>47</b:Pages>
    <b:RefOrder>72</b:RefOrder>
  </b:Source>
  <b:Source>
    <b:Tag>Bal</b:Tag>
    <b:SourceType>JournalArticle</b:SourceType>
    <b:Guid>{C7E61E61-3E07-4A9A-A193-B7D119737E34}</b:Guid>
    <b:Author>
      <b:Author>
        <b:NameList>
          <b:Person>
            <b:Last>Balehegn</b:Last>
            <b:First>M.</b:First>
          </b:Person>
          <b:Person>
            <b:Last>Duncan</b:Last>
            <b:First>A.</b:First>
          </b:Person>
          <b:Person>
            <b:Last>Tolera</b:Last>
            <b:First>A.</b:First>
          </b:Person>
          <b:Person>
            <b:Last>Ayantunde</b:Last>
            <b:First>A. A. </b:First>
          </b:Person>
          <b:Person>
            <b:Last> Issa</b:Last>
            <b:First>S.</b:First>
          </b:Person>
          <b:Person>
            <b:Last>Karimou</b:Last>
            <b:First>M.</b:First>
          </b:Person>
          <b:Person>
            <b:Last> Adesogan</b:Last>
            <b:First>A. T.</b:First>
          </b:Person>
        </b:NameList>
      </b:Author>
    </b:Author>
    <b:Title>Improving adoption of technologies and interventions for increasing supply of quality livestock feed in low-and middle-income countries</b:Title>
    <b:JournalName>Global food security</b:JournalName>
    <b:Year>2020</b:Year>
    <b:Pages>26</b:Pages>
    <b:RefOrder>73</b:RefOrder>
  </b:Source>
  <b:Source>
    <b:Tag>Sav22</b:Tag>
    <b:SourceType>JournalArticle</b:SourceType>
    <b:Guid>{0FBDB66C-3215-468B-A015-BBE715F33976}</b:Guid>
    <b:Author>
      <b:Author>
        <b:NameList>
          <b:Person>
            <b:Last>Savari</b:Last>
            <b:First>M.</b:First>
          </b:Person>
          <b:Person>
            <b:Last>Amghani</b:Last>
            <b:First>M. S.</b:First>
          </b:Person>
        </b:NameList>
      </b:Author>
    </b:Author>
    <b:Title>SWOT-FAHP-TOWS analysis for adaptation strategies development among small-scale farmers in drought conditions</b:Title>
    <b:JournalName>International Journal of Disaster Risk Reduction</b:JournalName>
    <b:Year>2022</b:Year>
    <b:Pages>67</b:Pages>
    <b:RefOrder>74</b:RefOrder>
  </b:Source>
  <b:Source>
    <b:Tag>Spa22</b:Tag>
    <b:SourceType>JournalArticle</b:SourceType>
    <b:Guid>{203BD23B-84A8-4BF7-8E9C-73C39253C877}</b:Guid>
    <b:Author>
      <b:Author>
        <b:NameList>
          <b:Person>
            <b:Last>Spanaki</b:Last>
            <b:First>K.</b:First>
          </b:Person>
          <b:Person>
            <b:Last>Karafili</b:Last>
            <b:First>E.</b:First>
          </b:Person>
          <b:Person>
            <b:Last>Sivarajah</b:Last>
            <b:First>U.</b:First>
          </b:Person>
          <b:Person>
            <b:Last>Despoudi</b:Last>
            <b:First>S.</b:First>
          </b:Person>
          <b:Person>
            <b:Last>Irani</b:Last>
            <b:First>Z.</b:First>
          </b:Person>
        </b:NameList>
      </b:Author>
    </b:Author>
    <b:Title>Artificial intelligence and food security: swarm intelligence of AgriTech drones for smart AgriFood operations</b:Title>
    <b:JournalName>Production Planning &amp; Control</b:JournalName>
    <b:Year>2022</b:Year>
    <b:Pages>33(16), 1498-1516.</b:Pages>
    <b:RefOrder>75</b:RefOrder>
  </b:Source>
  <b:Source>
    <b:Tag>Zha22</b:Tag>
    <b:SourceType>JournalArticle</b:SourceType>
    <b:Guid>{BEEFF321-44A0-40AC-9797-7254429A6A89}</b:Guid>
    <b:Author>
      <b:Author>
        <b:NameList>
          <b:Person>
            <b:Last>Zhang</b:Last>
            <b:First>Q.</b:First>
          </b:Person>
          <b:Person>
            <b:Last>Dhir</b:Last>
            <b:First>A.</b:First>
          </b:Person>
          <b:Person>
            <b:Last>Kaur</b:Last>
            <b:First>P.</b:First>
          </b:Person>
        </b:NameList>
      </b:Author>
    </b:Author>
    <b:Title>Circular economy and the food sector: A systematic literature review</b:Title>
    <b:JournalName>Sustainable Production and Consumption</b:JournalName>
    <b:Year>2022</b:Year>
    <b:Pages>32, 655-668</b:Pages>
    <b:RefOrder>76</b:RefOrder>
  </b:Source>
  <b:Source>
    <b:Tag>Nam20</b:Tag>
    <b:SourceType>JournalArticle</b:SourceType>
    <b:Guid>{8B1F8761-8915-400A-BA9B-6D69EB12C2A5}</b:Guid>
    <b:Author>
      <b:Author>
        <b:NameList>
          <b:Person>
            <b:Last>Namany</b:Last>
            <b:First>S.</b:First>
          </b:Person>
          <b:Person>
            <b:Last>Govindan</b:Last>
            <b:First>R.</b:First>
          </b:Person>
          <b:Person>
            <b:Last>Alfagih</b:Last>
            <b:First>L.</b:First>
          </b:Person>
          <b:Person>
            <b:Last>McKay</b:Last>
            <b:First>G.</b:First>
          </b:Person>
          <b:Person>
            <b:Last>Al-Ansari</b:Last>
            <b:First>T.</b:First>
          </b:Person>
        </b:NameList>
      </b:Author>
    </b:Author>
    <b:Title>Sustainable food security decision-making: an agent-based modelling approach</b:Title>
    <b:JournalName>Journal of Cleaner Production</b:JournalName>
    <b:Year>2020</b:Year>
    <b:Pages>255</b:Pages>
    <b:RefOrder>77</b:RefOrder>
  </b:Source>
  <b:Source>
    <b:Tag>Asi17</b:Tag>
    <b:SourceType>JournalArticle</b:SourceType>
    <b:Guid>{1F2F05C7-AD81-4FA3-9330-60A85045C8E9}</b:Guid>
    <b:Author>
      <b:Author>
        <b:NameList>
          <b:Person>
            <b:Last>Asiedu</b:Last>
            <b:First>B.</b:First>
          </b:Person>
          <b:Person>
            <b:Last> Adetola</b:Last>
            <b:First>J. O.</b:First>
          </b:Person>
          <b:Person>
            <b:Last>Odame Kissi</b:Last>
            <b:First>I.</b:First>
          </b:Person>
        </b:NameList>
      </b:Author>
    </b:Author>
    <b:Title>Aquaculture in troubled climate: Farmers’ perception of climate change and their adaptation</b:Title>
    <b:JournalName>Cogent Food and Agriculture</b:JournalName>
    <b:Year>2017</b:Year>
    <b:Pages>3(1)</b:Pages>
    <b:RefOrder>78</b:RefOrder>
  </b:Source>
  <b:Source>
    <b:Tag>Ode13</b:Tag>
    <b:SourceType>JournalArticle</b:SourceType>
    <b:Guid>{C2530C1D-C51B-4C91-846D-95B0B5FE3937}</b:Guid>
    <b:Author>
      <b:Author>
        <b:NameList>
          <b:Person>
            <b:Last>Odeku</b:Last>
            <b:First>K.</b:First>
            <b:Middle>O.</b:Middle>
          </b:Person>
        </b:NameList>
      </b:Author>
    </b:Author>
    <b:Title>Global climate change, threat to food safety and poverty</b:Title>
    <b:JournalName>Mediterranean Journal of Social Sciences</b:JournalName>
    <b:Year>2013</b:Year>
    <b:Pages>4(14), 827–834</b:Pages>
    <b:RefOrder>79</b:RefOrder>
  </b:Source>
  <b:Source>
    <b:Tag>Mát21</b:Tag>
    <b:SourceType>JournalArticle</b:SourceType>
    <b:Guid>{13D6D53E-BC5B-4A4D-A913-50F2A43AD6D0}</b:Guid>
    <b:Author>
      <b:Author>
        <b:NameList>
          <b:Person>
            <b:Last>Máté</b:Last>
            <b:First>D.</b:First>
          </b:Person>
          <b:Person>
            <b:Last>Novotny</b:Last>
            <b:First>A.</b:First>
          </b:Person>
          <b:Person>
            <b:Last>Meyer</b:Last>
            <b:First>D. F.</b:First>
          </b:Person>
        </b:NameList>
      </b:Author>
    </b:Author>
    <b:Title>The impact of sustainability goals on productivity growth: The moderating role of global warming</b:Title>
    <b:JournalName>International Journal of Environmental Research and Public Health</b:JournalName>
    <b:Year>2021</b:Year>
    <b:Pages>18(21)</b:Pages>
    <b:RefOrder>80</b:RefOrder>
  </b:Source>
  <b:Source>
    <b:Tag>Dja20</b:Tag>
    <b:SourceType>Book</b:SourceType>
    <b:Guid>{01CC378A-B7C3-4274-93A5-7E606859DF89}</b:Guid>
    <b:Author>
      <b:Author>
        <b:NameList>
          <b:Person>
            <b:Last>Djankov</b:Last>
            <b:First>S.</b:First>
          </b:Person>
          <b:Person>
            <b:Last>Panizza</b:Last>
            <b:First>U.</b:First>
          </b:Person>
        </b:NameList>
      </b:Author>
    </b:Author>
    <b:Title>COVID-19 in developing economies</b:Title>
    <b:Year>2020</b:Year>
    <b:City>Örebro</b:City>
    <b:Publisher>EconPapers</b:Publisher>
    <b:RefOrder>81</b:RefOrder>
  </b:Source>
  <b:Source>
    <b:Tag>Wud22</b:Tag>
    <b:SourceType>JournalArticle</b:SourceType>
    <b:Guid>{1A3825D6-E7F9-4FE2-AD46-50FC2BD7499F}</b:Guid>
    <b:Title>Reversing Years for Global Food Security: A Review of the Food Security Situation in Sub-Saharan Africa (SSA)</b:Title>
    <b:Year>2022</b:Year>
    <b:Author>
      <b:Author>
        <b:NameList>
          <b:Person>
            <b:Last>Wudil</b:Last>
            <b:First>A.H.</b:First>
          </b:Person>
          <b:Person>
            <b:Last>Usman</b:Last>
            <b:First>M.</b:First>
          </b:Person>
          <b:Person>
            <b:Last>Rosak-Szyrocka</b:Last>
            <b:First>J.</b:First>
          </b:Person>
          <b:Person>
            <b:Last>Pilař</b:Last>
            <b:First>L.</b:First>
          </b:Person>
          <b:Person>
            <b:Last>Boye</b:Last>
            <b:First>M.</b:First>
          </b:Person>
        </b:NameList>
      </b:Author>
    </b:Author>
    <b:JournalName>International Journal of Environmental Research and Public Health</b:JournalName>
    <b:Pages>19(22)</b:Pages>
    <b:RefOrder>82</b:RefOrder>
  </b:Source>
  <b:Source>
    <b:Tag>Bin15</b:Tag>
    <b:SourceType>JournalArticle</b:SourceType>
    <b:Guid>{2EFB096A-65D9-4A9E-BAF5-23102FFC35E4}</b:Guid>
    <b:Author>
      <b:Author>
        <b:NameList>
          <b:Person>
            <b:Last>Bindi</b:Last>
            <b:First>M.</b:First>
          </b:Person>
          <b:Person>
            <b:Last> Palosuo</b:Last>
            <b:First>T.</b:First>
          </b:Person>
          <b:Person>
            <b:Last> Trnka</b:Last>
            <b:First>M.</b:First>
          </b:Person>
          <b:Person>
            <b:Last>Semenov</b:Last>
            <b:First>M.</b:First>
          </b:Person>
        </b:NameList>
      </b:Author>
    </b:Author>
    <b:Title>Modelling climate change impacts on crop production for food security</b:Title>
    <b:JournalName>Climate Research</b:JournalName>
    <b:Year>2015</b:Year>
    <b:Pages>65, 3–5</b:Pages>
    <b:RefOrder>83</b:RefOrder>
  </b:Source>
  <b:Source>
    <b:Tag>Nun18</b:Tag>
    <b:SourceType>JournalArticle</b:SourceType>
    <b:Guid>{CD81BB87-A3A0-4E80-8703-F4427B438A9D}</b:Guid>
    <b:Author>
      <b:Author>
        <b:NameList>
          <b:Person>
            <b:Last>Nunn</b:Last>
            <b:First>P.</b:First>
          </b:Person>
          <b:Person>
            <b:Last>Kumar</b:Last>
            <b:First>R.</b:First>
          </b:Person>
        </b:NameList>
      </b:Author>
    </b:Author>
    <b:Title>Understanding climate-human interactions in Small Island Developing States (SIDS): Implications for future livelihood sustainability</b:Title>
    <b:JournalName>International Journal of Climate Change Strategies and Management</b:JournalName>
    <b:Year>2018</b:Year>
    <b:Pages>10(2), 245–271</b:Pages>
    <b:RefOrder>84</b:RefOrder>
  </b:Source>
  <b:Source>
    <b:Tag>Sch14</b:Tag>
    <b:SourceType>JournalArticle</b:SourceType>
    <b:Guid>{D17789E4-AE48-4E82-896A-CA9B7B45AB75}</b:Guid>
    <b:Author>
      <b:Author>
        <b:NameList>
          <b:Person>
            <b:Last>Scholtz</b:Last>
            <b:First>M.</b:First>
            <b:Middle>M.</b:Middle>
          </b:Person>
          <b:Person>
            <b:Last>Schönfeldt</b:Last>
            <b:First>H. C.</b:First>
          </b:Person>
          <b:Person>
            <b:Last>Neser</b:Last>
            <b:First>F. W. C.</b:First>
          </b:Person>
          <b:Person>
            <b:Last>Schutte</b:Last>
            <b:First>G.</b:First>
          </b:Person>
        </b:NameList>
      </b:Author>
    </b:Author>
    <b:Title>Research and development on climate change and greenhouse gases in support of climate-smart livestock production and a vibrant industry</b:Title>
    <b:JournalName>South African Journal of Animal Sciences</b:JournalName>
    <b:Year>2014</b:Year>
    <b:Pages>44(5), 1–7</b:Pages>
    <b:RefOrder>85</b:RefOrder>
  </b:Source>
  <b:Source>
    <b:Tag>Wan22</b:Tag>
    <b:SourceType>JournalArticle</b:SourceType>
    <b:Guid>{C32CE56C-860C-4158-9C07-D2162A5A358E}</b:Guid>
    <b:Author>
      <b:Author>
        <b:NameList>
          <b:Person>
            <b:Last>Wang</b:Last>
            <b:First>H.,</b:First>
            <b:Middle>Liu, H.</b:Middle>
          </b:Person>
          <b:Person>
            <b:Last>Wang</b:Last>
            <b:First>D.</b:First>
          </b:Person>
        </b:NameList>
      </b:Author>
    </b:Author>
    <b:Title>Agricultural Insurance, Climate Change, and Food Security: Evidence from Chinese Farmers.</b:Title>
    <b:JournalName>Sustainability (Switzerland)</b:JournalName>
    <b:Year>2022</b:Year>
    <b:Pages>14(15)</b:Pages>
    <b:RefOrder>86</b:RefOrder>
  </b:Source>
  <b:Source>
    <b:Tag>Hei21</b:Tag>
    <b:SourceType>JournalArticle</b:SourceType>
    <b:Guid>{F74FB920-4D68-4821-9DEE-DFDDF4E499A0}</b:Guid>
    <b:Author>
      <b:Author>
        <b:NameList>
          <b:Person>
            <b:Last>Heidkamp</b:Last>
            <b:First>R.</b:First>
            <b:Middle>A.</b:Middle>
          </b:Person>
          <b:Person>
            <b:Last>Piwoz</b:Last>
            <b:First>E.</b:First>
          </b:Person>
          <b:Person>
            <b:Last>Gillespie</b:Last>
            <b:First>S.</b:First>
          </b:Person>
          <b:Person>
            <b:Last>Keats</b:Last>
            <b:First>E. C.</b:First>
          </b:Person>
          <b:Person>
            <b:Last>D'Alimonte</b:Last>
            <b:First>M. R. </b:First>
          </b:Person>
          <b:Person>
            <b:Last>Menon</b:Last>
            <b:First>P.</b:First>
          </b:Person>
          <b:Person>
            <b:Last>Bhutta</b:Last>
            <b:First>Z. A.</b:First>
          </b:Person>
        </b:NameList>
      </b:Author>
    </b:Author>
    <b:Title>Mobilising evidence, data, and resources to achieve global maternal and child undernutrition targets and the Sustainable Development Goals: An agenda for action</b:Title>
    <b:Year>2021</b:Year>
    <b:JournalName>The Lancet</b:JournalName>
    <b:Pages>397(10282), 1400-1418.</b:Pages>
    <b:RefOrder>87</b:RefOrder>
  </b:Source>
  <b:Source>
    <b:Tag>Cla22</b:Tag>
    <b:SourceType>JournalArticle</b:SourceType>
    <b:Guid>{5A639094-1929-41AC-941A-C1F2225EFB62}</b:Guid>
    <b:Author>
      <b:Author>
        <b:NameList>
          <b:Person>
            <b:Last>Clapp</b:Last>
            <b:First>J.</b:First>
          </b:Person>
          <b:Person>
            <b:Last>Moseley</b:Last>
            <b:First>W. G.</b:First>
          </b:Person>
          <b:Person>
            <b:Last>Burlingame</b:Last>
            <b:First>B.</b:First>
          </b:Person>
          <b:Person>
            <b:Last>Termine</b:Last>
            <b:First>P.</b:First>
          </b:Person>
        </b:NameList>
      </b:Author>
    </b:Author>
    <b:Title>The case for a six-dimensional food security framework</b:Title>
    <b:JournalName>Food Policy</b:JournalName>
    <b:Year>2022</b:Year>
    <b:Pages>106</b:Pages>
    <b:RefOrder>88</b:RefOrder>
  </b:Source>
  <b:Source>
    <b:Tag>Pér08</b:Tag>
    <b:SourceType>JournalArticle</b:SourceType>
    <b:Guid>{2ED942E4-AB59-4905-BCBF-C284E237F3FB}</b:Guid>
    <b:Author>
      <b:Author>
        <b:NameList>
          <b:Person>
            <b:Last>Pérez-Escamilla</b:Last>
            <b:First>R.</b:First>
          </b:Person>
          <b:Person>
            <b:Last>Segall-Corrêa</b:Last>
            <b:First>A. M.</b:First>
          </b:Person>
        </b:NameList>
      </b:Author>
    </b:Author>
    <b:JournalName>Revista de Nutrição</b:JournalName>
    <b:Year>2008</b:Year>
    <b:Pages>21, 15-26.</b:Pages>
    <b:RefOrder>89</b:RefOrder>
  </b:Source>
  <b:Source>
    <b:Tag>Coa13</b:Tag>
    <b:SourceType>JournalArticle</b:SourceType>
    <b:Guid>{8320FCBD-F02C-4073-9A55-9357C329C13B}</b:Guid>
    <b:Author>
      <b:Author>
        <b:NameList>
          <b:Person>
            <b:Last>Coates</b:Last>
            <b:First>J.</b:First>
          </b:Person>
        </b:NameList>
      </b:Author>
    </b:Author>
    <b:Title>Build it back better: Deconstructing food security for improved measurement and action</b:Title>
    <b:JournalName>Global Food Security, </b:JournalName>
    <b:Year>2013</b:Year>
    <b:Pages>2(3), 188-194</b:Pages>
    <b:RefOrder>90</b:RefOrder>
  </b:Source>
  <b:Source>
    <b:Tag>Pér17</b:Tag>
    <b:SourceType>JournalArticle</b:SourceType>
    <b:Guid>{F6D3F114-D8BB-489D-9343-A05F6C128F73}</b:Guid>
    <b:Author>
      <b:Author>
        <b:NameList>
          <b:Person>
            <b:Last>Pérez-Escamilla</b:Last>
            <b:First>R.</b:First>
          </b:Person>
          <b:Person>
            <b:Last>Shamah-Levy</b:Last>
            <b:First>T</b:First>
          </b:Person>
          <b:Person>
            <b:Last>Candel</b:Last>
            <b:First>J.</b:First>
          </b:Person>
        </b:NameList>
      </b:Author>
    </b:Author>
    <b:JournalName>Global Food Security</b:JournalName>
    <b:Year>2017</b:Year>
    <b:Pages>14, 68-72</b:Pages>
    <b:RefOrder>91</b:RefOrder>
  </b:Source>
  <b:Source>
    <b:Tag>Våg20</b:Tag>
    <b:SourceType>JournalArticle</b:SourceType>
    <b:Guid>{F57DFC67-A944-4D10-AA18-9AE159C44024}</b:Guid>
    <b:Author>
      <b:Author>
        <b:NameList>
          <b:Person>
            <b:Last>Vågsholm</b:Last>
            <b:First>I.</b:First>
          </b:Person>
          <b:Person>
            <b:Last>Arzoomand</b:Last>
            <b:First>N. S.</b:First>
          </b:Person>
          <b:Person>
            <b:Last>Boqvist</b:Last>
            <b:First>S.</b:First>
          </b:Person>
        </b:NameList>
      </b:Author>
    </b:Author>
    <b:Title>Food Security, Safety, and Sustainability—Getting the Trade-Offs Right</b:Title>
    <b:JournalName>Frontiers in Sustainable Food Systems</b:JournalName>
    <b:Year>2020</b:Year>
    <b:Pages>4, 16</b:Pages>
    <b:RefOrder>92</b:RefOrder>
  </b:Source>
  <b:Source>
    <b:Tag>Ben21</b:Tag>
    <b:SourceType>JournalArticle</b:SourceType>
    <b:Guid>{96FB0AE2-7A15-4296-BF3C-D3EADC9D470A}</b:Guid>
    <b:Author>
      <b:Author>
        <b:NameList>
          <b:Person>
            <b:Last>Ben Ayed</b:Last>
            <b:First>R.</b:First>
          </b:Person>
          <b:Person>
            <b:Last>Hanana</b:Last>
            <b:First>M.</b:First>
          </b:Person>
        </b:NameList>
      </b:Author>
    </b:Author>
    <b:Title>Artificial intelligence to improve the food and agriculture sector</b:Title>
    <b:JournalName>Journal of Food Quality</b:JournalName>
    <b:Year>2021</b:Year>
    <b:Pages>1-7</b:Pages>
    <b:RefOrder>93</b:RefOrder>
  </b:Source>
  <b:Source>
    <b:Tag>Sap21</b:Tag>
    <b:SourceType>JournalArticle</b:SourceType>
    <b:Guid>{013AB258-91B3-4CF3-B968-1E0CE9FB2D6D}</b:Guid>
    <b:Author>
      <b:Author>
        <b:NameList>
          <b:Person>
            <b:Last>Sapienza</b:Last>
            <b:First>S.</b:First>
          </b:Person>
          <b:Person>
            <b:Last>Vedder</b:Last>
            <b:First>A.</b:First>
          </b:Person>
        </b:NameList>
      </b:Author>
    </b:Author>
    <b:Title>Principle-based recommendations for big data and machine learning in food safety: the P-SAFETY model</b:Title>
    <b:JournalName>AI and Society</b:JournalName>
    <b:Year>2021</b:Year>
    <b:Pages>38(1), 5–20.</b:Pages>
    <b:RefOrder>94</b:RefOrder>
  </b:Source>
  <b:Source>
    <b:Tag>Mis22</b:Tag>
    <b:SourceType>JournalArticle</b:SourceType>
    <b:Guid>{37139071-5B11-4629-8BCF-F64B7500AD5A}</b:Guid>
    <b:Author>
      <b:Author>
        <b:NameList>
          <b:Person>
            <b:Last>Misra</b:Last>
            <b:First>N.</b:First>
            <b:Middle>N.</b:Middle>
          </b:Person>
          <b:Person>
            <b:Last>Dixit</b:Last>
            <b:First>Y.</b:First>
          </b:Person>
          <b:Person>
            <b:Last>Al-Mallahi</b:Last>
            <b:First>A.</b:First>
          </b:Person>
          <b:Person>
            <b:Last> Bhullar</b:Last>
            <b:First>M. S.</b:First>
          </b:Person>
          <b:Person>
            <b:Last>Upadhyay</b:Last>
            <b:First>R.</b:First>
          </b:Person>
          <b:Person>
            <b:Last>Martynenko</b:Last>
            <b:First>A.</b:First>
          </b:Person>
        </b:NameList>
      </b:Author>
    </b:Author>
    <b:Title>IoT, Big Data, and Artificial Intelligence in Agriculture and Food Industry</b:Title>
    <b:JournalName>IEEE Internet of Things Journal</b:JournalName>
    <b:Year>2022 </b:Year>
    <b:Pages>9(9), 6305–6324.</b:Pages>
    <b:RefOrder>95</b:RefOrder>
  </b:Source>
  <b:Source>
    <b:Tag>Rej21</b:Tag>
    <b:SourceType>JournalArticle</b:SourceType>
    <b:Guid>{65DD3627-E102-42B5-A129-3928A2D7F95C}</b:Guid>
    <b:Author>
      <b:Author>
        <b:NameList>
          <b:Person>
            <b:Last>Rejeb</b:Last>
            <b:First>A.</b:First>
          </b:Person>
          <b:Person>
            <b:Last> Rejeb</b:Last>
            <b:First>K.</b:First>
          </b:Person>
          <b:Person>
            <b:Last>Zailani</b:Last>
            <b:First>S.</b:First>
          </b:Person>
        </b:NameList>
      </b:Author>
    </b:Author>
    <b:Title>Big data for sustainable agri‐food supply chains: a review and future research perspectives</b:Title>
    <b:JournalName>Journal of Data, Information and Management</b:JournalName>
    <b:Year>2021</b:Year>
    <b:Pages>3, 167-182.</b:Pages>
    <b:RefOrder>96</b:RefOrder>
  </b:Source>
  <b:Source>
    <b:Tag>Tal22</b:Tag>
    <b:SourceType>JournalArticle</b:SourceType>
    <b:Guid>{A62A1066-D6AF-4E1C-96EC-7025CAE944B9}</b:Guid>
    <b:Author>
      <b:Author>
        <b:NameList>
          <b:Person>
            <b:Last>Talari</b:Last>
            <b:First>G.</b:First>
          </b:Person>
          <b:Person>
            <b:Last>Cummins</b:Last>
            <b:First>E.</b:First>
          </b:Person>
          <b:Person>
            <b:Last>McNamara</b:Last>
            <b:First>C.</b:First>
          </b:Person>
          <b:Person>
            <b:Last>O’Brien</b:Last>
            <b:First>J.</b:First>
          </b:Person>
        </b:NameList>
      </b:Author>
    </b:Author>
    <b:Title>State of the art review of Big Data and web-based Decision Support Systems (DSS) for food safety risk assessment with respect to climate change</b:Title>
    <b:JournalName>Trends in Food Science &amp; Technology</b:JournalName>
    <b:Year>2022</b:Year>
    <b:Pages>126, 192–204</b:Pages>
    <b:RefOrder>97</b:RefOrder>
  </b:Source>
  <b:Source>
    <b:Tag>Bez19</b:Tag>
    <b:SourceType>JournalArticle</b:SourceType>
    <b:Guid>{F1539EAE-5099-4A8C-BD91-C30E6281D9DD}</b:Guid>
    <b:Author>
      <b:Author>
        <b:NameList>
          <b:Person>
            <b:Last>Bezner Kerr</b:Last>
            <b:First>R.</b:First>
          </b:Person>
          <b:Person>
            <b:Last>Hickey</b:Last>
            <b:First>C.</b:First>
          </b:Person>
          <b:Person>
            <b:Last>Lupafya</b:Last>
            <b:First>E.</b:First>
          </b:Person>
          <b:Person>
            <b:Last>Dakishoni</b:Last>
            <b:First>L</b:First>
          </b:Person>
        </b:NameList>
      </b:Author>
    </b:Author>
    <b:Title>Repairing rifts or reproducing inequalities? Agroecology, food sovereignty, and gender justice in Malawi</b:Title>
    <b:JournalName>The Journal of Peasant Studies</b:JournalName>
    <b:Year>2019</b:Year>
    <b:Pages>46(7), 1499-1518</b:Pages>
    <b:RefOrder>98</b:RefOrder>
  </b:Source>
  <b:Source>
    <b:Tag>Mar20</b:Tag>
    <b:SourceType>JournalArticle</b:SourceType>
    <b:Guid>{58839551-1222-4703-BCA6-A8C44638B463}</b:Guid>
    <b:Author>
      <b:Author>
        <b:NameList>
          <b:Person>
            <b:Last>Mardones</b:Last>
            <b:First>F.</b:First>
            <b:Middle>O.</b:Middle>
          </b:Person>
          <b:Person>
            <b:Last>Rich </b:Last>
            <b:First>K. M.</b:First>
          </b:Person>
          <b:Person>
            <b:Last>Boden</b:Last>
            <b:First>L. A.</b:First>
          </b:Person>
          <b:Person>
            <b:Last>Moreno-Switt</b:Last>
            <b:First>A. I.</b:First>
          </b:Person>
          <b:Person>
            <b:Last>Caipo</b:Last>
            <b:First>M. L.</b:First>
          </b:Person>
          <b:Person>
            <b:Last>Zimin-Veselkoff</b:Last>
            <b:First>N.</b:First>
          </b:Person>
          <b:Person>
            <b:Last>Baltenweck</b:Last>
            <b:First>I.</b:First>
          </b:Person>
        </b:NameList>
      </b:Author>
    </b:Author>
    <b:Title>The COVID-19 pandemic and global food security</b:Title>
    <b:JournalName>Frontiers in Veterinary Science</b:JournalName>
    <b:Year>2020</b:Year>
    <b:Pages>7</b:Pages>
    <b:RefOrder>99</b:RefOrder>
  </b:Source>
  <b:Source>
    <b:Tag>Gav20</b:Tag>
    <b:SourceType>JournalArticle</b:SourceType>
    <b:Guid>{F037906C-CA8E-4F34-983F-485F4A3AF5B3}</b:Guid>
    <b:Author>
      <b:Author>
        <b:NameList>
          <b:Person>
            <b:Last>Gava</b:Last>
            <b:First>O.</b:First>
          </b:Person>
          <b:Person>
            <b:Last>Bartolini</b:Last>
            <b:First>F.</b:First>
          </b:Person>
          <b:Person>
            <b:Last>Venturi</b:Last>
            <b:First>F.</b:First>
          </b:Person>
          <b:Person>
            <b:Last>Brunori</b:Last>
            <b:First>G.</b:First>
          </b:Person>
          <b:Person>
            <b:Last>Pardossi</b:Last>
            <b:First>A.</b:First>
          </b:Person>
        </b:NameList>
      </b:Author>
    </b:Author>
    <b:Title>Improving policy evidence base for agricultural sustainability and food security: A content analysis of life cycle assessment research.</b:Title>
    <b:JournalName>Sustainability</b:JournalName>
    <b:Year>2020</b:Year>
    <b:Pages>12(3), 1033</b:Pages>
    <b:RefOrder>100</b:RefOrder>
  </b:Source>
  <b:Source>
    <b:Tag>San21</b:Tag>
    <b:SourceType>JournalArticle</b:SourceType>
    <b:Guid>{EC9DA713-8019-4B51-831F-F0ADF38F1A54}</b:Guid>
    <b:Author>
      <b:Author>
        <b:NameList>
          <b:Person>
            <b:Last>Santeramo</b:Last>
            <b:First>F.</b:First>
            <b:Middle>G.</b:Middle>
          </b:Person>
          <b:Person>
            <b:Last>Lamonaca</b:Last>
            <b:First>E.</b:First>
          </b:Person>
        </b:NameList>
      </b:Author>
    </b:Author>
    <b:Title>Food loss–food waste–food security: a new research agenda</b:Title>
    <b:JournalName>Sustainability</b:JournalName>
    <b:Year>2021</b:Year>
    <b:Pages>13(9), 4642.</b:Pages>
    <b:RefOrder>101</b:RefOrder>
  </b:Source>
  <b:Source>
    <b:Tag>Pör22</b:Tag>
    <b:SourceType>JournalArticle</b:SourceType>
    <b:Guid>{574BD38B-1C9B-470B-AABE-8F1614AD6455}</b:Guid>
    <b:Author>
      <b:Author>
        <b:NameList>
          <b:Person>
            <b:Last>Pörtner</b:Last>
            <b:First>L.</b:First>
            <b:Middle>M.</b:Middle>
          </b:Person>
          <b:Person>
            <b:Last>Lambrecht</b:Last>
            <b:First>N.</b:First>
          </b:Person>
          <b:Person>
            <b:Last>Springmann</b:Last>
            <b:First>M.</b:First>
          </b:Person>
          <b:Person>
            <b:Last>Bodirsky</b:Last>
            <b:First>B. L.</b:First>
          </b:Person>
          <b:Person>
            <b:Last>Gaupp</b:Last>
            <b:First>F.</b:First>
          </b:Person>
          <b:Person>
            <b:Last>Freund</b:Last>
            <b:First>F.</b:First>
          </b:Person>
          <b:Person>
            <b:Last>Gabrysch</b:Last>
            <b:First>S.</b:First>
          </b:Person>
        </b:NameList>
      </b:Author>
    </b:Author>
    <b:Title>We need a food system transformation—In the face of the Russia-Ukraine war, now more than ever</b:Title>
    <b:JournalName>One Earth</b:JournalName>
    <b:Year>2022</b:Year>
    <b:Pages>5(5), 470-472</b:Pages>
    <b:RefOrder>102</b:RefOrder>
  </b:Source>
  <b:Source>
    <b:Tag>Mor21</b:Tag>
    <b:SourceType>JournalArticle</b:SourceType>
    <b:Guid>{DDB28CC6-035B-41E9-9D5B-877BF6C86813}</b:Guid>
    <b:Author>
      <b:Author>
        <b:NameList>
          <b:Person>
            <b:Last>Morales</b:Last>
            <b:First>D.</b:First>
            <b:Middle>X.</b:Middle>
          </b:Person>
          <b:Person>
            <b:Last>Morales</b:Last>
            <b:First>S. A.</b:First>
          </b:Person>
          <b:Person>
            <b:Last>Beltran</b:Last>
            <b:First>T. F.</b:First>
          </b:Person>
        </b:NameList>
      </b:Author>
    </b:Author>
    <b:Title>Racial/ethnic disparities in household food insecurity during the COVID-19 pandemic: a nationally representative study</b:Title>
    <b:JournalName>Journal of racial and ethnic health disparities</b:JournalName>
    <b:Year>2021</b:Year>
    <b:Pages>8, 1300-1314</b:Pages>
    <b:RefOrder>103</b:RefOrder>
  </b:Source>
  <b:Source>
    <b:Tag>Mur20</b:Tag>
    <b:SourceType>JournalArticle</b:SourceType>
    <b:Guid>{B17A8D05-05C7-49ED-A9D9-A70217BDAFD4}</b:Guid>
    <b:Author>
      <b:Author>
        <b:NameList>
          <b:Person>
            <b:Last>Murrell</b:Last>
            <b:First>A.</b:First>
          </b:Person>
          <b:Person>
            <b:Last>Jones</b:Last>
            <b:First>R.</b:First>
          </b:Person>
        </b:NameList>
      </b:Author>
    </b:Author>
    <b:Title>Measuring Food insecurity using the food abundance index: implications for economic, health and social well-being</b:Title>
    <b:JournalName>International journal of environmental research and public health</b:JournalName>
    <b:Year>2020</b:Year>
    <b:Pages>17(7), 2434</b:Pages>
    <b:RefOrder>104</b:RefOrder>
  </b:Source>
  <b:Source>
    <b:Tag>Cla20</b:Tag>
    <b:SourceType>JournalArticle</b:SourceType>
    <b:Guid>{0BD35181-8623-445C-84EE-7AB1663DAFA9}</b:Guid>
    <b:Author>
      <b:Author>
        <b:NameList>
          <b:Person>
            <b:Last>Clapp</b:Last>
            <b:First>J.</b:First>
          </b:Person>
          <b:Person>
            <b:Last>Moseley, </b:Last>
            <b:First>W.G.</b:First>
          </b:Person>
        </b:NameList>
      </b:Author>
    </b:Author>
    <b:Title>This food crisis is different: COVID-19 and the fragility of the neoliberal food security order</b:Title>
    <b:JournalName>The Journal of Peasant Studies</b:JournalName>
    <b:Year>2020</b:Year>
    <b:Pages>47(7), pp.1393-1417</b:Pages>
    <b:RefOrder>837</b:RefOrder>
  </b:Source>
  <b:Source>
    <b:Tag>Sin13</b:Tag>
    <b:SourceType>JournalArticle</b:SourceType>
    <b:Guid>{8D6BE24C-1297-440E-AE83-0822A8E9A500}</b:Guid>
    <b:Author>
      <b:Author>
        <b:NameList>
          <b:Person>
            <b:Last>Singh</b:Last>
            <b:First>Amit</b:First>
            <b:Middle>Kumar</b:Middle>
          </b:Person>
          <b:Person>
            <b:Last>Sailo</b:Last>
            <b:First>Malsawmi</b:First>
          </b:Person>
        </b:NameList>
      </b:Author>
    </b:Author>
    <b:Title>Consumer Behavior in Online Shopping: A Study of Aizawl</b:Title>
    <b:JournalName>International Journal of Business &amp; Management Research (IJBMR)</b:JournalName>
    <b:Year>2013</b:Year>
    <b:Pages>45-49</b:Pages>
    <b:Volume>1</b:Volume>
    <b:Issue>3</b:Issue>
    <b:RefOrder>105</b:RefOrder>
  </b:Source>
  <b:Source>
    <b:Tag>Rah18</b:Tag>
    <b:SourceType>JournalArticle</b:SourceType>
    <b:Guid>{C50465FB-940C-4F9B-BCAB-7733843E0750}</b:Guid>
    <b:Title>Consumer buying behavior towards online shopping: An empirical study on Dhaka city, Bangladesh</b:Title>
    <b:Year>2018</b:Year>
    <b:Author>
      <b:Author>
        <b:NameList>
          <b:Person>
            <b:Last>Rahman</b:Last>
            <b:First>Mohammad</b:First>
            <b:Middle>Anisur</b:Middle>
          </b:Person>
          <b:Person>
            <b:Last>Islam</b:Last>
            <b:First>Md.</b:First>
            <b:Middle>Aminul</b:Middle>
          </b:Person>
          <b:Person>
            <b:Last>Esha</b:Last>
            <b:First>Bushra</b:First>
            <b:Middle>Humyra</b:Middle>
          </b:Person>
          <b:Person>
            <b:Last>Sultana</b:Last>
            <b:First>Nahida</b:First>
          </b:Person>
          <b:Person>
            <b:Last>Chakravorty</b:Last>
            <b:First>Sujan</b:First>
          </b:Person>
          <b:Person>
            <b:Last>Molnar</b:Last>
            <b:First>Andreea</b:First>
          </b:Person>
        </b:NameList>
      </b:Author>
    </b:Author>
    <b:JournalName>Cogent Business &amp; Management</b:JournalName>
    <b:Volume>5</b:Volume>
    <b:Issue>1</b:Issue>
    <b:RefOrder>106</b:RefOrder>
  </b:Source>
  <b:Source>
    <b:Tag>LiY22</b:Tag>
    <b:SourceType>JournalArticle</b:SourceType>
    <b:Guid>{41DDDFDC-6E2A-407B-B854-CB9E35D9F106}</b:Guid>
    <b:Author>
      <b:Author>
        <b:NameList>
          <b:Person>
            <b:Last>Li</b:Last>
            <b:First>Yiqi</b:First>
          </b:Person>
        </b:NameList>
      </b:Author>
    </b:Author>
    <b:Title>A Study on the Influence of External Stimuli and Psychological Processes on Stationery Purchase Behavior Based on SOR</b:Title>
    <b:JournalName>Proceedings of Business and Economic Studies</b:JournalName>
    <b:Year>2022</b:Year>
    <b:Pages>79-87</b:Pages>
    <b:Volume>5</b:Volume>
    <b:Issue>4</b:Issue>
    <b:RefOrder>107</b:RefOrder>
  </b:Source>
  <b:Source>
    <b:Tag>Len09</b:Tag>
    <b:SourceType>JournalArticle</b:SourceType>
    <b:Guid>{0EF87AC2-4BF6-41EC-A15E-AFC930F82BB7}</b:Guid>
    <b:Author>
      <b:Author>
        <b:NameList>
          <b:Person>
            <b:Last>Lennon</b:Last>
            <b:First>Sharron</b:First>
            <b:Middle>J.</b:Middle>
          </b:Person>
          <b:Person>
            <b:Last>Ha</b:Last>
            <b:First>Young</b:First>
          </b:Person>
          <b:Person>
            <b:Last>Lyons</b:Last>
            <b:First>Nancy</b:First>
          </b:Person>
        </b:NameList>
      </b:Author>
    </b:Author>
    <b:Title>Rural Consumers' Online Shopping for Food and Fiber Products as a Form of Outshopping</b:Title>
    <b:JournalName>Clothing and Textiles Research Journal</b:JournalName>
    <b:Year>2009</b:Year>
    <b:Pages>3-30</b:Pages>
    <b:Volume>27</b:Volume>
    <b:Issue>1</b:Issue>
    <b:RefOrder>108</b:RefOrder>
  </b:Source>
  <b:Source>
    <b:Tag>Sae20</b:Tag>
    <b:SourceType>JournalArticle</b:SourceType>
    <b:Guid>{148A0BB9-3D0B-445A-A829-5AFB41D560E9}</b:Guid>
    <b:Author>
      <b:Author>
        <b:NameList>
          <b:Person>
            <b:Last>Saeeda</b:Last>
            <b:First>Soobia</b:First>
          </b:Person>
          <b:Person>
            <b:Last>Naqvib</b:Last>
            <b:First>Mahmood</b:First>
          </b:Person>
          <b:Person>
            <b:Last>Memon</b:Last>
            <b:First>Muhammad</b:First>
          </b:Person>
        </b:NameList>
      </b:Author>
    </b:Author>
    <b:Title>E-Commerce Web Crawling to Facilitate Consumers for Economical Choices</b:Title>
    <b:JournalName>International Journal of Advanced Computer Systems and Software Engineering</b:JournalName>
    <b:Year>2020</b:Year>
    <b:Pages>1-13</b:Pages>
    <b:Volume>1</b:Volume>
    <b:Issue>1</b:Issue>
    <b:RefOrder>109</b:RefOrder>
  </b:Source>
  <b:Source>
    <b:Tag>WuS17</b:Tag>
    <b:SourceType>JournalArticle</b:SourceType>
    <b:Guid>{F4A04EBD-5F7C-41FB-AFFE-D6F11AABE773}</b:Guid>
    <b:Title>A Comparison of the Online Shopping Behavior Patterns of Consumer</b:Title>
    <b:Year>2017</b:Year>
    <b:Author>
      <b:Author>
        <b:NameList>
          <b:Person>
            <b:Last>Wu</b:Last>
            <b:First>Shwu-Ing</b:First>
          </b:Person>
          <b:Person>
            <b:Last>Tsai</b:Last>
            <b:First>Hsin-Ti</b:First>
          </b:Person>
        </b:NameList>
      </b:Author>
    </b:Author>
    <b:JournalName>International Journal of Marketing Studies</b:JournalName>
    <b:Volume>9</b:Volume>
    <b:Issue>3</b:Issue>
    <b:RefOrder>110</b:RefOrder>
  </b:Source>
  <b:Source>
    <b:Tag>Yid21</b:Tag>
    <b:SourceType>JournalArticle</b:SourceType>
    <b:Guid>{950C88F9-C114-4861-811D-863A5154C71C}</b:Guid>
    <b:Author>
      <b:Author>
        <b:NameList>
          <b:Person>
            <b:Last>Wang</b:Last>
            <b:First>Yidan</b:First>
          </b:Person>
        </b:NameList>
      </b:Author>
    </b:Author>
    <b:Title>Research on E-commerce Platform of Online Shopping Consumers</b:Title>
    <b:JournalName>Proceedings of the 2021 3rd International Conference on Economic Management and Cultural Industry (ICEMCI 2021)</b:JournalName>
    <b:Year>2021</b:Year>
    <b:Pages>3031-3035</b:Pages>
    <b:RefOrder>111</b:RefOrder>
  </b:Source>
  <b:Source>
    <b:Tag>Vas21</b:Tag>
    <b:SourceType>JournalArticle</b:SourceType>
    <b:Guid>{46667556-6AF2-4AC3-BEAC-E6FD116F7035}</b:Guid>
    <b:Author>
      <b:Author>
        <b:NameList>
          <b:Person>
            <b:Last>Vasudevan</b:Last>
            <b:First>Puveandharan</b:First>
          </b:Person>
          <b:Person>
            <b:Last>Arokiasamy</b:Last>
            <b:First>Lawrence</b:First>
          </b:Person>
        </b:NameList>
      </b:Author>
    </b:Author>
    <b:Title>Online shopping among young generation in Malaysia</b:Title>
    <b:JournalName>Electronic Journal of Business and Management</b:JournalName>
    <b:Year>2021</b:Year>
    <b:Pages>31-38</b:Pages>
    <b:Volume>6</b:Volume>
    <b:Issue>1</b:Issue>
    <b:RefOrder>112</b:RefOrder>
  </b:Source>
  <b:Source>
    <b:Tag>Mus221</b:Tag>
    <b:SourceType>JournalArticle</b:SourceType>
    <b:Guid>{0FDBABAB-694A-476C-B1D1-2B4735F69E1A}</b:Guid>
    <b:Author>
      <b:Author>
        <b:NameList>
          <b:Person>
            <b:Last>Mustakim</b:Last>
            <b:First>Nurul</b:First>
            <b:Middle>Ain</b:Middle>
          </b:Person>
          <b:Person>
            <b:Last>Hassan</b:Last>
            <b:First>Zuhairah</b:First>
          </b:Person>
          <b:Person>
            <b:Last>Sauid</b:Last>
            <b:First>Muna</b:First>
            <b:Middle>Kameelah</b:Middle>
          </b:Person>
          <b:Person>
            <b:Last>Ebrahim</b:Last>
            <b:First>Zarina</b:First>
            <b:Middle>Begum</b:Middle>
          </b:Person>
          <b:Person>
            <b:Last>Mokhtar</b:Last>
            <b:First>Noorzalyla</b:First>
          </b:Person>
        </b:NameList>
      </b:Author>
    </b:Author>
    <b:Title>Factors Affecting Customer Satisfaction on Shopee</b:Title>
    <b:JournalName>International Journal of Academic Research in Business and Social Sciences</b:JournalName>
    <b:Year>2022</b:Year>
    <b:Pages>544 – 556</b:Pages>
    <b:Volume>12</b:Volume>
    <b:Issue>10</b:Issue>
    <b:RefOrder>113</b:RefOrder>
  </b:Source>
  <b:Source>
    <b:Tag>Mus22</b:Tag>
    <b:SourceType>JournalArticle</b:SourceType>
    <b:Guid>{A40474E7-F84A-4B8A-8A44-156169F91670}</b:Guid>
    <b:Author>
      <b:Author>
        <b:NameList>
          <b:Person>
            <b:Last>Musa</b:Last>
            <b:First>Rusnifaezah</b:First>
          </b:Person>
          <b:Person>
            <b:Last>Nasaratnam</b:Last>
            <b:First>Selvamalar</b:First>
          </b:Person>
          <b:Person>
            <b:Last>Rethinam</b:Last>
            <b:First>Kalaiselvee</b:First>
          </b:Person>
          <b:Person>
            <b:Last>Varatharajoo</b:Last>
            <b:First>Parteeban</b:First>
            <b:Middle>M.</b:Middle>
          </b:Person>
          <b:Person>
            <b:Last>Shanmugam</b:Last>
            <b:First>Arunagiri</b:First>
          </b:Person>
        </b:NameList>
      </b:Author>
    </b:Author>
    <b:Title>A Study of Factors Influenced Online Shopping Behavior in Malaysia:</b:Title>
    <b:JournalName>WSEAS Transactions on Business and Economics</b:JournalName>
    <b:Year>2022</b:Year>
    <b:Pages>531-541</b:Pages>
    <b:Volume>19</b:Volume>
    <b:RefOrder>114</b:RefOrder>
  </b:Source>
  <b:Source>
    <b:Tag>Wen20</b:Tag>
    <b:SourceType>JournalArticle</b:SourceType>
    <b:Guid>{C5FBC8E7-BCB6-4CE3-8AE3-925A317C6389}</b:Guid>
    <b:Author>
      <b:Author>
        <b:NameList>
          <b:Person>
            <b:Last>Wen</b:Last>
            <b:First>Tan</b:First>
            <b:Middle>Shi</b:Middle>
          </b:Person>
          <b:Person>
            <b:Last>Satar</b:Last>
            <b:First>NurulHuda</b:First>
            <b:Middle>Mohd</b:Middle>
          </b:Person>
          <b:Person>
            <b:Last>Ishak</b:Last>
            <b:First>Nur</b:First>
            <b:Middle>Annizah</b:Middle>
          </b:Person>
          <b:Person>
            <b:Last>Ating</b:Last>
            <b:First>Rashid</b:First>
          </b:Person>
        </b:NameList>
      </b:Author>
    </b:Author>
    <b:Title>Consumer intention towards online shopping in Malaysia</b:Title>
    <b:JournalName>International Journal of Accounting, Finance and Business (IJAFB)</b:JournalName>
    <b:Year>2020</b:Year>
    <b:Pages>93-117</b:Pages>
    <b:Volume>5</b:Volume>
    <b:Issue>27</b:Issue>
    <b:RefOrder>115</b:RefOrder>
  </b:Source>
  <b:Source>
    <b:Tag>Vis15</b:Tag>
    <b:SourceType>JournalArticle</b:SourceType>
    <b:Guid>{7167492A-5E35-4130-B265-6306E0F61F52}</b:Guid>
    <b:Author>
      <b:Author>
        <b:NameList>
          <b:Person>
            <b:Last>Visinescu</b:Last>
            <b:First>Lucian</b:First>
            <b:Middle>L.</b:Middle>
          </b:Person>
          <b:Person>
            <b:Last>Sidorova</b:Last>
            <b:First>Anna</b:First>
          </b:Person>
          <b:Person>
            <b:Last>Jones</b:Last>
            <b:First>Mary</b:First>
            <b:Middle>C.</b:Middle>
          </b:Person>
          <b:Person>
            <b:Last>Prybutok</b:Last>
            <b:First>Victor</b:First>
            <b:Middle>R.</b:Middle>
          </b:Person>
        </b:NameList>
      </b:Author>
    </b:Author>
    <b:Title>The influence of website dimensionality on customer experiences, perceptions and behavioral intentions: An exploration of 2D vs. 3D web design</b:Title>
    <b:JournalName>Information &amp; Management</b:JournalName>
    <b:Year>2015</b:Year>
    <b:Pages>1-17</b:Pages>
    <b:Volume>52</b:Volume>
    <b:Issue>1</b:Issue>
    <b:RefOrder>116</b:RefOrder>
  </b:Source>
  <b:Source>
    <b:Tag>Mal16</b:Tag>
    <b:SourceType>JournalArticle</b:SourceType>
    <b:Guid>{7B9D5DE4-8D13-4D6B-BD26-8EDA386C9A52}</b:Guid>
    <b:Author>
      <b:Author>
        <b:NameList>
          <b:Person>
            <b:Last>Mallapragada</b:Last>
            <b:First>Girish</b:First>
          </b:Person>
          <b:Person>
            <b:Last>Chandukala</b:Last>
            <b:First>Sandeep</b:First>
            <b:Middle>R.</b:Middle>
          </b:Person>
          <b:Person>
            <b:Last>Liu</b:Last>
            <b:First>Qing</b:First>
          </b:Person>
        </b:NameList>
      </b:Author>
    </b:Author>
    <b:Title>Exploring the Effects of “What” (Product) and “Where” (Website) Characteristics on Online Shopping Behavior</b:Title>
    <b:JournalName>Journal of Marketing</b:JournalName>
    <b:Year>2016</b:Year>
    <b:Pages>21-38</b:Pages>
    <b:Volume>80</b:Volume>
    <b:Issue>2</b:Issue>
    <b:RefOrder>117</b:RefOrder>
  </b:Source>
  <b:Source>
    <b:Tag>Vis13</b:Tag>
    <b:SourceType>JournalArticle</b:SourceType>
    <b:Guid>{B93D232C-2D38-47ED-97AE-FB5FD8F6B9F9}</b:Guid>
    <b:Author>
      <b:Author>
        <b:NameList>
          <b:Person>
            <b:Last>Vishnu</b:Last>
            <b:First>Parmar</b:First>
          </b:Person>
          <b:Person>
            <b:Last>Raheem</b:Last>
            <b:First>Ahmed</b:First>
            <b:Middle>Rizwan</b:Middle>
          </b:Person>
        </b:NameList>
      </b:Author>
    </b:Author>
    <b:Title>Factors influencing impulse buying behavior</b:Title>
    <b:JournalName>European Journal of Scientific Research</b:JournalName>
    <b:Year>2013</b:Year>
    <b:Pages>68-79</b:Pages>
    <b:Volume>100</b:Volume>
    <b:Issue>3</b:Issue>
    <b:RefOrder>118</b:RefOrder>
  </b:Source>
  <b:Source>
    <b:Tag>Nes01</b:Tag>
    <b:SourceType>Book</b:SourceType>
    <b:Guid>{9AA41A54-810A-456C-84F4-EC1C9DC6D726}</b:Guid>
    <b:Title>Consumer Behavior : An Applied Approach</b:Title>
    <b:Year>2001</b:Year>
    <b:Author>
      <b:Author>
        <b:NameList>
          <b:Person>
            <b:Last>Hanna</b:Last>
            <b:First>Nessim</b:First>
          </b:Person>
          <b:Person>
            <b:Last>Wozniak</b:Last>
            <b:First>Richard</b:First>
          </b:Person>
        </b:NameList>
      </b:Author>
    </b:Author>
    <b:Publisher>Prentice Hall, Upper Saddle River, NJ, 2001</b:Publisher>
    <b:Edition>1st</b:Edition>
    <b:RefOrder>119</b:RefOrder>
  </b:Source>
  <b:Source>
    <b:Tag>Fih23</b:Tag>
    <b:SourceType>JournalArticle</b:SourceType>
    <b:Guid>{EB868B65-85CF-4789-8BF8-2C7523B56CD5}</b:Guid>
    <b:Author>
      <b:Author>
        <b:NameList>
          <b:Person>
            <b:Last>Fihartini</b:Last>
            <b:First>Yuniarti</b:First>
          </b:Person>
          <b:Person>
            <b:Last>Ramelan</b:Last>
            <b:First>Mudji</b:First>
            <b:Middle>Rachmat</b:Middle>
          </b:Person>
          <b:Person>
            <b:Last>Karim</b:Last>
            <b:First>Mirwan</b:First>
          </b:Person>
          <b:Person>
            <b:Last>Andriani</b:Last>
            <b:First>Lis</b:First>
          </b:Person>
        </b:NameList>
      </b:Author>
    </b:Author>
    <b:Title>The Role of Female Online Shoppers’ Emotional Intelligence on Their Shopping Behavior: A Cognition-Affection-Conation Framework</b:Title>
    <b:JournalName>Proceedings of the International Conference of Economics, Business, and Entrepreneur (ICEBE 2022)</b:JournalName>
    <b:Year>2023</b:Year>
    <b:Pages>105-116</b:Pages>
    <b:Publisher>Atlantis Press</b:Publisher>
    <b:RefOrder>120</b:RefOrder>
  </b:Source>
  <b:Source>
    <b:Tag>Das22</b:Tag>
    <b:SourceType>JournalArticle</b:SourceType>
    <b:Guid>{8EDAA886-0B89-49DC-90CF-DFC213AEA1CA}</b:Guid>
    <b:Author>
      <b:Author>
        <b:NameList>
          <b:Person>
            <b:Last>Das</b:Last>
            <b:First>Debadyuti</b:First>
          </b:Person>
          <b:Person>
            <b:Last>Sarkar</b:Last>
            <b:First>Ashutosh</b:First>
          </b:Person>
          <b:Person>
            <b:Last>Debroy</b:Last>
            <b:First>Arindam</b:First>
          </b:Person>
        </b:NameList>
      </b:Author>
    </b:Author>
    <b:Title>Impact of COVID-19 on Changing Consumer Behaviour: Lessons from an Emerging Economy</b:Title>
    <b:JournalName>International Journal of Consumer Studies</b:JournalName>
    <b:Year>2022</b:Year>
    <b:Pages>692-715</b:Pages>
    <b:Volume>46</b:Volume>
    <b:Issue>3</b:Issue>
    <b:RefOrder>121</b:RefOrder>
  </b:Source>
  <b:Source>
    <b:Tag>Placeholder34</b:Tag>
    <b:SourceType>Book</b:SourceType>
    <b:Guid>{BB16B0C7-C529-4BD8-84E0-E129F47A134A}</b:Guid>
    <b:Author>
      <b:Author>
        <b:NameList>
          <b:Person>
            <b:Last>Coakes</b:Last>
            <b:First>Sheridan</b:First>
          </b:Person>
        </b:NameList>
      </b:Author>
    </b:Author>
    <b:Title>Analysis Without Anguish: Version 12.0 For Windows</b:Title>
    <b:Year>2007</b:Year>
    <b:Publisher>John Wiley &amp; Sons, Inc</b:Publisher>
    <b:RefOrder>122</b:RefOrder>
  </b:Source>
  <b:Source>
    <b:Tag>Hai10</b:Tag>
    <b:SourceType>Book</b:SourceType>
    <b:Guid>{3A54FB0E-9288-4C0E-9985-914B75CD1D69}</b:Guid>
    <b:Title>Multivariate Data Analysis: A Global Perspective</b:Title>
    <b:Year>2010</b:Year>
    <b:Author>
      <b:Author>
        <b:NameList>
          <b:Person>
            <b:Last>Hair</b:Last>
            <b:First>Joseph</b:First>
            <b:Middle>F.</b:Middle>
          </b:Person>
          <b:Person>
            <b:Last>Black</b:Last>
            <b:First>William</b:First>
            <b:Middle>C.</b:Middle>
          </b:Person>
          <b:Person>
            <b:Last>Babin</b:Last>
            <b:First>Barry</b:First>
            <b:Middle>J.</b:Middle>
          </b:Person>
        </b:NameList>
      </b:Author>
    </b:Author>
    <b:Publisher>Pearson Education</b:Publisher>
    <b:Volume>7</b:Volume>
    <b:RefOrder>41</b:RefOrder>
  </b:Source>
  <b:Source>
    <b:Tag>Anu19</b:Tag>
    <b:SourceType>JournalArticle</b:SourceType>
    <b:Guid>{7B9CD892-A347-4537-AAD1-02115353CA71}</b:Guid>
    <b:Author>
      <b:Author>
        <b:NameList>
          <b:Person>
            <b:Last>Pandey</b:Last>
            <b:First>Anurag</b:First>
          </b:Person>
          <b:Person>
            <b:Last>Parmar</b:Last>
            <b:First>Jitesh</b:First>
          </b:Person>
        </b:NameList>
      </b:Author>
    </b:Author>
    <b:Title>Factors Affecting Consumer's Online Shopping Buying Behavior</b:Title>
    <b:JournalName>Proceedings of 10th International Conference on Digital Strategies for Organizational Success</b:JournalName>
    <b:Year>2019</b:Year>
    <b:Pages>541-548</b:Pages>
    <b:RefOrder>47</b:RefOrder>
  </b:Source>
  <b:Source>
    <b:Tag>Bei01</b:Tag>
    <b:SourceType>JournalArticle</b:SourceType>
    <b:Guid>{149E3EDF-9664-4E92-BBC9-A8BD84B066E0}</b:Guid>
    <b:Title>An Integrated Model for the Effects of Perceived Product, Perceived Service Quality, and Perceived Price Fairness on Consumer Satisfaction and Loyalty</b:Title>
    <b:Year>2001</b:Year>
    <b:Author>
      <b:Author>
        <b:NameList>
          <b:Person>
            <b:Last>Bei</b:Last>
            <b:First>Lien-Ti</b:First>
          </b:Person>
          <b:Person>
            <b:Last>Chiao</b:Last>
            <b:First>Yu-Ching</b:First>
          </b:Person>
        </b:NameList>
      </b:Author>
    </b:Author>
    <b:JournalName>The Journal of Consumer Satisfaction, Dissatisfaction and Complaining Behavior</b:JournalName>
    <b:Volume>14</b:Volume>
    <b:Pages>125-140</b:Pages>
    <b:RefOrder>53</b:RefOrder>
  </b:Source>
  <b:Source>
    <b:Tag>Kha18</b:Tag>
    <b:SourceType>JournalArticle</b:SourceType>
    <b:Guid>{4766CCC6-0893-4913-B61D-CD45C4E46874}</b:Guid>
    <b:Author>
      <b:Author>
        <b:NameList>
          <b:Person>
            <b:Last>Khalil</b:Last>
            <b:First>Dr</b:First>
            <b:Middle>Syed Haider</b:Middle>
          </b:Person>
          <b:Person>
            <b:Last>Raza</b:Last>
            <b:First>Ali</b:First>
          </b:Person>
        </b:NameList>
      </b:Author>
    </b:Author>
    <b:Title>The Influence of External Stimuli on Impulsive Buying Behaviour</b:Title>
    <b:JournalName>Journal of Business &amp; Tourism</b:JournalName>
    <b:Year>2018</b:Year>
    <b:Pages>97-116</b:Pages>
    <b:Volume>4</b:Volume>
    <b:Issue>1</b:Issue>
    <b:RefOrder>54</b:RefOrder>
  </b:Source>
  <b:Source>
    <b:Tag>Pet99</b:Tag>
    <b:SourceType>Book</b:SourceType>
    <b:Guid>{CDA7346D-5793-4D72-B6F5-265C8265F73E}</b:Guid>
    <b:Author>
      <b:Author>
        <b:NameList>
          <b:Person>
            <b:Last>Peter</b:Last>
            <b:First>JP</b:First>
          </b:Person>
          <b:Person>
            <b:Last>Olson</b:Last>
            <b:First>JC</b:First>
          </b:Person>
          <b:Person>
            <b:Last>Grunert</b:Last>
            <b:First>KG</b:First>
          </b:Person>
        </b:NameList>
      </b:Author>
    </b:Author>
    <b:Title>Consumer behavior and marketing strategy</b:Title>
    <b:Year>1999</b:Year>
    <b:Publisher>Mcgraw Hill Higher Education</b:Publisher>
    <b:RefOrder>33</b:RefOrder>
  </b:Source>
  <b:Source>
    <b:Tag>Cin20</b:Tag>
    <b:SourceType>Book</b:SourceType>
    <b:Guid>{FE9B0054-4FDB-4F3F-B72D-E465E158AE93}</b:Guid>
    <b:Author>
      <b:Author>
        <b:NameList>
          <b:Person>
            <b:Last>Cinar</b:Last>
            <b:First>Dilaysu</b:First>
          </b:Person>
        </b:NameList>
      </b:Author>
    </b:Author>
    <b:Title>The Effect of Consumer Emotions on Online Purchasing Behavior</b:Title>
    <b:Year>2020</b:Year>
    <b:Publisher>IGI Global</b:Publisher>
    <b:ShortTitle>Tools and Techniques for Implementing International E-Trading Tactics for Competitive Advantage</b:ShortTitle>
    <b:Pages>221-241</b:Pages>
    <b:RefOrder>59</b:RefOrder>
  </b:Source>
  <b:Source>
    <b:Tag>Hoq17</b:Tag>
    <b:SourceType>JournalArticle</b:SourceType>
    <b:Guid>{F85494C6-E993-4024-A0E7-AFD99CA762BC}</b:Guid>
    <b:Title>Social Business Efficiency: Instrument Development and Validation Procedure using Structual Equation Modelling</b:Title>
    <b:Year>2017</b:Year>
    <b:Author>
      <b:Author>
        <b:NameList>
          <b:Person>
            <b:Last>Hoque</b:Last>
            <b:First>A.</b:First>
          </b:Person>
          <b:Person>
            <b:Last>Awang</b:Last>
            <b:First>Z.</b:First>
          </b:Person>
          <b:Person>
            <b:Last>Jusoh</b:Last>
            <b:First>K.</b:First>
          </b:Person>
          <b:Person>
            <b:Last>Muda</b:Last>
            <b:First>H.</b:First>
          </b:Person>
        </b:NameList>
      </b:Author>
    </b:Author>
    <b:JournalName>International Business Management</b:JournalName>
    <b:Pages>222-231</b:Pages>
    <b:RefOrder>46</b:RefOrder>
  </b:Source>
  <b:Source>
    <b:Tag>Afz21</b:Tag>
    <b:SourceType>JournalArticle</b:SourceType>
    <b:Guid>{B90EE0D1-524D-42FC-92E7-57CBE3C0702E}</b:Guid>
    <b:Author>
      <b:Author>
        <b:NameList>
          <b:Person>
            <b:Last>Afzainizam</b:Last>
            <b:First>Norzamziah</b:First>
          </b:Person>
          <b:Person>
            <b:Last>Fahmy</b:Last>
            <b:First>Syahrul</b:First>
          </b:Person>
          <b:Person>
            <b:Last>Hanif</b:Last>
            <b:First>Syed</b:First>
            <b:Middle>Ahmad</b:Middle>
          </b:Person>
          <b:Person>
            <b:Last>Muqri</b:Last>
            <b:First>Muhammad</b:First>
            <b:Middle>Irfan</b:Middle>
          </b:Person>
          <b:Person>
            <b:Last>Firdhaus</b:Last>
            <b:First>Ahmad</b:First>
          </b:Person>
        </b:NameList>
      </b:Author>
    </b:Author>
    <b:Title>Identification of Online Shopping Challenges in Malaysia: A Pilot Study</b:Title>
    <b:JournalName>International Journalof Synergy in Engineering and Technology</b:JournalName>
    <b:Year>2021</b:Year>
    <b:Pages>48-55</b:Pages>
    <b:Volume>2</b:Volume>
    <b:Issue>2</b:Issue>
    <b:RefOrder>17</b:RefOrder>
  </b:Source>
  <b:Source>
    <b:Tag>Ajz85</b:Tag>
    <b:SourceType>Book</b:SourceType>
    <b:Guid>{CE117D55-1A66-459F-8B4C-774B6771D651}</b:Guid>
    <b:Title>From Intentions to Actions: A Theory of Planned Behavior</b:Title>
    <b:Year>1985</b:Year>
    <b:Pages>11-39</b:Pages>
    <b:Author>
      <b:Author>
        <b:NameList>
          <b:Person>
            <b:Last>Ajzen</b:Last>
            <b:First>Icek</b:First>
          </b:Person>
        </b:NameList>
      </b:Author>
      <b:Editor>
        <b:NameList>
          <b:Person>
            <b:Last>Kuhl</b:Last>
            <b:First>Julius</b:First>
          </b:Person>
          <b:Person>
            <b:Last>Beckmann</b:Last>
            <b:First>Jurgen</b:First>
          </b:Person>
        </b:NameList>
      </b:Editor>
    </b:Author>
    <b:Publisher>Springer-Verlag Berlin Heidelberg </b:Publisher>
    <b:RefOrder>35</b:RefOrder>
  </b:Source>
  <b:Source>
    <b:Tag>Awa12</b:Tag>
    <b:SourceType>Book</b:SourceType>
    <b:Guid>{F4A52C58-DACC-481F-8899-E4255B2262A1}</b:Guid>
    <b:Author>
      <b:Author>
        <b:NameList>
          <b:Person>
            <b:Last>Awang</b:Last>
            <b:First>Zainudin</b:First>
          </b:Person>
        </b:NameList>
      </b:Author>
    </b:Author>
    <b:Title>Research Methodology and Data Analysis</b:Title>
    <b:Year>2012</b:Year>
    <b:Publisher>UiTM Press</b:Publisher>
    <b:Edition>2nd </b:Edition>
    <b:RefOrder>44</b:RefOrder>
  </b:Source>
  <b:Source>
    <b:Tag>Chi17</b:Tag>
    <b:SourceType>JournalArticle</b:SourceType>
    <b:Guid>{6CE34486-06D6-4D7A-AC69-293A85E0C100}</b:Guid>
    <b:Author>
      <b:Author>
        <b:NameList>
          <b:Person>
            <b:Last>Chincholkar</b:Last>
            <b:First>Snehal</b:First>
          </b:Person>
          <b:Person>
            <b:Last>Sonwaney</b:Last>
            <b:First>Vandana</b:First>
          </b:Person>
        </b:NameList>
      </b:Author>
    </b:Author>
    <b:Title>Website attributes and its impact on online consumer buying behaviour: An empirical study of online consumers in Mumbai region</b:Title>
    <b:JournalName>Indian Journal of Science and Technology</b:JournalName>
    <b:Year>2017</b:Year>
    <b:Pages>1-9</b:Pages>
    <b:Volume>10</b:Volume>
    <b:Issue>1</b:Issue>
    <b:RefOrder>48</b:RefOrder>
  </b:Source>
  <b:Source>
    <b:Tag>Dar21</b:Tag>
    <b:SourceType>JournalArticle</b:SourceType>
    <b:Guid>{1EE706BB-7A4E-4468-8121-8E0A89A65AE7}</b:Guid>
    <b:Title>A study on factors limiting online shopping behaviour of consumers</b:Title>
    <b:Year>2021</b:Year>
    <b:Pages>39-52</b:Pages>
    <b:Author>
      <b:Author>
        <b:NameList>
          <b:Person>
            <b:Last>Daroch</b:Last>
            <b:First>Bindia</b:First>
          </b:Person>
          <b:Person>
            <b:Last>Nagrath</b:Last>
            <b:First>Gitika</b:First>
          </b:Person>
          <b:Person>
            <b:Last>Gupta</b:Last>
            <b:First>Ashutosh</b:First>
          </b:Person>
        </b:NameList>
      </b:Author>
    </b:Author>
    <b:JournalName>Rajagiri Management Journal</b:JournalName>
    <b:Volume>15</b:Volume>
    <b:Issue>1</b:Issue>
    <b:RefOrder>1</b:RefOrder>
  </b:Source>
  <b:Source>
    <b:Tag>Das17</b:Tag>
    <b:SourceType>JournalArticle</b:SourceType>
    <b:Guid>{BFE7DBC3-3703-4D9C-8CE2-48CBBCBF147A}</b:Guid>
    <b:Author>
      <b:Author>
        <b:NameList>
          <b:Person>
            <b:Last>Das</b:Last>
            <b:First>Gopal</b:First>
          </b:Person>
          <b:Person>
            <b:Last>Varshneya</b:Last>
            <b:First>Geetika</b:First>
          </b:Person>
        </b:NameList>
      </b:Author>
    </b:Author>
    <b:Title>Consumer Emotions: Determinants and Outcomes in a Shopping Mall</b:Title>
    <b:JournalName>Journal of Retailing and Consumer Services</b:JournalName>
    <b:Year>2017</b:Year>
    <b:Pages>177-185</b:Pages>
    <b:Volume>38</b:Volume>
    <b:RefOrder>60</b:RefOrder>
  </b:Source>
  <b:Source>
    <b:Tag>Gup10</b:Tag>
    <b:SourceType>JournalArticle</b:SourceType>
    <b:Guid>{95487001-B56C-4CBC-9E78-620BAA8DDC3D}</b:Guid>
    <b:Author>
      <b:Author>
        <b:NameList>
          <b:Person>
            <b:Last>Gupta S</b:Last>
            <b:First>L</b:First>
          </b:Person>
          <b:Person>
            <b:Last>Ruchi</b:Last>
            <b:First>Nayyar</b:First>
          </b:Person>
          <b:Person>
            <b:Last>Ashish</b:Last>
            <b:First>Nayyar</b:First>
          </b:Person>
        </b:NameList>
      </b:Author>
    </b:Author>
    <b:Title>To study the impact of website factors on consumer online buying behavior in India</b:Title>
    <b:JournalName>IITM Journal of Management and IT</b:JournalName>
    <b:Year>2010</b:Year>
    <b:Pages>3-15</b:Pages>
    <b:Volume>2</b:Volume>
    <b:Issue>1</b:Issue>
    <b:RefOrder>50</b:RefOrder>
  </b:Source>
  <b:Source>
    <b:Tag>Hus16</b:Tag>
    <b:SourceType>JournalArticle</b:SourceType>
    <b:Guid>{C94EEF78-C8E1-49BE-82E0-4B2C69B6027F}</b:Guid>
    <b:Title>Internet users’ attitudes toward business-to-consumer online shopping: A survey</b:Title>
    <b:Year>2016</b:Year>
    <b:Author>
      <b:Author>
        <b:NameList>
          <b:Person>
            <b:Last>Huseynov</b:Last>
            <b:First>Farid</b:First>
          </b:Person>
          <b:Person>
            <b:Last>Ozkan</b:Last>
            <b:First>Sevgi</b:First>
          </b:Person>
        </b:NameList>
      </b:Author>
    </b:Author>
    <b:JournalName>Information Development</b:JournalName>
    <b:Pages>452-465</b:Pages>
    <b:Volume>32</b:Volume>
    <b:Issue>3</b:Issue>
    <b:RefOrder>6</b:RefOrder>
  </b:Source>
  <b:Source>
    <b:Tag>Abu16</b:Tag>
    <b:SourceType>JournalArticle</b:SourceType>
    <b:Guid>{F2B16AF8-97EF-40C4-9A19-D1DA9083CCB8}</b:Guid>
    <b:Author>
      <b:Author>
        <b:NameList>
          <b:Person>
            <b:Last>Hoque</b:Last>
            <b:First>Abu</b:First>
            <b:Middle>Shams Mohammad Mahmudul</b:Middle>
          </b:Person>
          <b:Person>
            <b:Last>Awang</b:Last>
            <b:First>Zainudin</b:First>
          </b:Person>
        </b:NameList>
      </b:Author>
    </b:Author>
    <b:Title>Exploratory factor analysis of entrepreneurial marketing: Scale development and validation in the SME context of Bangladesh</b:Title>
    <b:JournalName>Proceedings of the International Social Sciences and Tourism Research Conference</b:JournalName>
    <b:Year>2016</b:Year>
    <b:Pages>22-38</b:Pages>
    <b:RefOrder>61</b:RefOrder>
  </b:Source>
  <b:Source>
    <b:Tag>Isa20</b:Tag>
    <b:SourceType>JournalArticle</b:SourceType>
    <b:Guid>{3035DA7C-6042-406F-B2F3-77A7CDF9B2B1}</b:Guid>
    <b:Author>
      <b:Author>
        <b:NameList>
          <b:Person>
            <b:Last>Isa</b:Last>
            <b:First>Khairunesa</b:First>
          </b:Person>
          <b:Person>
            <b:Last>Shah</b:Last>
            <b:First>J.</b:First>
            <b:Middle>M.</b:Middle>
          </b:Person>
          <b:Person>
            <b:Last>Palpanadan</b:Last>
            <b:First>S.</b:First>
            <b:Middle>T.</b:Middle>
          </b:Person>
          <b:Person>
            <b:Last>Isa</b:Last>
            <b:First>F.</b:First>
          </b:Person>
        </b:NameList>
      </b:Author>
    </b:Author>
    <b:Title>Malaysians’ Popular Online Shopping Websites during Movement Control Order (MCO)</b:Title>
    <b:JournalName>International Journal of Advanced Trends in Computer Science and Engineering</b:JournalName>
    <b:Year>2020</b:Year>
    <b:Pages>2154-2158</b:Pages>
    <b:Volume>9</b:Volume>
    <b:Issue>2</b:Issue>
    <b:RefOrder>16</b:RefOrder>
  </b:Source>
  <b:Source>
    <b:Tag>Kim21</b:Tag>
    <b:SourceType>JournalArticle</b:SourceType>
    <b:Guid>{3AADEF93-9BD3-400E-9718-8AB8AE760238}</b:Guid>
    <b:Author>
      <b:Author>
        <b:NameList>
          <b:Person>
            <b:Last>Kimiagari</b:Last>
            <b:First>Salman</b:First>
          </b:Person>
          <b:Person>
            <b:Last>Malafe</b:Last>
            <b:First>Neda</b:First>
            <b:Middle>Sharifi Asadi</b:Middle>
          </b:Person>
        </b:NameList>
      </b:Author>
    </b:Author>
    <b:Title>The role of cognitive and affective responses in the relationship between internal and external stimuli on online impulse buying behavior</b:Title>
    <b:JournalName>Journal of Retailing and Consumer Services</b:JournalName>
    <b:Year>2021</b:Year>
    <b:Volume>61</b:Volume>
    <b:RefOrder>30</b:RefOrder>
  </b:Source>
  <b:Source>
    <b:Tag>Kul16</b:Tag>
    <b:SourceType>JournalArticle</b:SourceType>
    <b:Guid>{D0A5C71B-DA12-4588-8621-44BB0D0BFA46}</b:Guid>
    <b:Author>
      <b:Author>
        <b:NameList>
          <b:Person>
            <b:Last>Kuleh</b:Last>
            <b:First>Yohanes</b:First>
          </b:Person>
          <b:Person>
            <b:Last>Setyadi</b:Last>
            <b:First>Djoko</b:First>
          </b:Person>
        </b:NameList>
      </b:Author>
    </b:Author>
    <b:Title>The Effect of Brand Trust and Affection on the Attitudinal and Purchase Loyalty of Celluler Telecomunication Customers in East Kalimantan – Indonesia</b:Title>
    <b:JournalName>European Journal of Business and Management</b:JournalName>
    <b:Year>2016</b:Year>
    <b:Pages>86-95</b:Pages>
    <b:Volume>8</b:Volume>
    <b:Issue>24</b:Issue>
    <b:RefOrder>57</b:RefOrder>
  </b:Source>
  <b:Source>
    <b:Tag>Lee21</b:Tag>
    <b:SourceType>JournalArticle</b:SourceType>
    <b:Guid>{ADBB2257-7DFF-4502-9C7F-F46ACF42A825}</b:Guid>
    <b:Author>
      <b:Author>
        <b:NameList>
          <b:Person>
            <b:Last>Lee</b:Last>
            <b:First>Chao-Hsing</b:First>
          </b:Person>
          <b:Person>
            <b:Last>Chen</b:Last>
            <b:First>Chien-Wen</b:First>
          </b:Person>
        </b:NameList>
      </b:Author>
    </b:Author>
    <b:Title>Impulse Buying Behaviors in Live Streaming Commerce Based on the Stimulus-Organism-Response Framework</b:Title>
    <b:JournalName>Information Technology and Consumer Behavior: Challenges and Opportunities</b:JournalName>
    <b:Year>2021</b:Year>
    <b:Pages>241</b:Pages>
    <b:Volume>12</b:Volume>
    <b:Issue>6</b:Issue>
    <b:RefOrder>31</b:RefOrder>
  </b:Source>
  <b:Source>
    <b:Tag>Lee06</b:Tag>
    <b:SourceType>JournalArticle</b:SourceType>
    <b:Guid>{FE7D351E-A495-4262-B943-085918C8534C}</b:Guid>
    <b:Author>
      <b:Author>
        <b:NameList>
          <b:Person>
            <b:Last>Lee</b:Last>
            <b:First>Younghwa</b:First>
          </b:Person>
          <b:Person>
            <b:Last>Kozar</b:Last>
            <b:First>Kenneth</b:First>
            <b:Middle>A.</b:Middle>
          </b:Person>
        </b:NameList>
      </b:Author>
    </b:Author>
    <b:Title>Investigating the effect of website quality on e-business success: An analytic hierarchy process (AHP) approach</b:Title>
    <b:JournalName>Decision Support Systems</b:JournalName>
    <b:Year>2006</b:Year>
    <b:Pages>1383-1401</b:Pages>
    <b:Volume>42</b:Volume>
    <b:Issue>3</b:Issue>
    <b:RefOrder>24</b:RefOrder>
  </b:Source>
  <b:Source>
    <b:Tag>Ler06</b:Tag>
    <b:SourceType>JournalArticle</b:SourceType>
    <b:Guid>{5A29DB60-0009-45EC-9CB9-191B69FFF9E0}</b:Guid>
    <b:Author>
      <b:Author>
        <b:NameList>
          <b:Person>
            <b:Last>Lerner</b:Last>
            <b:First>Jennifer</b:First>
            <b:Middle>S.</b:Middle>
          </b:Person>
          <b:Person>
            <b:Last>Tiedens</b:Last>
            <b:First>Larissa</b:First>
            <b:Middle>Z.</b:Middle>
          </b:Person>
        </b:NameList>
      </b:Author>
    </b:Author>
    <b:Title>Portrait of the angry decision maker: how appraisal tendencies shape anger's influence on cognition</b:Title>
    <b:JournalName>Journal of Behavioral Decision Making</b:JournalName>
    <b:Year>2006</b:Year>
    <b:Pages>115-137</b:Pages>
    <b:Volume>19</b:Volume>
    <b:Issue>2</b:Issue>
    <b:RefOrder>55</b:RefOrder>
  </b:Source>
  <b:Source>
    <b:Tag>Placeholder35</b:Tag>
    <b:SourceType>JournalArticle</b:SourceType>
    <b:Guid>{E13FD70F-8AFB-42CA-9216-983100F4ECE4}</b:Guid>
    <b:Author>
      <b:Author>
        <b:NameList>
          <b:Person>
            <b:Last>Shaheen</b:Last>
            <b:First>Mansori</b:First>
          </b:Person>
          <b:Person>
            <b:Last>Cheng</b:Last>
            <b:First>Boon</b:First>
            <b:Middle>Liat</b:Middle>
          </b:Person>
          <b:Person>
            <b:Last>Lee</b:Last>
            <b:First>Hui</b:First>
            <b:Middle>Shan</b:Middle>
          </b:Person>
        </b:NameList>
      </b:Author>
    </b:Author>
    <b:Title>A Study Of E-Shopping Intention In Malaysia: The Influence Of Generation X &amp; Y</b:Title>
    <b:JournalName>Australian Journal of Basic and Applied Sciences</b:JournalName>
    <b:Year>2012</b:Year>
    <b:Pages>28-35</b:Pages>
    <b:Volume>6</b:Volume>
    <b:Issue>8</b:Issue>
    <b:RefOrder>49</b:RefOrder>
  </b:Source>
  <b:Source>
    <b:Tag>Cis22</b:Tag>
    <b:SourceType>JournalArticle</b:SourceType>
    <b:Guid>{6C4D8A2A-D320-4A0E-B377-03245613ACC9}</b:Guid>
    <b:Author>
      <b:Author>
        <b:NameList>
          <b:Person>
            <b:Last>Mis</b:Last>
            <b:First>Cise</b:First>
          </b:Person>
        </b:NameList>
      </b:Author>
    </b:Author>
    <b:Title>Emotional Impacts of Online Purchasing Behaviour During the COVID-19 Pandemic</b:Title>
    <b:JournalName>The European Conference on Media, Communication &amp; Film 2022</b:JournalName>
    <b:Year>2022</b:Year>
    <b:Pages>41-50</b:Pages>
    <b:RefOrder>58</b:RefOrder>
  </b:Source>
  <b:Source>
    <b:Tag>Mit13</b:Tag>
    <b:SourceType>JournalArticle</b:SourceType>
    <b:Guid>{6C3AFBCB-B7E4-4529-AC2B-F60E5EA5C55C}</b:Guid>
    <b:Author>
      <b:Author>
        <b:NameList>
          <b:Person>
            <b:Last>Mittal</b:Last>
            <b:First>Arjun</b:First>
          </b:Person>
        </b:NameList>
      </b:Author>
    </b:Author>
    <b:Title>E-commerce : It's Impact on consumer Behavior</b:Title>
    <b:JournalName>Global Journal of Management and Business Studies</b:JournalName>
    <b:Year>2013</b:Year>
    <b:Pages>131-138</b:Pages>
    <b:Volume>3</b:Volume>
    <b:Issue>2</b:Issue>
    <b:RefOrder>7</b:RefOrder>
  </b:Source>
  <b:Source>
    <b:Tag>Jav12</b:Tag>
    <b:SourceType>JournalArticle</b:SourceType>
    <b:Guid>{4584E43D-18DF-4FC4-96A9-07F53F19D146}</b:Guid>
    <b:Author>
      <b:Author>
        <b:NameList>
          <b:Person>
            <b:Last>Javadi</b:Last>
            <b:First>Mohammad</b:First>
            <b:Middle>Hossein Moshref</b:Middle>
          </b:Person>
          <b:Person>
            <b:Last>Dolatabadi</b:Last>
            <b:First>Hossein</b:First>
            <b:Middle>Rezaei</b:Middle>
          </b:Person>
          <b:Person>
            <b:Last>Nourbakhsh</b:Last>
            <b:First>Mojtaba</b:First>
          </b:Person>
          <b:Person>
            <b:Last>Poursaeedi</b:Last>
            <b:First>Amir</b:First>
          </b:Person>
          <b:Person>
            <b:Last>Asadollahi</b:Last>
            <b:First>Ahmad</b:First>
            <b:Middle>Reza</b:Middle>
          </b:Person>
        </b:NameList>
      </b:Author>
    </b:Author>
    <b:Title>An Analysis of Factors Affecting on Online Shopping Behavior of Consumers</b:Title>
    <b:JournalName>International Journal of Marketing Studies</b:JournalName>
    <b:Year>2012</b:Year>
    <b:Pages>81</b:Pages>
    <b:Volume>4</b:Volume>
    <b:Issue>5</b:Issue>
    <b:RefOrder>4</b:RefOrder>
  </b:Source>
  <b:Source>
    <b:Tag>Oze14</b:Tag>
    <b:SourceType>JournalArticle</b:SourceType>
    <b:Guid>{6A05C49E-C470-4289-81DE-49CFB83700BE}</b:Guid>
    <b:Author>
      <b:Author>
        <b:NameList>
          <b:Person>
            <b:Last>Ozen</b:Last>
            <b:First>Hilal</b:First>
          </b:Person>
          <b:Person>
            <b:Last>Engizek</b:Last>
            <b:First>Nil</b:First>
          </b:Person>
        </b:NameList>
      </b:Author>
    </b:Author>
    <b:Title>Shopping online without thinking: being emotional or rational?</b:Title>
    <b:JournalName>Asia Pacific Journal of Marketing and Logistics</b:JournalName>
    <b:Year>2014</b:Year>
    <b:Pages>78-93</b:Pages>
    <b:Volume>26</b:Volume>
    <b:Issue>1</b:Issue>
    <b:RefOrder>12</b:RefOrder>
  </b:Source>
  <b:Source>
    <b:Tag>Par07</b:Tag>
    <b:SourceType>JournalArticle</b:SourceType>
    <b:Guid>{EF914BE0-DB21-4FF3-80DB-AF3ECD877273}</b:Guid>
    <b:Author>
      <b:Author>
        <b:NameList>
          <b:Person>
            <b:Last>Park</b:Last>
            <b:First>Do-Hyung</b:First>
          </b:Person>
          <b:Person>
            <b:Last>Lee</b:Last>
            <b:First>Jumin</b:First>
          </b:Person>
          <b:Person>
            <b:Last>Han</b:Last>
            <b:First>Ingoo</b:First>
          </b:Person>
        </b:NameList>
      </b:Author>
    </b:Author>
    <b:Title>The Effect of On-Line Consumer Reviews on Consumer Purchasing Intention: The Moderating Role of Involvement</b:Title>
    <b:JournalName>International Journal of Electronic Commerce</b:JournalName>
    <b:Year>2007</b:Year>
    <b:Pages>125-148</b:Pages>
    <b:Volume>11</b:Volume>
    <b:Issue>4</b:Issue>
    <b:RefOrder>51</b:RefOrder>
  </b:Source>
  <b:Source>
    <b:Tag>Bet03</b:Tag>
    <b:SourceType>Book</b:SourceType>
    <b:Guid>{C6DCA881-A3E0-4B47-8D4E-43E9276AA7FA}</b:Guid>
    <b:Author>
      <b:Author>
        <b:NameList>
          <b:Person>
            <b:Last>Pritchett</b:Last>
            <b:First>Betty</b:First>
          </b:Person>
          <b:Person>
            <b:Last>Pritchett</b:Last>
            <b:First>Thomas</b:First>
            <b:Middle>K.</b:Middle>
          </b:Person>
          <b:Person>
            <b:Last>Kotler</b:Last>
            <b:First>Philip</b:First>
          </b:Person>
        </b:NameList>
      </b:Author>
    </b:Author>
    <b:Title>Test Item File [to Accompany Philip Kotler], Marketing Management</b:Title>
    <b:Year>2003</b:Year>
    <b:Publisher>Prentice Hall</b:Publisher>
    <b:RefOrder>27</b:RefOrder>
  </b:Source>
  <b:Source>
    <b:Tag>Ras18</b:Tag>
    <b:SourceType>JournalArticle</b:SourceType>
    <b:Guid>{08A0A1EE-2EA5-4E40-B6B3-BCE4239AAA0E}</b:Guid>
    <b:Author>
      <b:Author>
        <b:NameList>
          <b:Person>
            <b:Last>Rasli</b:Last>
            <b:First>Salina</b:First>
          </b:Person>
          <b:Person>
            <b:Last>Khairi</b:Last>
            <b:First>Nurhidayah</b:First>
          </b:Person>
          <b:Person>
            <b:Last>Ayathuray</b:Last>
            <b:First>Hemkkumar</b:First>
          </b:Person>
          <b:Person>
            <b:Last>Sudirman</b:Last>
            <b:First>Muhammad</b:First>
            <b:Middle>Syafiq</b:Middle>
          </b:Person>
        </b:NameList>
      </b:Author>
    </b:Author>
    <b:Title>The Effect of E-Business Website Quality on Customer Satisfaction</b:Title>
    <b:JournalName>Selangor Business Review</b:JournalName>
    <b:Year>2018</b:Year>
    <b:Pages>37-45</b:Pages>
    <b:Volume>3</b:Volume>
    <b:Issue>1</b:Issue>
    <b:RefOrder>22</b:RefOrder>
  </b:Source>
  <b:Source>
    <b:Tag>Uma16</b:Tag>
    <b:SourceType>Book</b:SourceType>
    <b:Guid>{452CB001-4179-4617-B9D2-21C05E10E171}</b:Guid>
    <b:Title>Research methods for business: A skill building approach</b:Title>
    <b:Year>2016</b:Year>
    <b:Author>
      <b:Author>
        <b:NameList>
          <b:Person>
            <b:Last>Sekaran</b:Last>
            <b:First>Uma</b:First>
          </b:Person>
          <b:Person>
            <b:Last>Bougie</b:Last>
            <b:First>Roger</b:First>
          </b:Person>
        </b:NameList>
      </b:Author>
    </b:Author>
    <b:Publisher>John Wiley &amp; Sons</b:Publisher>
    <b:RefOrder>43</b:RefOrder>
  </b:Source>
  <b:Source>
    <b:Tag>RSh15</b:Tag>
    <b:SourceType>JournalArticle</b:SourceType>
    <b:Guid>{2E6B4F28-CC86-4D3B-AFFE-9D3913C010A4}</b:Guid>
    <b:Title>A study of online shopping website characteristics and its impact on consumer intention to purchase online in Chennai</b:Title>
    <b:Year>2015</b:Year>
    <b:Author>
      <b:Author>
        <b:NameList>
          <b:Person>
            <b:Last>Shalini</b:Last>
            <b:First>G.</b:First>
            <b:Middle>R.</b:Middle>
          </b:Person>
          <b:Person>
            <b:Last>HemaMalini</b:Last>
            <b:First>K.</b:First>
            <b:Middle>S.</b:Middle>
          </b:Person>
        </b:NameList>
      </b:Author>
    </b:Author>
    <b:JournalName>International Research Journal of Engineering and Technology</b:JournalName>
    <b:Pages>412-418</b:Pages>
    <b:Volume>2</b:Volume>
    <b:Issue>9</b:Issue>
    <b:RefOrder>25</b:RefOrder>
  </b:Source>
  <b:Source>
    <b:Tag>Tao22</b:Tag>
    <b:SourceType>JournalArticle</b:SourceType>
    <b:Guid>{CA993769-0100-4E8F-AA6C-C8D20B5E0BDA}</b:Guid>
    <b:Author>
      <b:Author>
        <b:NameList>
          <b:Person>
            <b:Last>Tao</b:Last>
            <b:First>Hu</b:First>
          </b:Person>
          <b:Person>
            <b:Last>Sun</b:Last>
            <b:First>Xin</b:First>
          </b:Person>
          <b:Person>
            <b:Last>Liu</b:Last>
            <b:First>Xia</b:First>
          </b:Person>
          <b:Person>
            <b:Last>Tian</b:Last>
            <b:First>Jinfang</b:First>
          </b:Person>
          <b:Person>
            <b:Last>Zhang</b:Last>
            <b:First>Di</b:First>
          </b:Person>
        </b:NameList>
      </b:Author>
    </b:Author>
    <b:Title>The Impact of Consumer Purchase Behavior Changes on the Business Model Design of Consumer Services Companies Over the Course of COVID-19</b:Title>
    <b:JournalName>Frontiers in Psychology</b:JournalName>
    <b:Year>2022</b:Year>
    <b:Pages>1-14</b:Pages>
    <b:Volume>13</b:Volume>
    <b:RefOrder>39</b:RefOrder>
  </b:Source>
  <b:Source>
    <b:Tag>Wie15</b:Tag>
    <b:SourceType>JournalArticle</b:SourceType>
    <b:Guid>{36878D62-3CF7-4B32-86F4-EFBD0B41A4D3}</b:Guid>
    <b:Author>
      <b:Author>
        <b:NameList>
          <b:Person>
            <b:Last>Wierzba</b:Last>
            <b:First>Małgorzata</b:First>
          </b:Person>
          <b:Person>
            <b:Last>Riegel</b:Last>
            <b:First>Monika</b:First>
          </b:Person>
          <b:Person>
            <b:Last>Wypych</b:Last>
            <b:First>Marek</b:First>
          </b:Person>
          <b:Person>
            <b:Last>Jednoróg</b:Last>
            <b:First>Katarzyna</b:First>
          </b:Person>
          <b:Person>
            <b:Last>Turnau</b:Last>
            <b:First>Paweł</b:First>
          </b:Person>
          <b:Person>
            <b:Last>Grabowska</b:Last>
            <b:First>Anna</b:First>
          </b:Person>
          <b:Person>
            <b:Last>Marchewka</b:Last>
            <b:First>Artur</b:First>
          </b:Person>
        </b:NameList>
      </b:Author>
    </b:Author>
    <b:Title>Basic Emotions in the Nencki Affective Word List (NAWL BE): New Method of Classifying Emotional Stimuli</b:Title>
    <b:JournalName>PLoS One</b:JournalName>
    <b:Year>2015</b:Year>
    <b:Volume>10</b:Volume>
    <b:Issue>7</b:Issue>
    <b:RefOrder>56</b:RefOrder>
  </b:Source>
  <b:Source>
    <b:Tag>WuY23</b:Tag>
    <b:SourceType>JournalArticle</b:SourceType>
    <b:Guid>{34B4B18D-BD8A-4C07-8564-73CD426D40CC}</b:Guid>
    <b:Author>
      <b:Author>
        <b:NameList>
          <b:Person>
            <b:Last>Wu</b:Last>
            <b:First>Yanyan</b:First>
          </b:Person>
          <b:Person>
            <b:Last>Huang</b:Last>
            <b:First>Hongqing</b:First>
          </b:Person>
        </b:NameList>
      </b:Author>
    </b:Author>
    <b:Title>Influence of Perceived Value on Consumers’ Continuous Purchase Intention in Live-Streaming E-Commerce—Mediated by Consumer Trust</b:Title>
    <b:JournalName>Economic and Business Aspects of Sustainability</b:JournalName>
    <b:Year>2023</b:Year>
    <b:Pages>4432</b:Pages>
    <b:Volume>15</b:Volume>
    <b:Issue>5</b:Issue>
    <b:RefOrder>38</b:RefOrder>
  </b:Source>
  <b:Source>
    <b:Tag>WuW23</b:Tag>
    <b:SourceType>JournalArticle</b:SourceType>
    <b:Guid>{26590D66-731E-4B4B-9E08-7C574DACAE5B}</b:Guid>
    <b:Author>
      <b:Author>
        <b:NameList>
          <b:Person>
            <b:Last>Wu</b:Last>
            <b:First>Wei</b:First>
          </b:Person>
          <b:Person>
            <b:Last>Wang</b:Last>
            <b:First>Sihang</b:First>
          </b:Person>
          <b:Person>
            <b:Last>Ding</b:Last>
            <b:First>Guanqi</b:First>
          </b:Person>
          <b:Person>
            <b:Last>Mo</b:Last>
            <b:First>Jinfei</b:First>
          </b:Person>
        </b:NameList>
      </b:Author>
    </b:Author>
    <b:Title>Elucidating trust-building sources in social shopping: A consumer cognitive and emotional trust perspective</b:Title>
    <b:JournalName>Journal of Retailing and Consumer Services</b:JournalName>
    <b:Year>2023</b:Year>
    <b:Volume>71</b:Volume>
    <b:Pages>103217</b:Pages>
    <b:RefOrder>40</b:RefOrder>
  </b:Source>
  <b:Source>
    <b:Tag>Yad20</b:Tag>
    <b:SourceType>JournalArticle</b:SourceType>
    <b:Guid>{E4F78F3E-A6FB-47CE-982E-EA253881C442}</b:Guid>
    <b:Author>
      <b:Author>
        <b:NameList>
          <b:Person>
            <b:Last>Yadav</b:Last>
            <b:First>Manisha</b:First>
          </b:Person>
          <b:Person>
            <b:Last>Goel</b:Last>
            <b:First>Manisha</b:First>
          </b:Person>
          <b:Person>
            <b:Last>Sharma</b:Last>
            <b:First>Bindu</b:First>
          </b:Person>
        </b:NameList>
      </b:Author>
    </b:Author>
    <b:Title>Consumer perception towards online shopping during lockdown</b:Title>
    <b:JournalName>International Journal of Management</b:JournalName>
    <b:Year>2020</b:Year>
    <b:Pages>1578-1584</b:Pages>
    <b:Volume>11</b:Volume>
    <b:Issue>7</b:Issue>
    <b:RefOrder>52</b:RefOrder>
  </b:Source>
  <b:Source>
    <b:Tag>Yaz16</b:Tag>
    <b:SourceType>JournalArticle</b:SourceType>
    <b:Guid>{CAD543B6-57D2-4BCF-82A6-71896B78B4CD}</b:Guid>
    <b:Author>
      <b:Author>
        <b:NameList>
          <b:Person>
            <b:Last>Yazid</b:Last>
            <b:First>Zaleha</b:First>
          </b:Person>
          <b:Person>
            <b:Last>Wel</b:Last>
            <b:First>Che</b:First>
            <b:Middle>Aniza Che</b:Middle>
          </b:Person>
          <b:Person>
            <b:Last>Omar</b:Last>
            <b:First>Nor</b:First>
            <b:Middle>Asiah</b:Middle>
          </b:Person>
        </b:NameList>
      </b:Author>
    </b:Author>
    <b:Title>Persepsi Mahasiswa Terhadap Urusan Pembelian Atas Talian</b:Title>
    <b:JournalName>Jurnal Personalia Pelajar</b:JournalName>
    <b:Year>2016</b:Year>
    <b:Volume>19</b:Volume>
    <b:Issue>2</b:Issue>
    <b:RefOrder>9</b:RefOrder>
  </b:Source>
  <b:Source>
    <b:Tag>Yul11</b:Tag>
    <b:SourceType>JournalArticle</b:SourceType>
    <b:Guid>{83261C98-6CB9-434E-96CF-020BD45D01D9}</b:Guid>
    <b:Author>
      <b:Author>
        <b:NameList>
          <b:Person>
            <b:Last>Yulihasri</b:Last>
          </b:Person>
          <b:Person>
            <b:Last>Islam</b:Last>
            <b:First>Md.</b:First>
            <b:Middle>Aminul</b:Middle>
          </b:Person>
          <b:Person>
            <b:Last>Daud</b:Last>
            <b:First>Ku</b:First>
            <b:Middle>Amir Ku</b:Middle>
          </b:Person>
        </b:NameList>
      </b:Author>
    </b:Author>
    <b:Title>Factors that Influence Customers’ Buying Intention on Shopping Online</b:Title>
    <b:JournalName>International Journal of Marketing Studies</b:JournalName>
    <b:Year>2011</b:Year>
    <b:Pages>128-139</b:Pages>
    <b:Volume>3</b:Volume>
    <b:Issue>1</b:Issue>
    <b:RefOrder>10</b:RefOrder>
  </b:Source>
  <b:Source>
    <b:Tag>You00</b:Tag>
    <b:SourceType>JournalArticle</b:SourceType>
    <b:Guid>{DC194371-E216-4147-AF97-1FC465E96E16}</b:Guid>
    <b:Author>
      <b:Author>
        <b:NameList>
          <b:Person>
            <b:Last>Youn</b:Last>
            <b:First>Seounmi</b:First>
          </b:Person>
          <b:Person>
            <b:Last>Faber</b:Last>
            <b:First>Ronald</b:First>
            <b:Middle>J</b:Middle>
          </b:Person>
        </b:NameList>
      </b:Author>
    </b:Author>
    <b:Title>Impulse buying: Its relation to personality traits and cues</b:Title>
    <b:JournalName>ACR North American Advances</b:JournalName>
    <b:Year>2000</b:Year>
    <b:Pages>179-185</b:Pages>
    <b:Volume>27</b:Volume>
    <b:Issue>1</b:Issue>
    <b:RefOrder>26</b:RefOrder>
  </b:Source>
  <b:Source>
    <b:Tag>Awa</b:Tag>
    <b:SourceType>JournalArticle</b:SourceType>
    <b:Guid>{987D9709-E763-4D95-812E-A880B495248D}</b:Guid>
    <b:Author>
      <b:Author>
        <b:NameList>
          <b:Person>
            <b:Last>Zainudin</b:Last>
            <b:First>Awang</b:First>
          </b:Person>
          <b:Person>
            <b:Last>Habsah</b:Last>
            <b:First>Muda</b:First>
          </b:Person>
          <b:Person>
            <b:Last>Fauzilah</b:Last>
            <b:First>Salleh</b:First>
          </b:Person>
          <b:Person>
            <b:Last>Abu Shams Mohammad</b:Last>
            <b:First>Mahmudul</b:First>
            <b:Middle>Hoque</b:Middle>
          </b:Person>
          <b:Person>
            <b:Last>Kamaruzaman</b:Last>
            <b:First>Jusoff</b:First>
          </b:Person>
        </b:NameList>
      </b:Author>
    </b:Author>
    <b:Title>Social business efficiency: Instruments development and validation procedure using structural equation modelling</b:Title>
    <b:JournalName>International Business Management</b:JournalName>
    <b:Year>2017</b:Year>
    <b:Pages>222-231</b:Pages>
    <b:Volume>11</b:Volume>
    <b:Issue>1</b:Issue>
    <b:RefOrder>45</b:RefOrder>
  </b:Source>
  <b:Source>
    <b:Tag>Zen23</b:Tag>
    <b:SourceType>JournalArticle</b:SourceType>
    <b:Guid>{E5B73D81-9A82-47F0-AE02-73AF3D49DA82}</b:Guid>
    <b:Author>
      <b:Author>
        <b:NameList>
          <b:Person>
            <b:Last>Zeng</b:Last>
            <b:First>Siqi</b:First>
          </b:Person>
          <b:Person>
            <b:Last>Lin</b:Last>
            <b:First>Xinyi</b:First>
          </b:Person>
          <b:Person>
            <b:Last>Zhou</b:Last>
            <b:First>Liting</b:First>
          </b:Person>
        </b:NameList>
      </b:Author>
    </b:Author>
    <b:Title>Factors affecting consumer attitudes towards using digital media platforms on health knowledge communication: Findings of cognition–affect–conation pattern</b:Title>
    <b:JournalName>Frontiers in Psychology</b:JournalName>
    <b:Year>2023</b:Year>
    <b:Pages>1008427</b:Pages>
    <b:Volume>14</b:Volume>
    <b:RefOrder>36</b:RefOrder>
  </b:Source>
  <b:Source>
    <b:Tag>Saw84</b:Tag>
    <b:SourceType>JournalArticle</b:SourceType>
    <b:Guid>{852C7A01-9A11-427E-B33E-0E30E7E42436}</b:Guid>
    <b:Author>
      <b:Author>
        <b:NameList>
          <b:Person>
            <b:Last>Sawyer</b:Last>
            <b:First>A.</b:First>
            <b:Middle>G.</b:Middle>
          </b:Person>
        </b:NameList>
      </b:Author>
    </b:Author>
    <b:Title>Psychological perspective on consumer respond to sale promotion, research on sale promotion: collected paper</b:Title>
    <b:JournalName>Market Science Institute,</b:JournalName>
    <b:Year>1984</b:Year>
    <b:Pages>21</b:Pages>
    <b:Volume>1</b:Volume>
    <b:RefOrder>29</b:RefOrder>
  </b:Source>
</b:Sources>
</file>

<file path=customXml/itemProps1.xml><?xml version="1.0" encoding="utf-8"?>
<ds:datastoreItem xmlns:ds="http://schemas.openxmlformats.org/officeDocument/2006/customXml" ds:itemID="{685582DC-56B5-43EB-BF39-2D87EE554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2958</TotalTime>
  <Pages>72</Pages>
  <Words>57406</Words>
  <Characters>327215</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Ilsa Haruti Suryandari</dc:creator>
  <cp:lastModifiedBy>pc</cp:lastModifiedBy>
  <cp:revision>369</cp:revision>
  <cp:lastPrinted>2023-08-27T06:21:00Z</cp:lastPrinted>
  <dcterms:created xsi:type="dcterms:W3CDTF">2015-07-04T08:16:00Z</dcterms:created>
  <dcterms:modified xsi:type="dcterms:W3CDTF">2023-08-29T17:21:00Z</dcterms:modified>
</cp:coreProperties>
</file>