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C2DE" w14:textId="65C75CEA" w:rsidR="00E83AAF" w:rsidRPr="00E4714B" w:rsidRDefault="009F52AD" w:rsidP="00E4714B">
      <w:pPr>
        <w:pBdr>
          <w:top w:val="nil"/>
          <w:left w:val="nil"/>
          <w:bottom w:val="nil"/>
          <w:right w:val="nil"/>
          <w:between w:val="nil"/>
        </w:pBdr>
        <w:jc w:val="center"/>
        <w:rPr>
          <w:b/>
          <w:bCs/>
          <w:sz w:val="20"/>
          <w:szCs w:val="20"/>
        </w:rPr>
      </w:pPr>
      <w:bookmarkStart w:id="0" w:name="_Hlk164358704"/>
      <w:r w:rsidRPr="00E4714B">
        <w:rPr>
          <w:b/>
          <w:bCs/>
          <w:sz w:val="20"/>
          <w:szCs w:val="20"/>
        </w:rPr>
        <w:t>Empiric</w:t>
      </w:r>
      <w:r w:rsidR="00567A18" w:rsidRPr="00E4714B">
        <w:rPr>
          <w:b/>
          <w:bCs/>
          <w:sz w:val="20"/>
          <w:szCs w:val="20"/>
        </w:rPr>
        <w:t>al</w:t>
      </w:r>
      <w:r w:rsidRPr="00E4714B">
        <w:rPr>
          <w:b/>
          <w:bCs/>
          <w:sz w:val="20"/>
          <w:szCs w:val="20"/>
        </w:rPr>
        <w:t xml:space="preserve"> Evidence on </w:t>
      </w:r>
      <w:bookmarkStart w:id="1" w:name="_Hlk164358628"/>
      <w:r w:rsidRPr="00E4714B">
        <w:rPr>
          <w:b/>
          <w:bCs/>
          <w:sz w:val="20"/>
          <w:szCs w:val="20"/>
        </w:rPr>
        <w:t>Tourism,</w:t>
      </w:r>
      <w:r w:rsidR="00E83AAF" w:rsidRPr="00E4714B">
        <w:rPr>
          <w:b/>
          <w:bCs/>
          <w:sz w:val="20"/>
          <w:szCs w:val="20"/>
        </w:rPr>
        <w:t xml:space="preserve"> Geopolitical Risk and Economic</w:t>
      </w:r>
      <w:r w:rsidR="00C822E9" w:rsidRPr="00E4714B">
        <w:rPr>
          <w:b/>
          <w:bCs/>
          <w:sz w:val="20"/>
          <w:szCs w:val="20"/>
        </w:rPr>
        <w:t xml:space="preserve"> Policy</w:t>
      </w:r>
      <w:r w:rsidR="00E83AAF" w:rsidRPr="00E4714B">
        <w:rPr>
          <w:b/>
          <w:bCs/>
          <w:sz w:val="20"/>
          <w:szCs w:val="20"/>
        </w:rPr>
        <w:t xml:space="preserve"> Uncertainty</w:t>
      </w:r>
      <w:r w:rsidRPr="00E4714B">
        <w:rPr>
          <w:b/>
          <w:bCs/>
          <w:sz w:val="20"/>
          <w:szCs w:val="20"/>
        </w:rPr>
        <w:t xml:space="preserve"> Relationships</w:t>
      </w:r>
      <w:bookmarkEnd w:id="1"/>
      <w:r w:rsidRPr="00E4714B">
        <w:rPr>
          <w:b/>
          <w:bCs/>
          <w:sz w:val="20"/>
          <w:szCs w:val="20"/>
        </w:rPr>
        <w:t xml:space="preserve"> in Malaysia</w:t>
      </w:r>
    </w:p>
    <w:p w14:paraId="652BF250" w14:textId="77777777" w:rsidR="00E4714B" w:rsidRPr="00E4714B" w:rsidRDefault="00E4714B" w:rsidP="00E4714B">
      <w:pPr>
        <w:pBdr>
          <w:top w:val="nil"/>
          <w:left w:val="nil"/>
          <w:bottom w:val="nil"/>
          <w:right w:val="nil"/>
          <w:between w:val="nil"/>
        </w:pBdr>
        <w:jc w:val="center"/>
        <w:rPr>
          <w:sz w:val="20"/>
          <w:szCs w:val="20"/>
        </w:rPr>
      </w:pPr>
    </w:p>
    <w:p w14:paraId="06576EC3" w14:textId="77777777" w:rsidR="00E4714B" w:rsidRPr="00E4714B" w:rsidRDefault="00E83AAF" w:rsidP="00E4714B">
      <w:pPr>
        <w:pBdr>
          <w:top w:val="nil"/>
          <w:left w:val="nil"/>
          <w:bottom w:val="nil"/>
          <w:right w:val="nil"/>
          <w:between w:val="nil"/>
        </w:pBdr>
        <w:jc w:val="center"/>
        <w:rPr>
          <w:color w:val="7030A0"/>
          <w:sz w:val="20"/>
          <w:szCs w:val="20"/>
        </w:rPr>
      </w:pPr>
      <w:r w:rsidRPr="00E4714B">
        <w:rPr>
          <w:color w:val="7030A0"/>
          <w:sz w:val="20"/>
          <w:szCs w:val="20"/>
        </w:rPr>
        <w:t>Siti Nurhidayah Mohd Roslen</w:t>
      </w:r>
      <w:r w:rsidRPr="00E4714B">
        <w:rPr>
          <w:color w:val="7030A0"/>
          <w:sz w:val="20"/>
          <w:szCs w:val="20"/>
          <w:vertAlign w:val="superscript"/>
        </w:rPr>
        <w:t>1*</w:t>
      </w:r>
      <w:r w:rsidR="008162BE" w:rsidRPr="00E4714B">
        <w:rPr>
          <w:color w:val="7030A0"/>
          <w:sz w:val="20"/>
          <w:szCs w:val="20"/>
        </w:rPr>
        <w:t>,</w:t>
      </w:r>
      <w:r w:rsidRPr="00E4714B">
        <w:rPr>
          <w:color w:val="7030A0"/>
          <w:sz w:val="20"/>
          <w:szCs w:val="20"/>
        </w:rPr>
        <w:t xml:space="preserve"> Chua Mei Shan</w:t>
      </w:r>
      <w:r w:rsidR="009346A4" w:rsidRPr="00E4714B">
        <w:rPr>
          <w:color w:val="7030A0"/>
          <w:sz w:val="20"/>
          <w:szCs w:val="20"/>
          <w:vertAlign w:val="superscript"/>
        </w:rPr>
        <w:t>1</w:t>
      </w:r>
      <w:r w:rsidR="008162BE" w:rsidRPr="00E4714B">
        <w:rPr>
          <w:color w:val="7030A0"/>
          <w:sz w:val="20"/>
          <w:szCs w:val="20"/>
        </w:rPr>
        <w:t xml:space="preserve">, </w:t>
      </w:r>
      <w:r w:rsidRPr="00E4714B">
        <w:rPr>
          <w:color w:val="7030A0"/>
          <w:sz w:val="20"/>
          <w:szCs w:val="20"/>
        </w:rPr>
        <w:t>Azlul Kalilah Zaghlol</w:t>
      </w:r>
      <w:r w:rsidR="009346A4" w:rsidRPr="00E4714B">
        <w:rPr>
          <w:color w:val="7030A0"/>
          <w:sz w:val="20"/>
          <w:szCs w:val="20"/>
          <w:vertAlign w:val="superscript"/>
        </w:rPr>
        <w:t>1</w:t>
      </w:r>
      <w:r w:rsidR="00A40F39" w:rsidRPr="00E4714B">
        <w:rPr>
          <w:color w:val="7030A0"/>
          <w:sz w:val="20"/>
          <w:szCs w:val="20"/>
        </w:rPr>
        <w:t>, Shafinaz binti Ahmad Nazar</w:t>
      </w:r>
      <w:r w:rsidR="009346A4" w:rsidRPr="00E4714B">
        <w:rPr>
          <w:color w:val="7030A0"/>
          <w:sz w:val="20"/>
          <w:szCs w:val="20"/>
          <w:vertAlign w:val="superscript"/>
        </w:rPr>
        <w:t>2</w:t>
      </w:r>
      <w:r w:rsidR="00F5449B" w:rsidRPr="00E4714B">
        <w:rPr>
          <w:color w:val="7030A0"/>
          <w:sz w:val="20"/>
          <w:szCs w:val="20"/>
        </w:rPr>
        <w:t xml:space="preserve">, </w:t>
      </w:r>
    </w:p>
    <w:p w14:paraId="150F38E8" w14:textId="03D7BC17" w:rsidR="00092005" w:rsidRPr="00E4714B" w:rsidRDefault="00F5449B" w:rsidP="00E4714B">
      <w:pPr>
        <w:pBdr>
          <w:top w:val="nil"/>
          <w:left w:val="nil"/>
          <w:bottom w:val="nil"/>
          <w:right w:val="nil"/>
          <w:between w:val="nil"/>
        </w:pBdr>
        <w:jc w:val="center"/>
        <w:rPr>
          <w:color w:val="7030A0"/>
          <w:sz w:val="20"/>
          <w:szCs w:val="20"/>
          <w:vertAlign w:val="superscript"/>
        </w:rPr>
      </w:pPr>
      <w:r w:rsidRPr="00E4714B">
        <w:rPr>
          <w:color w:val="7030A0"/>
          <w:sz w:val="20"/>
          <w:szCs w:val="20"/>
        </w:rPr>
        <w:t>Pang</w:t>
      </w:r>
      <w:r w:rsidR="009346A4" w:rsidRPr="00E4714B">
        <w:rPr>
          <w:color w:val="7030A0"/>
          <w:sz w:val="20"/>
          <w:szCs w:val="20"/>
        </w:rPr>
        <w:t xml:space="preserve"> Mary</w:t>
      </w:r>
      <w:r w:rsidR="009346A4" w:rsidRPr="00E4714B">
        <w:rPr>
          <w:color w:val="7030A0"/>
          <w:sz w:val="20"/>
          <w:szCs w:val="20"/>
          <w:vertAlign w:val="superscript"/>
        </w:rPr>
        <w:t>3</w:t>
      </w:r>
    </w:p>
    <w:p w14:paraId="0406E9FC" w14:textId="3DF459F8" w:rsidR="00092005" w:rsidRPr="00E4714B" w:rsidRDefault="009346A4" w:rsidP="00E4714B">
      <w:pPr>
        <w:pBdr>
          <w:top w:val="nil"/>
          <w:left w:val="nil"/>
          <w:bottom w:val="nil"/>
          <w:right w:val="nil"/>
          <w:between w:val="nil"/>
        </w:pBdr>
        <w:ind w:firstLine="2"/>
        <w:jc w:val="center"/>
        <w:rPr>
          <w:color w:val="7030A0"/>
          <w:sz w:val="20"/>
          <w:szCs w:val="20"/>
        </w:rPr>
      </w:pPr>
      <w:r w:rsidRPr="00E4714B">
        <w:rPr>
          <w:color w:val="7030A0"/>
          <w:sz w:val="20"/>
          <w:szCs w:val="20"/>
          <w:vertAlign w:val="superscript"/>
        </w:rPr>
        <w:t>1</w:t>
      </w:r>
      <w:r w:rsidR="00E83AAF" w:rsidRPr="00E4714B">
        <w:rPr>
          <w:color w:val="7030A0"/>
          <w:sz w:val="20"/>
          <w:szCs w:val="20"/>
        </w:rPr>
        <w:t>Faculty of Business and Management, UiTM Cawangan Selangor</w:t>
      </w:r>
      <w:r w:rsidRPr="00E4714B">
        <w:rPr>
          <w:color w:val="7030A0"/>
          <w:sz w:val="20"/>
          <w:szCs w:val="20"/>
        </w:rPr>
        <w:t xml:space="preserve"> (Puncak Alam)</w:t>
      </w:r>
      <w:r w:rsidR="00E83AAF" w:rsidRPr="00E4714B">
        <w:rPr>
          <w:color w:val="7030A0"/>
          <w:sz w:val="20"/>
          <w:szCs w:val="20"/>
        </w:rPr>
        <w:t xml:space="preserve">, </w:t>
      </w:r>
      <w:r w:rsidRPr="00E4714B">
        <w:rPr>
          <w:color w:val="7030A0"/>
          <w:sz w:val="20"/>
          <w:szCs w:val="20"/>
        </w:rPr>
        <w:t>Malaysia</w:t>
      </w:r>
    </w:p>
    <w:p w14:paraId="3D8917E5" w14:textId="3F24E0D6" w:rsidR="00A40F39" w:rsidRPr="00E4714B" w:rsidRDefault="009346A4" w:rsidP="00E4714B">
      <w:pPr>
        <w:pBdr>
          <w:top w:val="nil"/>
          <w:left w:val="nil"/>
          <w:bottom w:val="nil"/>
          <w:right w:val="nil"/>
          <w:between w:val="nil"/>
        </w:pBdr>
        <w:ind w:firstLine="2"/>
        <w:jc w:val="center"/>
        <w:rPr>
          <w:color w:val="7030A0"/>
          <w:sz w:val="20"/>
          <w:szCs w:val="20"/>
        </w:rPr>
      </w:pPr>
      <w:r w:rsidRPr="00E4714B">
        <w:rPr>
          <w:color w:val="7030A0"/>
          <w:sz w:val="20"/>
          <w:szCs w:val="20"/>
          <w:vertAlign w:val="superscript"/>
        </w:rPr>
        <w:t>2</w:t>
      </w:r>
      <w:r w:rsidR="00A40F39" w:rsidRPr="00E4714B">
        <w:rPr>
          <w:color w:val="7030A0"/>
          <w:sz w:val="20"/>
          <w:szCs w:val="20"/>
          <w:vertAlign w:val="superscript"/>
        </w:rPr>
        <w:t xml:space="preserve"> </w:t>
      </w:r>
      <w:r w:rsidR="00A40F39" w:rsidRPr="00E4714B">
        <w:rPr>
          <w:color w:val="7030A0"/>
          <w:sz w:val="20"/>
          <w:szCs w:val="20"/>
        </w:rPr>
        <w:t>Faculty of Accountancy and Management, Universiti Tunku Abdul Rahman</w:t>
      </w:r>
      <w:r w:rsidRPr="00E4714B">
        <w:rPr>
          <w:color w:val="7030A0"/>
          <w:sz w:val="20"/>
          <w:szCs w:val="20"/>
        </w:rPr>
        <w:t xml:space="preserve"> (Sg Long), Selangor, Malaysia</w:t>
      </w:r>
    </w:p>
    <w:p w14:paraId="6D324B8B" w14:textId="483D3175" w:rsidR="00A40F39" w:rsidRPr="00E4714B" w:rsidRDefault="009346A4" w:rsidP="00E4714B">
      <w:pPr>
        <w:pBdr>
          <w:top w:val="nil"/>
          <w:left w:val="nil"/>
          <w:bottom w:val="nil"/>
          <w:right w:val="nil"/>
          <w:between w:val="nil"/>
        </w:pBdr>
        <w:ind w:firstLine="2"/>
        <w:jc w:val="center"/>
        <w:rPr>
          <w:color w:val="7030A0"/>
          <w:sz w:val="20"/>
          <w:szCs w:val="20"/>
        </w:rPr>
      </w:pPr>
      <w:r w:rsidRPr="00E4714B">
        <w:rPr>
          <w:color w:val="7030A0"/>
          <w:sz w:val="20"/>
          <w:szCs w:val="20"/>
          <w:vertAlign w:val="superscript"/>
        </w:rPr>
        <w:t>3</w:t>
      </w:r>
      <w:r w:rsidRPr="00E4714B">
        <w:rPr>
          <w:color w:val="7030A0"/>
          <w:sz w:val="20"/>
          <w:szCs w:val="20"/>
        </w:rPr>
        <w:t xml:space="preserve">Faculty of Business, Hospitality and Humanities, </w:t>
      </w:r>
      <w:r w:rsidR="006B54BD" w:rsidRPr="00E4714B">
        <w:rPr>
          <w:color w:val="7030A0"/>
          <w:sz w:val="20"/>
          <w:szCs w:val="20"/>
        </w:rPr>
        <w:t>Nilai University,</w:t>
      </w:r>
      <w:r w:rsidRPr="00E4714B">
        <w:rPr>
          <w:color w:val="7030A0"/>
          <w:sz w:val="20"/>
          <w:szCs w:val="20"/>
        </w:rPr>
        <w:t xml:space="preserve"> Malaysia</w:t>
      </w:r>
    </w:p>
    <w:p w14:paraId="6A6DE998" w14:textId="0CFDE8C6" w:rsidR="00E83AAF" w:rsidRPr="00E4714B" w:rsidRDefault="00E83AAF" w:rsidP="00E4714B">
      <w:pPr>
        <w:pBdr>
          <w:top w:val="nil"/>
          <w:left w:val="nil"/>
          <w:bottom w:val="nil"/>
          <w:right w:val="nil"/>
          <w:between w:val="nil"/>
        </w:pBdr>
        <w:ind w:firstLine="2"/>
        <w:jc w:val="center"/>
        <w:rPr>
          <w:color w:val="7030A0"/>
          <w:sz w:val="20"/>
          <w:szCs w:val="20"/>
          <w:vertAlign w:val="superscript"/>
        </w:rPr>
      </w:pPr>
      <w:r w:rsidRPr="00E4714B">
        <w:rPr>
          <w:color w:val="7030A0"/>
          <w:sz w:val="20"/>
          <w:szCs w:val="20"/>
        </w:rPr>
        <w:t>sitihidayah@uitm.edu.my</w:t>
      </w:r>
      <w:r w:rsidR="006B54BD" w:rsidRPr="00E4714B">
        <w:rPr>
          <w:color w:val="7030A0"/>
          <w:sz w:val="20"/>
          <w:szCs w:val="20"/>
        </w:rPr>
        <w:t>*</w:t>
      </w:r>
      <w:r w:rsidRPr="00E4714B">
        <w:rPr>
          <w:color w:val="7030A0"/>
          <w:sz w:val="20"/>
          <w:szCs w:val="20"/>
        </w:rPr>
        <w:t>, meishan@uitm.edu.my, azlulkalilah@uitm.edu.my</w:t>
      </w:r>
      <w:r w:rsidR="00A40F39" w:rsidRPr="00E4714B">
        <w:rPr>
          <w:color w:val="7030A0"/>
          <w:sz w:val="20"/>
          <w:szCs w:val="20"/>
        </w:rPr>
        <w:t xml:space="preserve">, </w:t>
      </w:r>
      <w:r w:rsidR="00E4714B" w:rsidRPr="00E4714B">
        <w:rPr>
          <w:color w:val="7030A0"/>
          <w:sz w:val="20"/>
          <w:szCs w:val="20"/>
        </w:rPr>
        <w:t>shafinaz@utar.edu.my</w:t>
      </w:r>
      <w:r w:rsidR="009346A4" w:rsidRPr="00E4714B">
        <w:rPr>
          <w:color w:val="7030A0"/>
          <w:sz w:val="20"/>
          <w:szCs w:val="20"/>
        </w:rPr>
        <w:t>,</w:t>
      </w:r>
      <w:r w:rsidR="00E4714B" w:rsidRPr="00E4714B">
        <w:rPr>
          <w:color w:val="7030A0"/>
          <w:sz w:val="20"/>
          <w:szCs w:val="20"/>
        </w:rPr>
        <w:t xml:space="preserve"> </w:t>
      </w:r>
      <w:r w:rsidR="009346A4" w:rsidRPr="00E4714B">
        <w:rPr>
          <w:rFonts w:cs="Times New Roman"/>
          <w:color w:val="7030A0"/>
          <w:sz w:val="20"/>
          <w:szCs w:val="20"/>
        </w:rPr>
        <w:t>marypang@nilai.edu.my</w:t>
      </w:r>
    </w:p>
    <w:p w14:paraId="1692ABEE" w14:textId="15A752A6" w:rsidR="00092005" w:rsidRPr="00E4714B" w:rsidRDefault="00092005" w:rsidP="00E4714B">
      <w:pPr>
        <w:pBdr>
          <w:top w:val="nil"/>
          <w:left w:val="nil"/>
          <w:bottom w:val="nil"/>
          <w:right w:val="nil"/>
          <w:between w:val="nil"/>
        </w:pBdr>
        <w:ind w:firstLine="2"/>
        <w:jc w:val="center"/>
        <w:rPr>
          <w:sz w:val="20"/>
          <w:szCs w:val="20"/>
        </w:rPr>
      </w:pPr>
    </w:p>
    <w:p w14:paraId="68AFCE0E" w14:textId="33659266" w:rsidR="00BD62AA" w:rsidRPr="00E4714B" w:rsidRDefault="00000000" w:rsidP="00E4714B">
      <w:pPr>
        <w:pBdr>
          <w:top w:val="nil"/>
          <w:left w:val="nil"/>
          <w:bottom w:val="nil"/>
          <w:right w:val="nil"/>
          <w:between w:val="nil"/>
        </w:pBdr>
        <w:jc w:val="both"/>
        <w:rPr>
          <w:sz w:val="20"/>
          <w:szCs w:val="20"/>
        </w:rPr>
      </w:pPr>
      <w:r w:rsidRPr="00E4714B">
        <w:rPr>
          <w:b/>
          <w:color w:val="000000"/>
          <w:sz w:val="20"/>
          <w:szCs w:val="20"/>
        </w:rPr>
        <w:t xml:space="preserve">Abstract: </w:t>
      </w:r>
      <w:r w:rsidR="00226456" w:rsidRPr="00E4714B">
        <w:rPr>
          <w:sz w:val="20"/>
          <w:szCs w:val="20"/>
        </w:rPr>
        <w:t xml:space="preserve">Malaysia, celebrated for its rich cultural diversity, vibrant cities, and pristine natural landscapes, stands prominently on the global tourism map. However, the tourism industry is susceptible to the impact of geopolitical risk and economic policy uncertainty. These external factors, shaped by global events and policy changes, can significantly influence the tourism landscape in Malaysia. Given this significance, the study aims to empirically investigate the </w:t>
      </w:r>
      <w:r w:rsidR="00267DD4" w:rsidRPr="00E4714B">
        <w:rPr>
          <w:sz w:val="20"/>
          <w:szCs w:val="20"/>
        </w:rPr>
        <w:t>cointegrating</w:t>
      </w:r>
      <w:r w:rsidR="00226456" w:rsidRPr="00E4714B">
        <w:rPr>
          <w:sz w:val="20"/>
          <w:szCs w:val="20"/>
        </w:rPr>
        <w:t xml:space="preserve"> relationship between international inbound tourism levels</w:t>
      </w:r>
      <w:r w:rsidR="00894849" w:rsidRPr="00E4714B">
        <w:rPr>
          <w:sz w:val="20"/>
          <w:szCs w:val="20"/>
        </w:rPr>
        <w:t xml:space="preserve"> (tourist arrivals)</w:t>
      </w:r>
      <w:r w:rsidR="00226456" w:rsidRPr="00E4714B">
        <w:rPr>
          <w:sz w:val="20"/>
          <w:szCs w:val="20"/>
        </w:rPr>
        <w:t>, geopolitical risk</w:t>
      </w:r>
      <w:r w:rsidR="00894849" w:rsidRPr="00E4714B">
        <w:rPr>
          <w:sz w:val="20"/>
          <w:szCs w:val="20"/>
        </w:rPr>
        <w:t xml:space="preserve"> (GPR index)</w:t>
      </w:r>
      <w:r w:rsidR="00226456" w:rsidRPr="00E4714B">
        <w:rPr>
          <w:sz w:val="20"/>
          <w:szCs w:val="20"/>
        </w:rPr>
        <w:t>, and economic policy uncertainty</w:t>
      </w:r>
      <w:r w:rsidR="00894849" w:rsidRPr="00E4714B">
        <w:rPr>
          <w:sz w:val="20"/>
          <w:szCs w:val="20"/>
        </w:rPr>
        <w:t xml:space="preserve"> (EU index)</w:t>
      </w:r>
      <w:r w:rsidR="00226456" w:rsidRPr="00E4714B">
        <w:rPr>
          <w:sz w:val="20"/>
          <w:szCs w:val="20"/>
        </w:rPr>
        <w:t xml:space="preserve"> in Malaysia. </w:t>
      </w:r>
      <w:r w:rsidR="00734696" w:rsidRPr="00E4714B">
        <w:rPr>
          <w:sz w:val="20"/>
          <w:szCs w:val="20"/>
        </w:rPr>
        <w:t>The analysis uses quarterly observations from the first quarter of 2000 to the f</w:t>
      </w:r>
      <w:r w:rsidR="00894849" w:rsidRPr="00E4714B">
        <w:rPr>
          <w:sz w:val="20"/>
          <w:szCs w:val="20"/>
        </w:rPr>
        <w:t>ourth</w:t>
      </w:r>
      <w:r w:rsidR="00734696" w:rsidRPr="00E4714B">
        <w:rPr>
          <w:sz w:val="20"/>
          <w:szCs w:val="20"/>
        </w:rPr>
        <w:t xml:space="preserve"> quarter of 2022.</w:t>
      </w:r>
      <w:r w:rsidR="00894849" w:rsidRPr="00E4714B">
        <w:rPr>
          <w:sz w:val="20"/>
          <w:szCs w:val="20"/>
        </w:rPr>
        <w:t xml:space="preserve"> </w:t>
      </w:r>
      <w:r w:rsidR="00734696" w:rsidRPr="00E4714B">
        <w:rPr>
          <w:sz w:val="20"/>
          <w:szCs w:val="20"/>
        </w:rPr>
        <w:t xml:space="preserve">The study employs </w:t>
      </w:r>
      <w:r w:rsidR="00A33530" w:rsidRPr="00E4714B">
        <w:rPr>
          <w:sz w:val="20"/>
          <w:szCs w:val="20"/>
        </w:rPr>
        <w:t xml:space="preserve">the </w:t>
      </w:r>
      <w:r w:rsidR="008128C3" w:rsidRPr="00E4714B">
        <w:rPr>
          <w:sz w:val="20"/>
          <w:szCs w:val="20"/>
        </w:rPr>
        <w:t xml:space="preserve">Granger Causality test, supported by </w:t>
      </w:r>
      <w:r w:rsidR="00734696" w:rsidRPr="00E4714B">
        <w:rPr>
          <w:sz w:val="20"/>
          <w:szCs w:val="20"/>
        </w:rPr>
        <w:t>structural VAR impulse functions</w:t>
      </w:r>
      <w:r w:rsidR="008128C3" w:rsidRPr="00E4714B">
        <w:rPr>
          <w:sz w:val="20"/>
          <w:szCs w:val="20"/>
        </w:rPr>
        <w:t xml:space="preserve"> and variance decomposition analysis</w:t>
      </w:r>
      <w:r w:rsidR="00734696" w:rsidRPr="00E4714B">
        <w:rPr>
          <w:sz w:val="20"/>
          <w:szCs w:val="20"/>
        </w:rPr>
        <w:t xml:space="preserve"> to illustrate how economic policy uncertainty responds to shocks in tourist arrivals. The significant causal relationship observed moves from tourist arrivals to economic policy uncertainty. In other words, the study implies that variations in tourist arrivals have a lasting impact on economic policy uncertainty but not necessarily on geopolitical risk. This study provides valuable implications for policy planning and decision-making. Policymakers should consider the implications of shifts in tourism patterns for economic policy uncertainty. The absence of a long-term relationship between tourist arrivals and geopolitical risk may suggest conducting separate risk assessments to manage geopolitical risks that may affect the tourism industry in Malaysia.</w:t>
      </w:r>
    </w:p>
    <w:p w14:paraId="149EACAB" w14:textId="77777777" w:rsidR="00734696" w:rsidRPr="00E4714B" w:rsidRDefault="00734696" w:rsidP="00E4714B">
      <w:pPr>
        <w:pBdr>
          <w:top w:val="nil"/>
          <w:left w:val="nil"/>
          <w:bottom w:val="nil"/>
          <w:right w:val="nil"/>
          <w:between w:val="nil"/>
        </w:pBdr>
        <w:jc w:val="both"/>
        <w:rPr>
          <w:color w:val="000000"/>
          <w:sz w:val="20"/>
          <w:szCs w:val="20"/>
        </w:rPr>
      </w:pPr>
    </w:p>
    <w:p w14:paraId="282484CC" w14:textId="09952AF2" w:rsidR="00092005" w:rsidRPr="00E4714B" w:rsidRDefault="00000000" w:rsidP="00E4714B">
      <w:pPr>
        <w:pBdr>
          <w:bottom w:val="single" w:sz="4" w:space="1" w:color="auto"/>
        </w:pBdr>
        <w:jc w:val="both"/>
        <w:rPr>
          <w:i/>
          <w:sz w:val="20"/>
          <w:szCs w:val="20"/>
        </w:rPr>
      </w:pPr>
      <w:r w:rsidRPr="00E4714B">
        <w:rPr>
          <w:b/>
          <w:sz w:val="20"/>
          <w:szCs w:val="20"/>
        </w:rPr>
        <w:t>Keywords</w:t>
      </w:r>
      <w:r w:rsidRPr="00E4714B">
        <w:rPr>
          <w:sz w:val="20"/>
          <w:szCs w:val="20"/>
        </w:rPr>
        <w:t xml:space="preserve">: </w:t>
      </w:r>
      <w:r w:rsidR="00C822E9" w:rsidRPr="00E4714B">
        <w:rPr>
          <w:i/>
          <w:sz w:val="20"/>
          <w:szCs w:val="20"/>
        </w:rPr>
        <w:t>tourism</w:t>
      </w:r>
      <w:r w:rsidR="00A40F39" w:rsidRPr="00E4714B">
        <w:rPr>
          <w:i/>
          <w:sz w:val="20"/>
          <w:szCs w:val="20"/>
        </w:rPr>
        <w:t xml:space="preserve">, economic policy uncertainties, geopolitical risk, </w:t>
      </w:r>
      <w:r w:rsidR="00C822E9" w:rsidRPr="00E4714B">
        <w:rPr>
          <w:i/>
          <w:sz w:val="20"/>
          <w:szCs w:val="20"/>
        </w:rPr>
        <w:t>VAR impulse function</w:t>
      </w:r>
      <w:r w:rsidR="00A40F39" w:rsidRPr="00E4714B">
        <w:rPr>
          <w:i/>
          <w:sz w:val="20"/>
          <w:szCs w:val="20"/>
        </w:rPr>
        <w:t>, Malaysia</w:t>
      </w:r>
    </w:p>
    <w:p w14:paraId="1C07578F" w14:textId="3996650B" w:rsidR="00092005" w:rsidRPr="00E4714B" w:rsidRDefault="00092005" w:rsidP="00E4714B">
      <w:pPr>
        <w:pBdr>
          <w:top w:val="nil"/>
          <w:left w:val="nil"/>
          <w:bottom w:val="nil"/>
          <w:right w:val="nil"/>
          <w:between w:val="nil"/>
        </w:pBdr>
        <w:rPr>
          <w:color w:val="000000"/>
          <w:sz w:val="20"/>
          <w:szCs w:val="20"/>
        </w:rPr>
      </w:pPr>
    </w:p>
    <w:p w14:paraId="5FF3F5E9" w14:textId="6047BC7A" w:rsidR="00092005" w:rsidRPr="00E4714B" w:rsidRDefault="00E4714B" w:rsidP="00E4714B">
      <w:pPr>
        <w:pStyle w:val="Heading1"/>
        <w:tabs>
          <w:tab w:val="left" w:pos="447"/>
        </w:tabs>
        <w:ind w:left="0"/>
      </w:pPr>
      <w:r>
        <w:t xml:space="preserve">1. </w:t>
      </w:r>
      <w:r w:rsidR="00000000" w:rsidRPr="00E4714B">
        <w:t>Introduction and Background</w:t>
      </w:r>
    </w:p>
    <w:p w14:paraId="2D2DDCA3" w14:textId="77777777" w:rsidR="00092005" w:rsidRPr="00E4714B" w:rsidRDefault="00092005" w:rsidP="00E4714B">
      <w:pPr>
        <w:pBdr>
          <w:top w:val="nil"/>
          <w:left w:val="nil"/>
          <w:bottom w:val="nil"/>
          <w:right w:val="nil"/>
          <w:between w:val="nil"/>
        </w:pBdr>
        <w:rPr>
          <w:b/>
          <w:color w:val="000000"/>
          <w:sz w:val="20"/>
          <w:szCs w:val="20"/>
        </w:rPr>
      </w:pPr>
    </w:p>
    <w:p w14:paraId="1F45C70B" w14:textId="4A625F1F" w:rsidR="0090410A" w:rsidRPr="00E4714B" w:rsidRDefault="00734696" w:rsidP="00E4714B">
      <w:pPr>
        <w:pBdr>
          <w:top w:val="nil"/>
          <w:left w:val="nil"/>
          <w:bottom w:val="nil"/>
          <w:right w:val="nil"/>
          <w:between w:val="nil"/>
        </w:pBdr>
        <w:jc w:val="both"/>
        <w:rPr>
          <w:color w:val="252525"/>
          <w:sz w:val="20"/>
          <w:szCs w:val="20"/>
        </w:rPr>
      </w:pPr>
      <w:r w:rsidRPr="00E4714B">
        <w:rPr>
          <w:color w:val="252525"/>
          <w:sz w:val="20"/>
          <w:szCs w:val="20"/>
        </w:rPr>
        <w:t>Research in the tourism area is of paramount importance in today’s globalized and interrelated world. It comprises a multidisciplinary field that investigates various aspects of tourists’ attraction factors, travel services, accommodations, hospitality, and policies and their impacts on tourists, communities, economies, and the environment. According to the World Travel and Tourism Council (2021), travel and tourism are two of the world’s largest and most important sectors, comprising approximately 80% of small and medium-sized enterprises (SMEs). The sector holds significant importance in promoting socio-economic development, job creation, and empowering women, youth, and other societal groups in many countries. In light of the high interdependence of the global landscape, it has become imperative for all countries to become crisis-ready, especially in times of high uncertainty. It is worth noting that the primary concern is not about the type of crisis that happens but rather about the preparation, management, and responses by the affected economies.</w:t>
      </w:r>
    </w:p>
    <w:p w14:paraId="4322A642" w14:textId="77777777" w:rsidR="00734696" w:rsidRPr="00E4714B" w:rsidRDefault="00734696" w:rsidP="00E4714B">
      <w:pPr>
        <w:pBdr>
          <w:top w:val="nil"/>
          <w:left w:val="nil"/>
          <w:bottom w:val="nil"/>
          <w:right w:val="nil"/>
          <w:between w:val="nil"/>
        </w:pBdr>
        <w:jc w:val="both"/>
        <w:rPr>
          <w:color w:val="252525"/>
          <w:sz w:val="20"/>
          <w:szCs w:val="20"/>
        </w:rPr>
      </w:pPr>
    </w:p>
    <w:p w14:paraId="52F1B10F" w14:textId="6747F280" w:rsidR="0090410A" w:rsidRPr="00E4714B" w:rsidRDefault="0090410A" w:rsidP="00E4714B">
      <w:pPr>
        <w:pBdr>
          <w:top w:val="nil"/>
          <w:left w:val="nil"/>
          <w:bottom w:val="nil"/>
          <w:right w:val="nil"/>
          <w:between w:val="nil"/>
        </w:pBdr>
        <w:jc w:val="both"/>
        <w:rPr>
          <w:color w:val="252525"/>
          <w:sz w:val="20"/>
          <w:szCs w:val="20"/>
        </w:rPr>
      </w:pPr>
      <w:r w:rsidRPr="00E4714B">
        <w:rPr>
          <w:color w:val="252525"/>
          <w:sz w:val="20"/>
          <w:szCs w:val="20"/>
        </w:rPr>
        <w:t xml:space="preserve">Malaysia’s economy is highly dependent on international trade. The level of the country’s exports contributes significantly to a portion of its GDP. Based on statistics provided by the World Bank, as of 2022, the country’s international trade accounted for 141% of the total GDP. Despite the relatively low level of geopolitical risk and economic policy uncertainty index in the country, these factors remain significant for Malaysia's economic condition. This is because any disturbance in global trade, regardless of regional conflicts, trade disputes, or international tensions, can directly affect Malaysia's economic well-being. In addition, Malaysia also depends on tourism and foreign direct investment (FDI) to increase its economic growth. Geopolitical risk and economic policy uncertainties may affect </w:t>
      </w:r>
      <w:r w:rsidR="00A33530" w:rsidRPr="00E4714B">
        <w:rPr>
          <w:color w:val="252525"/>
          <w:sz w:val="20"/>
          <w:szCs w:val="20"/>
        </w:rPr>
        <w:t>tourists'</w:t>
      </w:r>
      <w:r w:rsidRPr="00E4714B">
        <w:rPr>
          <w:color w:val="252525"/>
          <w:sz w:val="20"/>
          <w:szCs w:val="20"/>
        </w:rPr>
        <w:t xml:space="preserve"> and foreign investors’ willingness to spend money and invest in the country.</w:t>
      </w:r>
    </w:p>
    <w:p w14:paraId="1D2271E8" w14:textId="77777777" w:rsidR="0090410A" w:rsidRPr="00E4714B" w:rsidRDefault="0090410A" w:rsidP="00E4714B">
      <w:pPr>
        <w:pBdr>
          <w:top w:val="nil"/>
          <w:left w:val="nil"/>
          <w:bottom w:val="nil"/>
          <w:right w:val="nil"/>
          <w:between w:val="nil"/>
        </w:pBdr>
        <w:jc w:val="both"/>
        <w:rPr>
          <w:color w:val="252525"/>
          <w:sz w:val="20"/>
          <w:szCs w:val="20"/>
        </w:rPr>
      </w:pPr>
    </w:p>
    <w:p w14:paraId="23339C08" w14:textId="17A1D05A" w:rsidR="0090410A" w:rsidRPr="00E4714B" w:rsidRDefault="00734696" w:rsidP="00E4714B">
      <w:pPr>
        <w:pBdr>
          <w:top w:val="nil"/>
          <w:left w:val="nil"/>
          <w:bottom w:val="nil"/>
          <w:right w:val="nil"/>
          <w:between w:val="nil"/>
        </w:pBdr>
        <w:jc w:val="both"/>
        <w:rPr>
          <w:color w:val="252525"/>
          <w:sz w:val="20"/>
          <w:szCs w:val="20"/>
        </w:rPr>
      </w:pPr>
      <w:r w:rsidRPr="00E4714B">
        <w:rPr>
          <w:color w:val="252525"/>
          <w:sz w:val="20"/>
          <w:szCs w:val="20"/>
        </w:rPr>
        <w:t xml:space="preserve">This study aims to analyze the significance of geopolitical risk and economic policy uncertainties concerning the Malaysian economy. Specifically, this study examines the tourism sector to fill the gap in existing research </w:t>
      </w:r>
      <w:r w:rsidRPr="00E4714B">
        <w:rPr>
          <w:color w:val="252525"/>
          <w:sz w:val="20"/>
          <w:szCs w:val="20"/>
        </w:rPr>
        <w:lastRenderedPageBreak/>
        <w:t xml:space="preserve">regarding the impacts of geopolitical risk and economic policy uncertainties on the tourism market. Following </w:t>
      </w:r>
      <w:r w:rsidR="00912653" w:rsidRPr="00E4714B">
        <w:rPr>
          <w:color w:val="252525"/>
          <w:sz w:val="20"/>
          <w:szCs w:val="20"/>
        </w:rPr>
        <w:t>Caldara and Iacoviello</w:t>
      </w:r>
      <w:r w:rsidRPr="00E4714B">
        <w:rPr>
          <w:color w:val="252525"/>
          <w:sz w:val="20"/>
          <w:szCs w:val="20"/>
        </w:rPr>
        <w:t xml:space="preserve"> (202</w:t>
      </w:r>
      <w:r w:rsidR="00912653" w:rsidRPr="00E4714B">
        <w:rPr>
          <w:color w:val="252525"/>
          <w:sz w:val="20"/>
          <w:szCs w:val="20"/>
        </w:rPr>
        <w:t>2</w:t>
      </w:r>
      <w:r w:rsidRPr="00E4714B">
        <w:rPr>
          <w:color w:val="252525"/>
          <w:sz w:val="20"/>
          <w:szCs w:val="20"/>
        </w:rPr>
        <w:t xml:space="preserve">), this study defines the geopolitical risk index as a measure of adverse geopolitical events and associated risks based on a tally of newspaper articles that cover geopolitical tensions and their evolution and economic effects since 1900. </w:t>
      </w:r>
      <w:r w:rsidR="00301009" w:rsidRPr="00E4714B">
        <w:rPr>
          <w:color w:val="252525"/>
          <w:sz w:val="20"/>
          <w:szCs w:val="20"/>
        </w:rPr>
        <w:t>The economic policy uncertainty index, as defined by Ahir et al. (2022), is determined by the frequency of the word 'uncertainty' in quarterly Economist Intelligence Unit country reports</w:t>
      </w:r>
      <w:r w:rsidRPr="00E4714B">
        <w:rPr>
          <w:color w:val="252525"/>
          <w:sz w:val="20"/>
          <w:szCs w:val="20"/>
        </w:rPr>
        <w:t xml:space="preserve">. </w:t>
      </w:r>
      <w:r w:rsidR="00301009" w:rsidRPr="00E4714B">
        <w:rPr>
          <w:color w:val="252525"/>
          <w:sz w:val="20"/>
          <w:szCs w:val="20"/>
        </w:rPr>
        <w:t>Specifically, these two indices highlight words related to threats and uncertainty as reported in various global reports and newspapers.</w:t>
      </w:r>
      <w:r w:rsidRPr="00E4714B">
        <w:rPr>
          <w:color w:val="252525"/>
          <w:sz w:val="20"/>
          <w:szCs w:val="20"/>
        </w:rPr>
        <w:t xml:space="preserve"> Past literature in the same </w:t>
      </w:r>
      <w:r w:rsidR="00E4714B" w:rsidRPr="00E4714B">
        <w:rPr>
          <w:color w:val="252525"/>
          <w:sz w:val="20"/>
          <w:szCs w:val="20"/>
        </w:rPr>
        <w:t>study area</w:t>
      </w:r>
      <w:r w:rsidRPr="00E4714B">
        <w:rPr>
          <w:color w:val="252525"/>
          <w:sz w:val="20"/>
          <w:szCs w:val="20"/>
        </w:rPr>
        <w:t xml:space="preserve"> lacked a standardized approach for quantifying uncertainty (Zhang et al., 2022). In addition, the importance of geopolitical factors in shaping macroeconomic outcomes has not been the subject of systematic empirical analysis (Caldara and Iacoviello, 2022). </w:t>
      </w:r>
      <w:r w:rsidR="00301009" w:rsidRPr="00E4714B">
        <w:rPr>
          <w:color w:val="252525"/>
          <w:sz w:val="20"/>
          <w:szCs w:val="20"/>
        </w:rPr>
        <w:t>The creation of the geopolitical risk (GPR) and economic policy uncertainty (EPU) indices provides additional evidence linking economic policy uncertainty and geopolitical issues.</w:t>
      </w:r>
    </w:p>
    <w:p w14:paraId="030BE998" w14:textId="77777777" w:rsidR="00734696" w:rsidRPr="00E4714B" w:rsidRDefault="00734696" w:rsidP="00E4714B">
      <w:pPr>
        <w:pBdr>
          <w:top w:val="nil"/>
          <w:left w:val="nil"/>
          <w:bottom w:val="nil"/>
          <w:right w:val="nil"/>
          <w:between w:val="nil"/>
        </w:pBdr>
        <w:jc w:val="both"/>
        <w:rPr>
          <w:color w:val="252525"/>
          <w:sz w:val="20"/>
          <w:szCs w:val="20"/>
        </w:rPr>
      </w:pPr>
    </w:p>
    <w:p w14:paraId="23ACB5A0" w14:textId="30CA9A56" w:rsidR="003072E4" w:rsidRPr="00E4714B" w:rsidRDefault="0090410A" w:rsidP="00E4714B">
      <w:pPr>
        <w:pBdr>
          <w:top w:val="nil"/>
          <w:left w:val="nil"/>
          <w:bottom w:val="nil"/>
          <w:right w:val="nil"/>
          <w:between w:val="nil"/>
        </w:pBdr>
        <w:jc w:val="both"/>
        <w:rPr>
          <w:sz w:val="20"/>
          <w:szCs w:val="20"/>
          <w:lang w:val="en-MY"/>
        </w:rPr>
      </w:pPr>
      <w:r w:rsidRPr="00E4714B">
        <w:rPr>
          <w:color w:val="252525"/>
          <w:sz w:val="20"/>
          <w:szCs w:val="20"/>
        </w:rPr>
        <w:t xml:space="preserve">The contribution of this paper to the literature is twofold. First, we contribute to </w:t>
      </w:r>
      <w:r w:rsidR="00A33530" w:rsidRPr="00E4714B">
        <w:rPr>
          <w:color w:val="252525"/>
          <w:sz w:val="20"/>
          <w:szCs w:val="20"/>
        </w:rPr>
        <w:t xml:space="preserve">the </w:t>
      </w:r>
      <w:r w:rsidRPr="00E4714B">
        <w:rPr>
          <w:color w:val="252525"/>
          <w:sz w:val="20"/>
          <w:szCs w:val="20"/>
        </w:rPr>
        <w:t xml:space="preserve">limited body of literature on the nexus between GPR and tourism using unified and recently developed </w:t>
      </w:r>
      <w:r w:rsidR="00A33530" w:rsidRPr="00E4714B">
        <w:rPr>
          <w:color w:val="252525"/>
          <w:sz w:val="20"/>
          <w:szCs w:val="20"/>
        </w:rPr>
        <w:t>measures</w:t>
      </w:r>
      <w:r w:rsidRPr="00E4714B">
        <w:rPr>
          <w:color w:val="252525"/>
          <w:sz w:val="20"/>
          <w:szCs w:val="20"/>
        </w:rPr>
        <w:t xml:space="preserve"> of uncertainty lacking in earlier literature. The advantage of using unified measures of uncertainty in the study of tourism demand is that our model can provide stronger affirmation of the tourism-led growth hypothesis which can contribute to </w:t>
      </w:r>
      <w:r w:rsidR="00A33530" w:rsidRPr="00E4714B">
        <w:rPr>
          <w:color w:val="252525"/>
          <w:sz w:val="20"/>
          <w:szCs w:val="20"/>
        </w:rPr>
        <w:t xml:space="preserve">the </w:t>
      </w:r>
      <w:r w:rsidRPr="00E4714B">
        <w:rPr>
          <w:color w:val="252525"/>
          <w:sz w:val="20"/>
          <w:szCs w:val="20"/>
        </w:rPr>
        <w:t xml:space="preserve">more contextual discussion of the empirical evidence about the link between uncertainty in geopolitical </w:t>
      </w:r>
      <w:r w:rsidR="00A33530" w:rsidRPr="00E4714B">
        <w:rPr>
          <w:color w:val="252525"/>
          <w:sz w:val="20"/>
          <w:szCs w:val="20"/>
        </w:rPr>
        <w:t>conditions</w:t>
      </w:r>
      <w:r w:rsidRPr="00E4714B">
        <w:rPr>
          <w:color w:val="252525"/>
          <w:sz w:val="20"/>
          <w:szCs w:val="20"/>
        </w:rPr>
        <w:t xml:space="preserve">, economic policy and tourism track the effect of GPR on the economy more closely in real-time. Second, we employ the structural VAR impulse response function to demonstrate how economic policy uncertainty </w:t>
      </w:r>
      <w:r w:rsidR="00A33530" w:rsidRPr="00E4714B">
        <w:rPr>
          <w:color w:val="252525"/>
          <w:sz w:val="20"/>
          <w:szCs w:val="20"/>
        </w:rPr>
        <w:t>reacts</w:t>
      </w:r>
      <w:r w:rsidRPr="00E4714B">
        <w:rPr>
          <w:color w:val="252525"/>
          <w:sz w:val="20"/>
          <w:szCs w:val="20"/>
        </w:rPr>
        <w:t xml:space="preserve"> to a shock in the number of tourist arrivals. To the best of our knowledge, no other study has been conducted to validate the impact of geopolitical tensions and economic policy uncertainty on international inbound tourist arrivals in the context of Malaysia. In addition, the use of robust econometric techniques such as </w:t>
      </w:r>
      <w:r w:rsidR="00A33530" w:rsidRPr="00E4714B">
        <w:rPr>
          <w:color w:val="252525"/>
          <w:sz w:val="20"/>
          <w:szCs w:val="20"/>
        </w:rPr>
        <w:t xml:space="preserve">the </w:t>
      </w:r>
      <w:r w:rsidRPr="00E4714B">
        <w:rPr>
          <w:color w:val="252525"/>
          <w:sz w:val="20"/>
          <w:szCs w:val="20"/>
        </w:rPr>
        <w:t xml:space="preserve">structural VAR model and impulse response function may </w:t>
      </w:r>
      <w:r w:rsidR="00A33530" w:rsidRPr="00E4714B">
        <w:rPr>
          <w:color w:val="252525"/>
          <w:sz w:val="20"/>
          <w:szCs w:val="20"/>
        </w:rPr>
        <w:t>result</w:t>
      </w:r>
      <w:r w:rsidRPr="00E4714B">
        <w:rPr>
          <w:color w:val="252525"/>
          <w:sz w:val="20"/>
          <w:szCs w:val="20"/>
        </w:rPr>
        <w:t xml:space="preserve"> in a model with greater explanatory power </w:t>
      </w:r>
      <w:r w:rsidR="00A33530" w:rsidRPr="00E4714B">
        <w:rPr>
          <w:color w:val="252525"/>
          <w:sz w:val="20"/>
          <w:szCs w:val="20"/>
        </w:rPr>
        <w:t>about</w:t>
      </w:r>
      <w:r w:rsidRPr="00E4714B">
        <w:rPr>
          <w:color w:val="252525"/>
          <w:sz w:val="20"/>
          <w:szCs w:val="20"/>
        </w:rPr>
        <w:t xml:space="preserve"> the variations in tourist arrivals in response to changes in geopolitical risk level and economic policy uncertainty. </w:t>
      </w:r>
      <w:r w:rsidR="003072E4" w:rsidRPr="00E4714B">
        <w:rPr>
          <w:sz w:val="20"/>
          <w:szCs w:val="20"/>
          <w:lang w:val="en-MY"/>
        </w:rPr>
        <w:t xml:space="preserve">The remaining sections of the paper are </w:t>
      </w:r>
      <w:r w:rsidR="00E4714B" w:rsidRPr="00E4714B">
        <w:rPr>
          <w:sz w:val="20"/>
          <w:szCs w:val="20"/>
          <w:lang w:val="en-MY"/>
        </w:rPr>
        <w:t>organized</w:t>
      </w:r>
      <w:r w:rsidR="003072E4" w:rsidRPr="00E4714B">
        <w:rPr>
          <w:sz w:val="20"/>
          <w:szCs w:val="20"/>
          <w:lang w:val="en-MY"/>
        </w:rPr>
        <w:t xml:space="preserve"> in the following manner: Section 2 examines the relationships between GPR, EPU, and tourism as discussed in past </w:t>
      </w:r>
      <w:r w:rsidR="00E4714B" w:rsidRPr="00E4714B">
        <w:rPr>
          <w:sz w:val="20"/>
          <w:szCs w:val="20"/>
          <w:lang w:val="en-MY"/>
        </w:rPr>
        <w:t>literature</w:t>
      </w:r>
      <w:r w:rsidR="003072E4" w:rsidRPr="00E4714B">
        <w:rPr>
          <w:sz w:val="20"/>
          <w:szCs w:val="20"/>
          <w:lang w:val="en-MY"/>
        </w:rPr>
        <w:t>. Section 3 explores data sets and research methodology. The findings and analysis are located in Section 4, followed by Section 5, which provides a conclusion to the article along with observations on the policy implications of the findings.</w:t>
      </w:r>
    </w:p>
    <w:p w14:paraId="7ACB6206" w14:textId="33C07DE3" w:rsidR="00092005" w:rsidRPr="00E4714B" w:rsidRDefault="00092005" w:rsidP="00E4714B">
      <w:pPr>
        <w:pBdr>
          <w:top w:val="nil"/>
          <w:left w:val="nil"/>
          <w:bottom w:val="nil"/>
          <w:right w:val="nil"/>
          <w:between w:val="nil"/>
        </w:pBdr>
        <w:jc w:val="both"/>
        <w:rPr>
          <w:color w:val="000000"/>
          <w:sz w:val="20"/>
          <w:szCs w:val="20"/>
        </w:rPr>
      </w:pPr>
    </w:p>
    <w:p w14:paraId="2D7E6AF9" w14:textId="6D8A8011" w:rsidR="00092005" w:rsidRPr="00E4714B" w:rsidRDefault="00E4714B" w:rsidP="00E4714B">
      <w:pPr>
        <w:pStyle w:val="Heading1"/>
        <w:tabs>
          <w:tab w:val="left" w:pos="447"/>
        </w:tabs>
        <w:ind w:left="0"/>
      </w:pPr>
      <w:r>
        <w:t xml:space="preserve">2. </w:t>
      </w:r>
      <w:r w:rsidR="00000000" w:rsidRPr="00E4714B">
        <w:t>Literature Review</w:t>
      </w:r>
    </w:p>
    <w:p w14:paraId="65DAAE04" w14:textId="77777777" w:rsidR="00092005" w:rsidRPr="00E4714B" w:rsidRDefault="00092005" w:rsidP="00E4714B">
      <w:pPr>
        <w:pBdr>
          <w:top w:val="nil"/>
          <w:left w:val="nil"/>
          <w:bottom w:val="nil"/>
          <w:right w:val="nil"/>
          <w:between w:val="nil"/>
        </w:pBdr>
        <w:rPr>
          <w:b/>
          <w:color w:val="000000"/>
          <w:sz w:val="20"/>
          <w:szCs w:val="20"/>
        </w:rPr>
      </w:pPr>
    </w:p>
    <w:p w14:paraId="5AC8F8DC" w14:textId="42C112B5" w:rsidR="00117179" w:rsidRPr="00E4714B" w:rsidRDefault="003B447E" w:rsidP="00E4714B">
      <w:pPr>
        <w:pBdr>
          <w:top w:val="nil"/>
          <w:left w:val="nil"/>
          <w:bottom w:val="nil"/>
          <w:right w:val="nil"/>
          <w:between w:val="nil"/>
        </w:pBdr>
        <w:jc w:val="both"/>
        <w:rPr>
          <w:bCs/>
          <w:sz w:val="20"/>
          <w:szCs w:val="20"/>
        </w:rPr>
      </w:pPr>
      <w:r w:rsidRPr="00E4714B">
        <w:rPr>
          <w:b/>
          <w:sz w:val="20"/>
          <w:szCs w:val="20"/>
        </w:rPr>
        <w:t>International Inbound Tourism in Malaysia</w:t>
      </w:r>
      <w:r w:rsidR="00204963" w:rsidRPr="00E4714B">
        <w:rPr>
          <w:b/>
          <w:sz w:val="20"/>
          <w:szCs w:val="20"/>
        </w:rPr>
        <w:t xml:space="preserve">: </w:t>
      </w:r>
      <w:r w:rsidR="00E70C14" w:rsidRPr="00E4714B">
        <w:rPr>
          <w:bCs/>
          <w:sz w:val="20"/>
          <w:szCs w:val="20"/>
        </w:rPr>
        <w:t>Malaysia has been a popular tourist destination, attracting millions of international tourists annually. As of 2022, Malaysia has recorded 10,070,964 tourist arrivals, which is over a 100% increase from 2020 (Malaysia Tourism Promotion Board, 2022). Considering the post-pandemic period, Malaysia has shown commendable growth in tourist arrivals after the two-year hiatus due to the global COVID-19 pandemic. Key sources of international visitors for Malaysia in 2022 were Singapore, Indonesia, Thailand, India, and Brunei. Malaysia possesses a diverse range of attractions, including its cultural diversity, pristine beaches, lush rainforests, and vibrant cities. Among the popular destinations are Pahang, Perak, Selangor, Johor, and Kedah. Besides attractive destinations to visit, Malaysia is also known for its cultural diversity, which includes a blend of Malaysian, Chinese, Indian, and indigenous influences. The multicultural setting has also allowed the country and visitors to celebrate its diversity through various cultural festivals, religious practices, and culinary delights, which have a significant influence on tourists' perceptions and as a tourism product (Samsudin and Fuza, 2021; Muzaini, 2018</w:t>
      </w:r>
      <w:r w:rsidR="00912653" w:rsidRPr="00E4714B">
        <w:rPr>
          <w:bCs/>
          <w:sz w:val="20"/>
          <w:szCs w:val="20"/>
        </w:rPr>
        <w:t xml:space="preserve">). </w:t>
      </w:r>
      <w:r w:rsidR="00E70C14" w:rsidRPr="00E4714B">
        <w:rPr>
          <w:bCs/>
          <w:sz w:val="20"/>
          <w:szCs w:val="20"/>
        </w:rPr>
        <w:t>The tourism industry in Malaysia, like many others, also faces challenges such as global economic changes, natural disasters, and most recently, the COVID-19 pandemic. In addition, factors involving geopolitical risk and economic uncertainty also affect the Malaysian tourism industry.</w:t>
      </w:r>
    </w:p>
    <w:p w14:paraId="338863CF" w14:textId="77777777" w:rsidR="00E9352B" w:rsidRPr="00E4714B" w:rsidRDefault="00E9352B" w:rsidP="00E4714B">
      <w:pPr>
        <w:pBdr>
          <w:top w:val="nil"/>
          <w:left w:val="nil"/>
          <w:bottom w:val="nil"/>
          <w:right w:val="nil"/>
          <w:between w:val="nil"/>
        </w:pBdr>
        <w:jc w:val="both"/>
        <w:rPr>
          <w:bCs/>
          <w:sz w:val="20"/>
          <w:szCs w:val="20"/>
        </w:rPr>
      </w:pPr>
    </w:p>
    <w:p w14:paraId="37F9559A" w14:textId="70EF5894" w:rsidR="00117179" w:rsidRPr="00E4714B" w:rsidRDefault="003B447E" w:rsidP="00E4714B">
      <w:pPr>
        <w:pBdr>
          <w:top w:val="nil"/>
          <w:left w:val="nil"/>
          <w:bottom w:val="nil"/>
          <w:right w:val="nil"/>
          <w:between w:val="nil"/>
        </w:pBdr>
        <w:jc w:val="both"/>
        <w:rPr>
          <w:bCs/>
          <w:sz w:val="20"/>
          <w:szCs w:val="20"/>
        </w:rPr>
      </w:pPr>
      <w:r w:rsidRPr="00E4714B">
        <w:rPr>
          <w:b/>
          <w:sz w:val="20"/>
          <w:szCs w:val="20"/>
        </w:rPr>
        <w:t>Geopolitical Risk and Tourism</w:t>
      </w:r>
      <w:r w:rsidR="00E15836" w:rsidRPr="00E4714B">
        <w:rPr>
          <w:b/>
          <w:sz w:val="20"/>
          <w:szCs w:val="20"/>
        </w:rPr>
        <w:t xml:space="preserve">: </w:t>
      </w:r>
      <w:r w:rsidR="00E15836" w:rsidRPr="00E4714B">
        <w:rPr>
          <w:bCs/>
          <w:sz w:val="20"/>
          <w:szCs w:val="20"/>
        </w:rPr>
        <w:t>Geopolitical risk (GPR) can be defined as the shifts in the relationships between countries or regions (Mokdadi and Saadaoui, 2023) and is a global phenomenon, continuously flowing and interconnected from one country to another (H</w:t>
      </w:r>
      <w:r w:rsidR="00C41F12" w:rsidRPr="00E4714B">
        <w:rPr>
          <w:bCs/>
          <w:sz w:val="20"/>
          <w:szCs w:val="20"/>
        </w:rPr>
        <w:t>a</w:t>
      </w:r>
      <w:r w:rsidR="00E15836" w:rsidRPr="00E4714B">
        <w:rPr>
          <w:bCs/>
          <w:sz w:val="20"/>
          <w:szCs w:val="20"/>
        </w:rPr>
        <w:t xml:space="preserve">san et al., 2020). </w:t>
      </w:r>
      <w:r w:rsidR="00117179" w:rsidRPr="00E4714B">
        <w:rPr>
          <w:bCs/>
          <w:sz w:val="20"/>
          <w:szCs w:val="20"/>
        </w:rPr>
        <w:t xml:space="preserve">Geopolitical risk rises with shifts in the geographic and political factors influencing country relations. Things that happen may be caused by political, economic, or security factors in a specific country which may adversely affect the tourism industry. Geopolitical risks can significantly discourage tourists from visiting a country. Tourists are more inclined to choose safer travel destinations. The presence of </w:t>
      </w:r>
      <w:r w:rsidR="00A33530" w:rsidRPr="00E4714B">
        <w:rPr>
          <w:bCs/>
          <w:sz w:val="20"/>
          <w:szCs w:val="20"/>
        </w:rPr>
        <w:t xml:space="preserve">a </w:t>
      </w:r>
      <w:r w:rsidR="00117179" w:rsidRPr="00E4714B">
        <w:rPr>
          <w:bCs/>
          <w:sz w:val="20"/>
          <w:szCs w:val="20"/>
        </w:rPr>
        <w:t xml:space="preserve">higher level of safety at the travel destination has been found to have a </w:t>
      </w:r>
      <w:r w:rsidR="00117179" w:rsidRPr="00E4714B">
        <w:rPr>
          <w:bCs/>
          <w:sz w:val="20"/>
          <w:szCs w:val="20"/>
        </w:rPr>
        <w:lastRenderedPageBreak/>
        <w:t xml:space="preserve">positive correlation with the destination image. It was found </w:t>
      </w:r>
      <w:r w:rsidR="00A33530" w:rsidRPr="00E4714B">
        <w:rPr>
          <w:bCs/>
          <w:sz w:val="20"/>
          <w:szCs w:val="20"/>
        </w:rPr>
        <w:t>by</w:t>
      </w:r>
      <w:r w:rsidR="00117179" w:rsidRPr="00E4714B">
        <w:rPr>
          <w:bCs/>
          <w:sz w:val="20"/>
          <w:szCs w:val="20"/>
        </w:rPr>
        <w:t xml:space="preserve"> Gavurova et al. (2023) that </w:t>
      </w:r>
      <w:r w:rsidR="00A33530" w:rsidRPr="00E4714B">
        <w:rPr>
          <w:bCs/>
          <w:sz w:val="20"/>
          <w:szCs w:val="20"/>
        </w:rPr>
        <w:t xml:space="preserve">a </w:t>
      </w:r>
      <w:r w:rsidR="00117179" w:rsidRPr="00E4714B">
        <w:rPr>
          <w:bCs/>
          <w:sz w:val="20"/>
          <w:szCs w:val="20"/>
        </w:rPr>
        <w:t xml:space="preserve">higher level of destination safety may be associated with </w:t>
      </w:r>
      <w:r w:rsidR="00A33530" w:rsidRPr="00E4714B">
        <w:rPr>
          <w:bCs/>
          <w:sz w:val="20"/>
          <w:szCs w:val="20"/>
        </w:rPr>
        <w:t xml:space="preserve">a </w:t>
      </w:r>
      <w:r w:rsidR="00117179" w:rsidRPr="00E4714B">
        <w:rPr>
          <w:bCs/>
          <w:sz w:val="20"/>
          <w:szCs w:val="20"/>
        </w:rPr>
        <w:t xml:space="preserve">more positive destination image. In addition, this sense of safety among tourists is constructed at different travel stages not only before a trip but also during and after a trip (Zou and Yu, 2022). Tourists’ </w:t>
      </w:r>
      <w:r w:rsidR="00A33530" w:rsidRPr="00E4714B">
        <w:rPr>
          <w:bCs/>
          <w:sz w:val="20"/>
          <w:szCs w:val="20"/>
        </w:rPr>
        <w:t>perceptions</w:t>
      </w:r>
      <w:r w:rsidR="00117179" w:rsidRPr="00E4714B">
        <w:rPr>
          <w:bCs/>
          <w:sz w:val="20"/>
          <w:szCs w:val="20"/>
        </w:rPr>
        <w:t xml:space="preserve"> during and after a trip may develop a nostalgia effect. Unfavorable travel </w:t>
      </w:r>
      <w:r w:rsidR="00A33530" w:rsidRPr="00E4714B">
        <w:rPr>
          <w:bCs/>
          <w:sz w:val="20"/>
          <w:szCs w:val="20"/>
        </w:rPr>
        <w:t>experiences</w:t>
      </w:r>
      <w:r w:rsidR="00117179" w:rsidRPr="00E4714B">
        <w:rPr>
          <w:bCs/>
          <w:sz w:val="20"/>
          <w:szCs w:val="20"/>
        </w:rPr>
        <w:t xml:space="preserve"> perceived by tourists may dissuade revisit intention as a result of </w:t>
      </w:r>
      <w:r w:rsidR="00A33530" w:rsidRPr="00E4714B">
        <w:rPr>
          <w:bCs/>
          <w:sz w:val="20"/>
          <w:szCs w:val="20"/>
        </w:rPr>
        <w:t xml:space="preserve">the </w:t>
      </w:r>
      <w:r w:rsidR="00117179" w:rsidRPr="00E4714B">
        <w:rPr>
          <w:bCs/>
          <w:sz w:val="20"/>
          <w:szCs w:val="20"/>
        </w:rPr>
        <w:t xml:space="preserve">high level of disappointment risk which may contribute to negative nostalgia for the visitors (Hu and Xu, 2021).  Hence, it can be said that tourists’ decisions to revisit may decrease in </w:t>
      </w:r>
      <w:r w:rsidR="00A33530" w:rsidRPr="00E4714B">
        <w:rPr>
          <w:bCs/>
          <w:sz w:val="20"/>
          <w:szCs w:val="20"/>
        </w:rPr>
        <w:t>a heightened-risk</w:t>
      </w:r>
      <w:r w:rsidR="00117179" w:rsidRPr="00E4714B">
        <w:rPr>
          <w:bCs/>
          <w:sz w:val="20"/>
          <w:szCs w:val="20"/>
        </w:rPr>
        <w:t xml:space="preserve"> environment. Proper risk identification and management to encourage tourists’ revisit activities are critical </w:t>
      </w:r>
      <w:r w:rsidR="00A33530" w:rsidRPr="00E4714B">
        <w:rPr>
          <w:bCs/>
          <w:sz w:val="20"/>
          <w:szCs w:val="20"/>
        </w:rPr>
        <w:t>to</w:t>
      </w:r>
      <w:r w:rsidR="00117179" w:rsidRPr="00E4714B">
        <w:rPr>
          <w:bCs/>
          <w:sz w:val="20"/>
          <w:szCs w:val="20"/>
        </w:rPr>
        <w:t xml:space="preserve"> attract foreign investment and capital flow in </w:t>
      </w:r>
      <w:r w:rsidR="00A33530" w:rsidRPr="00E4714B">
        <w:rPr>
          <w:bCs/>
          <w:sz w:val="20"/>
          <w:szCs w:val="20"/>
        </w:rPr>
        <w:t xml:space="preserve">the </w:t>
      </w:r>
      <w:r w:rsidR="00117179" w:rsidRPr="00E4714B">
        <w:rPr>
          <w:bCs/>
          <w:sz w:val="20"/>
          <w:szCs w:val="20"/>
        </w:rPr>
        <w:t>tourism sector.</w:t>
      </w:r>
    </w:p>
    <w:p w14:paraId="7355D2D4" w14:textId="77777777" w:rsidR="00117179" w:rsidRPr="00E4714B" w:rsidRDefault="00117179" w:rsidP="00E4714B">
      <w:pPr>
        <w:pBdr>
          <w:top w:val="nil"/>
          <w:left w:val="nil"/>
          <w:bottom w:val="nil"/>
          <w:right w:val="nil"/>
          <w:between w:val="nil"/>
        </w:pBdr>
        <w:jc w:val="both"/>
        <w:rPr>
          <w:bCs/>
          <w:sz w:val="20"/>
          <w:szCs w:val="20"/>
        </w:rPr>
      </w:pPr>
    </w:p>
    <w:p w14:paraId="3BF24298" w14:textId="31AD9487" w:rsidR="004C425A" w:rsidRPr="00E4714B" w:rsidRDefault="00DA6646" w:rsidP="00E4714B">
      <w:pPr>
        <w:pBdr>
          <w:top w:val="nil"/>
          <w:left w:val="nil"/>
          <w:bottom w:val="nil"/>
          <w:right w:val="nil"/>
          <w:between w:val="nil"/>
        </w:pBdr>
        <w:jc w:val="both"/>
        <w:rPr>
          <w:bCs/>
          <w:sz w:val="20"/>
          <w:szCs w:val="20"/>
        </w:rPr>
      </w:pPr>
      <w:r w:rsidRPr="00E4714B">
        <w:rPr>
          <w:bCs/>
          <w:sz w:val="20"/>
          <w:szCs w:val="20"/>
        </w:rPr>
        <w:t xml:space="preserve">Past studies on geopolitical risks and the tourism industry have been concentrated in several areas, including examining the effect of geopolitical risks on stock returns and studying the relationship between geopolitical risks and various economic measures. Regarding stock return performance, geopolitical risks have shown significant predictive power for the returns and volatility of tourism stocks (Raheem and </w:t>
      </w:r>
      <w:r w:rsidR="00A33530" w:rsidRPr="00E4714B">
        <w:rPr>
          <w:bCs/>
          <w:sz w:val="20"/>
          <w:szCs w:val="20"/>
        </w:rPr>
        <w:t>Le</w:t>
      </w:r>
      <w:r w:rsidRPr="00E4714B">
        <w:rPr>
          <w:bCs/>
          <w:sz w:val="20"/>
          <w:szCs w:val="20"/>
        </w:rPr>
        <w:t xml:space="preserve"> Roux, 2023), particularly for emerging economies under normal market conditions (Hasan et al., 2020). These findings suggest that geopolitical risks play a substantial role in influencing the tourism sector. Zhang et al. (2022) proposed that the impact of geopolitical risks on tourism was greater than the effect of economic policy uncertainty, based on their study during the global financial crisis. Additionally, empirical results from Demir et al. (2019) indicated that geopolitical risks negatively affect inbound tourism. A standard deviation shock in geopolitical risk may contribute to more than a 10% variation in tourism income (Hailemariam and Ivanovski, 2021), with this negative effect persisting in both the short and long run (Saint Akadiri et al., 2020). Regardless of the positive connections between nations, increased geopolitical danger could make them less effective in attracting foreign visitors (Wujie, 2023). In summary, these findings collectively underscore the substantial impact of geopolitical risks on the tourism sector, economic measures, and visitor arrivals, with implications for both short- and long-term outcomes.</w:t>
      </w:r>
    </w:p>
    <w:p w14:paraId="4FBB842B" w14:textId="77777777" w:rsidR="003B447E" w:rsidRPr="00E4714B" w:rsidRDefault="003B447E" w:rsidP="00E4714B">
      <w:pPr>
        <w:pBdr>
          <w:top w:val="nil"/>
          <w:left w:val="nil"/>
          <w:bottom w:val="nil"/>
          <w:right w:val="nil"/>
          <w:between w:val="nil"/>
        </w:pBdr>
        <w:jc w:val="both"/>
        <w:rPr>
          <w:bCs/>
          <w:sz w:val="20"/>
          <w:szCs w:val="20"/>
        </w:rPr>
      </w:pPr>
    </w:p>
    <w:p w14:paraId="09A91455" w14:textId="6B27BBF5" w:rsidR="004C425A" w:rsidRPr="00E4714B" w:rsidRDefault="003B447E" w:rsidP="00E4714B">
      <w:pPr>
        <w:pBdr>
          <w:top w:val="nil"/>
          <w:left w:val="nil"/>
          <w:bottom w:val="nil"/>
          <w:right w:val="nil"/>
          <w:between w:val="nil"/>
        </w:pBdr>
        <w:jc w:val="both"/>
        <w:rPr>
          <w:bCs/>
          <w:sz w:val="20"/>
          <w:szCs w:val="20"/>
        </w:rPr>
      </w:pPr>
      <w:r w:rsidRPr="00E4714B">
        <w:rPr>
          <w:b/>
          <w:sz w:val="20"/>
          <w:szCs w:val="20"/>
        </w:rPr>
        <w:t>Economic Policy Uncertainty and Tourism</w:t>
      </w:r>
      <w:r w:rsidR="00204963" w:rsidRPr="00E4714B">
        <w:rPr>
          <w:b/>
          <w:sz w:val="20"/>
          <w:szCs w:val="20"/>
        </w:rPr>
        <w:t xml:space="preserve">: </w:t>
      </w:r>
      <w:r w:rsidR="00D23F06" w:rsidRPr="00E4714B">
        <w:rPr>
          <w:bCs/>
          <w:sz w:val="20"/>
          <w:szCs w:val="20"/>
        </w:rPr>
        <w:t xml:space="preserve">Economic policy uncertainty can be defined as unanticipated changes that affect the economic system that could lead to changes in governmental fiscal, political, regulatory, and monetary policies (Al-Thaqeb et al., 2022). </w:t>
      </w:r>
      <w:r w:rsidR="00DA6646" w:rsidRPr="00E4714B">
        <w:rPr>
          <w:bCs/>
          <w:sz w:val="20"/>
          <w:szCs w:val="20"/>
        </w:rPr>
        <w:t>Economic policy uncertainty significantly affects the demand for international tourism, particularly during major events such as the subprime crisis, Euro-crisis, and pandemics (Doğan et al., 2023). Payne et al. (2023) found a negative impact of economic policy uncertainty on international tourist arrivals in coastal countries. Uncertain economic policies tend to decrease the number of international tourist arrivals, potentially impacting the region's economic growth and residents' income (Uzuner et al., 2020).  Some studies suggest a long-term effect of economic policy uncertainty on tourist arrivals (Ongan and Gozgor, 2018), while others highlight a short-term impact (Tiwari et al., 2019). Ongan and Gozgor's (2018) investigation into Japanese tourist arrivals in the United States from 1996 to 2015 revealed that a one-standard-deviation increase in the Economic Policy Uncertainty Index led to a notable and persistent 4.7% decrease in Japanese tourists visiting the US. This effect weakens over time, especially with an increased lag period (Álvares et al., 2007). In contrast, Tiwari et al. (2019), examining tourist arrivals in India, suggested that economic policy uncertainty primarily affects tourist arrivals in the short term. The variation in the timing of the impact could be attributed to differences in the economic class of the sample countries (developed vs. developing) used by these researchers.</w:t>
      </w:r>
    </w:p>
    <w:p w14:paraId="6EB2ECC7" w14:textId="77777777" w:rsidR="00DA6646" w:rsidRPr="00E4714B" w:rsidRDefault="00DA6646" w:rsidP="00E4714B">
      <w:pPr>
        <w:pBdr>
          <w:top w:val="nil"/>
          <w:left w:val="nil"/>
          <w:bottom w:val="nil"/>
          <w:right w:val="nil"/>
          <w:between w:val="nil"/>
        </w:pBdr>
        <w:jc w:val="both"/>
        <w:rPr>
          <w:bCs/>
          <w:sz w:val="20"/>
          <w:szCs w:val="20"/>
        </w:rPr>
      </w:pPr>
    </w:p>
    <w:p w14:paraId="79DF6B2B" w14:textId="4EAF7B18" w:rsidR="00117179" w:rsidRPr="00E4714B" w:rsidRDefault="00DA6646" w:rsidP="00E4714B">
      <w:pPr>
        <w:pBdr>
          <w:top w:val="nil"/>
          <w:left w:val="nil"/>
          <w:bottom w:val="nil"/>
          <w:right w:val="nil"/>
          <w:between w:val="nil"/>
        </w:pBdr>
        <w:jc w:val="both"/>
        <w:rPr>
          <w:bCs/>
          <w:sz w:val="20"/>
          <w:szCs w:val="20"/>
        </w:rPr>
      </w:pPr>
      <w:r w:rsidRPr="00E4714B">
        <w:rPr>
          <w:bCs/>
          <w:sz w:val="20"/>
          <w:szCs w:val="20"/>
        </w:rPr>
        <w:t>Previous literature predominantly suggests a unidirectional impact of economic policy uncertainty on international tourist arrivals. Nevertheless, a bidirectional relationship may exist between economic policy uncertainty and international tourist arrivals. Simply put, tourist arrivals can contribute to reduced economic policy uncertainty. Both inbound and outbound tourism have the potential to foster economic growth (Tsung-Li et al., 2022), instilling confidence in businesses, investors, and the general population and thus lowering uncertainty about future economic conditions. It is crucial to note that the positive impact of the tourism industry on economic growth is primarily driven by factors such as tourist attractions (Zhang and Zhang, 2023), tourism revenues (Soylu, 2020), and higher tourist expenditure (Usmani et al., 2021) in the visited country, rather than solely by the number of tourist arrivals. Exploring potential bidirectional interactions between economic policy uncertainty and tourist arrivals in developing countries, as suggested by some literature, could provide a more comprehensive understanding of the dynamics involved. Therefore, this study aims to contribute additional evidence in the context of developing countries, using Malaysia as the study sample.</w:t>
      </w:r>
    </w:p>
    <w:p w14:paraId="282D4A37" w14:textId="009112CE" w:rsidR="00092005" w:rsidRPr="00E4714B" w:rsidRDefault="00E4714B" w:rsidP="00E4714B">
      <w:pPr>
        <w:pStyle w:val="Heading1"/>
        <w:tabs>
          <w:tab w:val="left" w:pos="447"/>
        </w:tabs>
        <w:ind w:left="0"/>
      </w:pPr>
      <w:r>
        <w:lastRenderedPageBreak/>
        <w:t xml:space="preserve">3. </w:t>
      </w:r>
      <w:r w:rsidR="00000000" w:rsidRPr="00E4714B">
        <w:t>Research Methodology</w:t>
      </w:r>
    </w:p>
    <w:p w14:paraId="6C84DF38" w14:textId="77777777" w:rsidR="00092005" w:rsidRPr="00E4714B" w:rsidRDefault="00092005" w:rsidP="00E4714B">
      <w:pPr>
        <w:pBdr>
          <w:top w:val="nil"/>
          <w:left w:val="nil"/>
          <w:bottom w:val="nil"/>
          <w:right w:val="nil"/>
          <w:between w:val="nil"/>
        </w:pBdr>
        <w:rPr>
          <w:b/>
          <w:color w:val="000000"/>
          <w:sz w:val="20"/>
          <w:szCs w:val="20"/>
        </w:rPr>
      </w:pPr>
    </w:p>
    <w:p w14:paraId="4BD9104B" w14:textId="3292DBE1" w:rsidR="00442DD4" w:rsidRPr="00E4714B" w:rsidRDefault="003B447E" w:rsidP="00E4714B">
      <w:pPr>
        <w:jc w:val="both"/>
        <w:rPr>
          <w:bCs/>
          <w:sz w:val="20"/>
          <w:szCs w:val="20"/>
          <w:lang w:val="en-MY"/>
        </w:rPr>
      </w:pPr>
      <w:r w:rsidRPr="00E4714B">
        <w:rPr>
          <w:b/>
          <w:sz w:val="20"/>
          <w:szCs w:val="20"/>
        </w:rPr>
        <w:t xml:space="preserve">Dependent </w:t>
      </w:r>
      <w:r w:rsidR="00204963" w:rsidRPr="00E4714B">
        <w:rPr>
          <w:b/>
          <w:sz w:val="20"/>
          <w:szCs w:val="20"/>
        </w:rPr>
        <w:t>V</w:t>
      </w:r>
      <w:r w:rsidRPr="00E4714B">
        <w:rPr>
          <w:b/>
          <w:sz w:val="20"/>
          <w:szCs w:val="20"/>
        </w:rPr>
        <w:t>ariable:</w:t>
      </w:r>
      <w:r w:rsidRPr="00E4714B">
        <w:rPr>
          <w:bCs/>
          <w:sz w:val="20"/>
          <w:szCs w:val="20"/>
        </w:rPr>
        <w:t xml:space="preserve"> </w:t>
      </w:r>
      <w:r w:rsidR="00442DD4" w:rsidRPr="00E4714B">
        <w:rPr>
          <w:bCs/>
          <w:sz w:val="20"/>
          <w:szCs w:val="20"/>
          <w:lang w:val="en-MY"/>
        </w:rPr>
        <w:t xml:space="preserve">The dependent variable is represented by the term "tourist arrivals" or TA. The unit of measurement is the number of tourists. This study considers the quarterly observations from the first quarter of the year 2000 to the fourth quarter of the year 2022. The data source for TA is the official Tourism Malaysia website, which can be accessed at the following URL: https://www.tourism.gov.my/statistics. </w:t>
      </w:r>
    </w:p>
    <w:p w14:paraId="6E711F43" w14:textId="77777777" w:rsidR="00442DD4" w:rsidRPr="00E4714B" w:rsidRDefault="00442DD4" w:rsidP="00E4714B">
      <w:pPr>
        <w:jc w:val="both"/>
        <w:rPr>
          <w:b/>
          <w:sz w:val="20"/>
          <w:szCs w:val="20"/>
        </w:rPr>
      </w:pPr>
    </w:p>
    <w:p w14:paraId="6E3EE6B5" w14:textId="0AC82225" w:rsidR="003B447E" w:rsidRPr="00E4714B" w:rsidRDefault="003B447E" w:rsidP="00E4714B">
      <w:pPr>
        <w:jc w:val="both"/>
        <w:rPr>
          <w:bCs/>
          <w:sz w:val="20"/>
          <w:szCs w:val="20"/>
        </w:rPr>
      </w:pPr>
      <w:r w:rsidRPr="00E4714B">
        <w:rPr>
          <w:b/>
          <w:sz w:val="20"/>
          <w:szCs w:val="20"/>
        </w:rPr>
        <w:t xml:space="preserve">Explanatory </w:t>
      </w:r>
      <w:r w:rsidR="00204963" w:rsidRPr="00E4714B">
        <w:rPr>
          <w:b/>
          <w:sz w:val="20"/>
          <w:szCs w:val="20"/>
        </w:rPr>
        <w:t>V</w:t>
      </w:r>
      <w:r w:rsidRPr="00E4714B">
        <w:rPr>
          <w:b/>
          <w:sz w:val="20"/>
          <w:szCs w:val="20"/>
        </w:rPr>
        <w:t>ariables:</w:t>
      </w:r>
      <w:r w:rsidRPr="00E4714B">
        <w:rPr>
          <w:bCs/>
          <w:sz w:val="20"/>
          <w:szCs w:val="20"/>
        </w:rPr>
        <w:t xml:space="preserve"> </w:t>
      </w:r>
      <w:r w:rsidR="00DA6646" w:rsidRPr="00E4714B">
        <w:rPr>
          <w:bCs/>
          <w:sz w:val="20"/>
          <w:szCs w:val="20"/>
        </w:rPr>
        <w:t xml:space="preserve">Geopolitical risk, </w:t>
      </w:r>
      <w:r w:rsidR="000B5D89" w:rsidRPr="00E4714B">
        <w:rPr>
          <w:bCs/>
          <w:sz w:val="20"/>
          <w:szCs w:val="20"/>
        </w:rPr>
        <w:t>proxied</w:t>
      </w:r>
      <w:r w:rsidR="00DA6646" w:rsidRPr="00E4714B">
        <w:rPr>
          <w:bCs/>
          <w:sz w:val="20"/>
          <w:szCs w:val="20"/>
        </w:rPr>
        <w:t xml:space="preserve"> by GPR, is one of the main explanatory variables used in this study. In addition to GPR, the Economic Uncertainty Index, represented by the EU variable, is also employed as an explanatory variable. The quarterly observations for GPR are obtained from datasets downloaded from http://www.policyuncertainty.com/gpr.html. This index was developed by </w:t>
      </w:r>
      <w:r w:rsidR="00912653" w:rsidRPr="00E4714B">
        <w:rPr>
          <w:color w:val="252525"/>
          <w:sz w:val="20"/>
          <w:szCs w:val="20"/>
        </w:rPr>
        <w:t>Caldara and Iacoviello</w:t>
      </w:r>
      <w:r w:rsidR="00912653" w:rsidRPr="00E4714B">
        <w:rPr>
          <w:bCs/>
          <w:sz w:val="20"/>
          <w:szCs w:val="20"/>
        </w:rPr>
        <w:t xml:space="preserve"> </w:t>
      </w:r>
      <w:r w:rsidR="00DA6646" w:rsidRPr="00E4714B">
        <w:rPr>
          <w:bCs/>
          <w:sz w:val="20"/>
          <w:szCs w:val="20"/>
        </w:rPr>
        <w:t>(202</w:t>
      </w:r>
      <w:r w:rsidR="00912653" w:rsidRPr="00E4714B">
        <w:rPr>
          <w:bCs/>
          <w:sz w:val="20"/>
          <w:szCs w:val="20"/>
        </w:rPr>
        <w:t>2</w:t>
      </w:r>
      <w:r w:rsidR="00DA6646" w:rsidRPr="00E4714B">
        <w:rPr>
          <w:bCs/>
          <w:sz w:val="20"/>
          <w:szCs w:val="20"/>
        </w:rPr>
        <w:t xml:space="preserve">) and represents the measure of adverse geopolitical events based on </w:t>
      </w:r>
      <w:r w:rsidR="00A33530" w:rsidRPr="00E4714B">
        <w:rPr>
          <w:bCs/>
          <w:sz w:val="20"/>
          <w:szCs w:val="20"/>
        </w:rPr>
        <w:t>several</w:t>
      </w:r>
      <w:r w:rsidR="00DA6646" w:rsidRPr="00E4714B">
        <w:rPr>
          <w:bCs/>
          <w:sz w:val="20"/>
          <w:szCs w:val="20"/>
        </w:rPr>
        <w:t xml:space="preserve"> newspaper articles covering geopolitical pressures. The second main explanatory variable, EU quarterly data, was obtained from the Datastream database, referring to the relative frequency of own-country newspaper articles containing a trio of terms related to the economy, policy, and uncertainty.</w:t>
      </w:r>
    </w:p>
    <w:p w14:paraId="7E25A7E2" w14:textId="77777777" w:rsidR="003B447E" w:rsidRPr="00E4714B" w:rsidRDefault="003B447E" w:rsidP="00E4714B">
      <w:pPr>
        <w:jc w:val="both"/>
        <w:rPr>
          <w:bCs/>
          <w:sz w:val="20"/>
          <w:szCs w:val="20"/>
        </w:rPr>
      </w:pPr>
    </w:p>
    <w:p w14:paraId="616141E8" w14:textId="3AA2B556" w:rsidR="003B447E" w:rsidRPr="00E4714B" w:rsidRDefault="00DA6646" w:rsidP="00E4714B">
      <w:pPr>
        <w:jc w:val="both"/>
        <w:rPr>
          <w:bCs/>
          <w:sz w:val="20"/>
          <w:szCs w:val="20"/>
        </w:rPr>
      </w:pPr>
      <w:r w:rsidRPr="00E4714B">
        <w:rPr>
          <w:bCs/>
          <w:sz w:val="20"/>
          <w:szCs w:val="20"/>
        </w:rPr>
        <w:t>This study contributes to the existing literature by investigating the interconnections between Geopolitical Risk (GPR) and Economic Uncertainty (EU) and their impact on the tourism sector. The aim is to estimate the significance of GPR and EU in the growth of the tourism sector by examining their roles as crucial determinants of international inbound tourist arrivals to Malaysia. For both GPR and EU, values are normalized by the total number of words and rescaled by multiplying by 1,000, using the average of the base year’s data until the most recent data equals 100. A value greater than 100 indicates higher levels of risk, while a lower index value suggests a lower level of risk.</w:t>
      </w:r>
    </w:p>
    <w:p w14:paraId="6EA014D8" w14:textId="77777777" w:rsidR="00DA6646" w:rsidRPr="00E4714B" w:rsidRDefault="00DA6646" w:rsidP="00E4714B">
      <w:pPr>
        <w:jc w:val="both"/>
        <w:rPr>
          <w:bCs/>
          <w:sz w:val="20"/>
          <w:szCs w:val="20"/>
        </w:rPr>
      </w:pPr>
    </w:p>
    <w:p w14:paraId="532FCC20" w14:textId="1EB0F262" w:rsidR="003B447E" w:rsidRPr="00E4714B" w:rsidRDefault="00DA6646" w:rsidP="00E4714B">
      <w:pPr>
        <w:jc w:val="both"/>
        <w:rPr>
          <w:bCs/>
          <w:sz w:val="20"/>
          <w:szCs w:val="20"/>
        </w:rPr>
      </w:pPr>
      <w:r w:rsidRPr="00E4714B">
        <w:rPr>
          <w:bCs/>
          <w:sz w:val="20"/>
          <w:szCs w:val="20"/>
        </w:rPr>
        <w:t xml:space="preserve">Control variables, following </w:t>
      </w:r>
      <w:r w:rsidR="00C41F12" w:rsidRPr="00E4714B">
        <w:rPr>
          <w:bCs/>
          <w:sz w:val="20"/>
          <w:szCs w:val="20"/>
        </w:rPr>
        <w:t>Ghosh</w:t>
      </w:r>
      <w:r w:rsidRPr="00E4714B">
        <w:rPr>
          <w:bCs/>
          <w:sz w:val="20"/>
          <w:szCs w:val="20"/>
        </w:rPr>
        <w:t xml:space="preserve"> (2002), include economic growth proxied by the industrial production index (IP), exchange rate (EX), inflation (CPI), and trade openness (EM), computed by dividing exports by imports. The data source for IP is the Department of Statistics Malaysia (DOSM), retrieved from https://open.dosm.gov.my/. Imports and </w:t>
      </w:r>
      <w:r w:rsidR="00A33530" w:rsidRPr="00E4714B">
        <w:rPr>
          <w:bCs/>
          <w:sz w:val="20"/>
          <w:szCs w:val="20"/>
        </w:rPr>
        <w:t>export</w:t>
      </w:r>
      <w:r w:rsidRPr="00E4714B">
        <w:rPr>
          <w:bCs/>
          <w:sz w:val="20"/>
          <w:szCs w:val="20"/>
        </w:rPr>
        <w:t xml:space="preserve"> data for computing the EM variable were collected from the DOSM database. The data source for EX is the Bank for International Settlements (BIS), available at https://data.bis.org/topics/EER/data. According to BIS, real effective exchange rates measure the international competitiveness of components of financial condition indices and are calculated as geometric trade-weighted averages of bilateral exchange rates adjusted by relative consumer prices. Similar to EM, CPI data were also collected from the DOSM database. According to DOSM, CPI measures the cost of purchasing a constant ‘basket’ of goods and services by households in a specified </w:t>
      </w:r>
      <w:r w:rsidR="00A33530" w:rsidRPr="00E4714B">
        <w:rPr>
          <w:bCs/>
          <w:sz w:val="20"/>
          <w:szCs w:val="20"/>
        </w:rPr>
        <w:t>period</w:t>
      </w:r>
      <w:r w:rsidRPr="00E4714B">
        <w:rPr>
          <w:bCs/>
          <w:sz w:val="20"/>
          <w:szCs w:val="20"/>
        </w:rPr>
        <w:t xml:space="preserve"> relative to a base </w:t>
      </w:r>
      <w:r w:rsidR="00A33530" w:rsidRPr="00E4714B">
        <w:rPr>
          <w:bCs/>
          <w:sz w:val="20"/>
          <w:szCs w:val="20"/>
        </w:rPr>
        <w:t>period</w:t>
      </w:r>
      <w:r w:rsidRPr="00E4714B">
        <w:rPr>
          <w:bCs/>
          <w:sz w:val="20"/>
          <w:szCs w:val="20"/>
        </w:rPr>
        <w:t xml:space="preserve"> (year 2010 = 100). For all variables, the period of observations is quarterly, from 2000 until 2022.</w:t>
      </w:r>
    </w:p>
    <w:p w14:paraId="63DCA50A" w14:textId="77777777" w:rsidR="00DA6646" w:rsidRPr="00E4714B" w:rsidRDefault="00DA6646" w:rsidP="00E4714B">
      <w:pPr>
        <w:jc w:val="both"/>
        <w:rPr>
          <w:bCs/>
          <w:sz w:val="20"/>
          <w:szCs w:val="20"/>
        </w:rPr>
      </w:pPr>
    </w:p>
    <w:p w14:paraId="13AABF86" w14:textId="678F98C0" w:rsidR="000B5D89" w:rsidRPr="00E4714B" w:rsidRDefault="000B5D89" w:rsidP="00E4714B">
      <w:pPr>
        <w:jc w:val="both"/>
        <w:rPr>
          <w:bCs/>
          <w:sz w:val="20"/>
          <w:szCs w:val="20"/>
        </w:rPr>
      </w:pPr>
      <w:r w:rsidRPr="00E4714B">
        <w:rPr>
          <w:bCs/>
          <w:sz w:val="20"/>
          <w:szCs w:val="20"/>
        </w:rPr>
        <w:t xml:space="preserve">Table 1 displays the descriptive statistics of the data, whereas Table 2 illustrates the correlation between variables. According to the data in Table 1, we observe that most of the variables (except TA and EX) have a positive skewness. The variable with the lowest standard deviation is GPR, while CPI has the highest standard deviation. The correlation matrix in Table 2 reveals that there is a positive relationship between TA and GPR, whereas </w:t>
      </w:r>
      <w:r w:rsidR="00E4714B" w:rsidRPr="00E4714B">
        <w:rPr>
          <w:bCs/>
          <w:sz w:val="20"/>
          <w:szCs w:val="20"/>
        </w:rPr>
        <w:t xml:space="preserve">a </w:t>
      </w:r>
      <w:r w:rsidRPr="00E4714B">
        <w:rPr>
          <w:bCs/>
          <w:sz w:val="20"/>
          <w:szCs w:val="20"/>
        </w:rPr>
        <w:t xml:space="preserve">negative relationship is observed between TA and EU variables.  Furthermore, there is also a negative relationship between industrial production and tourist arrivals. </w:t>
      </w:r>
    </w:p>
    <w:p w14:paraId="5D0085B6" w14:textId="77777777" w:rsidR="003B447E" w:rsidRPr="00E4714B" w:rsidRDefault="003B447E" w:rsidP="00E4714B">
      <w:pPr>
        <w:jc w:val="both"/>
        <w:rPr>
          <w:bCs/>
          <w:sz w:val="20"/>
          <w:szCs w:val="20"/>
        </w:rPr>
      </w:pPr>
    </w:p>
    <w:p w14:paraId="12CC9817" w14:textId="41905377" w:rsidR="003B447E" w:rsidRPr="00E4714B" w:rsidRDefault="00982798" w:rsidP="00E4714B">
      <w:pPr>
        <w:jc w:val="both"/>
        <w:rPr>
          <w:bCs/>
          <w:sz w:val="20"/>
          <w:szCs w:val="20"/>
        </w:rPr>
      </w:pPr>
      <w:r w:rsidRPr="00E4714B">
        <w:rPr>
          <w:bCs/>
          <w:sz w:val="20"/>
          <w:szCs w:val="20"/>
        </w:rPr>
        <w:t>After selecting the variables, we checked for multicollinearity, which occurs when independent variables in the regression model are highly correlated with each other. Ignoring multicollinearity may result in a vague, imprecise, and unreliable model. Correlation coefficients exceeding 0.8 indicate severe multicollinearity. Based on Table 2, the correlation value between IP and CPI variables is the highest, with a value of 0.98. To further test for multicollinearity with these variables in the model, we used variance inflation factors (VIF) in this study. Table 3 shows that the average VIF value is greater than 10 when CPI and IP variables are included in the same model. By removing the CPI variable (with the highest VIF value) from the existing model, the average VIF score is then reduced to 2.16, indicating that there is no severe multicollinearity in the model. Given these findings, CPI will be excluded in the subsequent analyses to address the multicollinearity issue.</w:t>
      </w:r>
    </w:p>
    <w:p w14:paraId="79794EAE" w14:textId="77777777" w:rsidR="00982798" w:rsidRPr="00E4714B" w:rsidRDefault="00982798" w:rsidP="00E4714B">
      <w:pPr>
        <w:rPr>
          <w:rFonts w:eastAsia="Times New Roman" w:cs="Times New Roman"/>
          <w:b/>
          <w:bCs/>
          <w:iCs/>
          <w:color w:val="000000"/>
          <w:sz w:val="20"/>
          <w:szCs w:val="20"/>
        </w:rPr>
      </w:pPr>
    </w:p>
    <w:p w14:paraId="25AF33DF" w14:textId="77777777" w:rsidR="001532BE" w:rsidRPr="00E4714B" w:rsidRDefault="001532BE" w:rsidP="00E4714B">
      <w:pPr>
        <w:rPr>
          <w:rFonts w:eastAsia="Times New Roman" w:cs="Times New Roman"/>
          <w:b/>
          <w:bCs/>
          <w:iCs/>
          <w:color w:val="000000"/>
          <w:sz w:val="20"/>
          <w:szCs w:val="20"/>
        </w:rPr>
      </w:pPr>
    </w:p>
    <w:p w14:paraId="101BE754" w14:textId="77777777" w:rsidR="00982798" w:rsidRPr="00E4714B" w:rsidRDefault="00982798" w:rsidP="00E4714B">
      <w:pPr>
        <w:rPr>
          <w:rFonts w:eastAsia="Times New Roman" w:cs="Times New Roman"/>
          <w:b/>
          <w:bCs/>
          <w:iCs/>
          <w:color w:val="000000"/>
          <w:sz w:val="20"/>
          <w:szCs w:val="20"/>
        </w:rPr>
      </w:pPr>
    </w:p>
    <w:p w14:paraId="4DF35AD5" w14:textId="5173E153" w:rsidR="003B447E" w:rsidRPr="00E4714B" w:rsidRDefault="003B447E" w:rsidP="00E4714B">
      <w:pPr>
        <w:rPr>
          <w:rFonts w:eastAsia="Times New Roman" w:cs="Times New Roman"/>
          <w:b/>
          <w:bCs/>
          <w:iCs/>
          <w:sz w:val="20"/>
          <w:szCs w:val="20"/>
        </w:rPr>
      </w:pPr>
      <w:r w:rsidRPr="00E4714B">
        <w:rPr>
          <w:rFonts w:eastAsia="Times New Roman" w:cs="Times New Roman"/>
          <w:b/>
          <w:bCs/>
          <w:iCs/>
          <w:sz w:val="20"/>
          <w:szCs w:val="20"/>
        </w:rPr>
        <w:lastRenderedPageBreak/>
        <w:t>Table 1: Descriptive Statistics</w:t>
      </w:r>
    </w:p>
    <w:tbl>
      <w:tblPr>
        <w:tblW w:w="9500" w:type="dxa"/>
        <w:jc w:val="center"/>
        <w:tblLook w:val="04A0" w:firstRow="1" w:lastRow="0" w:firstColumn="1" w:lastColumn="0" w:noHBand="0" w:noVBand="1"/>
      </w:tblPr>
      <w:tblGrid>
        <w:gridCol w:w="1296"/>
        <w:gridCol w:w="1615"/>
        <w:gridCol w:w="1615"/>
        <w:gridCol w:w="1786"/>
        <w:gridCol w:w="1663"/>
        <w:gridCol w:w="1525"/>
      </w:tblGrid>
      <w:tr w:rsidR="000D30AC" w:rsidRPr="00E4714B" w14:paraId="7838AAA9" w14:textId="77777777" w:rsidTr="000D30AC">
        <w:trPr>
          <w:trHeight w:val="267"/>
          <w:jc w:val="center"/>
        </w:trPr>
        <w:tc>
          <w:tcPr>
            <w:tcW w:w="1296" w:type="dxa"/>
            <w:tcBorders>
              <w:top w:val="single" w:sz="4" w:space="0" w:color="auto"/>
              <w:bottom w:val="single" w:sz="4" w:space="0" w:color="auto"/>
            </w:tcBorders>
            <w:shd w:val="clear" w:color="auto" w:fill="auto"/>
            <w:noWrap/>
            <w:vAlign w:val="bottom"/>
            <w:hideMark/>
          </w:tcPr>
          <w:p w14:paraId="0BF08B3A" w14:textId="77777777" w:rsidR="000D30AC" w:rsidRPr="00E4714B" w:rsidRDefault="000D30AC" w:rsidP="00E4714B">
            <w:pPr>
              <w:rPr>
                <w:rFonts w:eastAsia="Times New Roman" w:cs="Times New Roman"/>
                <w:b/>
                <w:bCs/>
                <w:sz w:val="20"/>
                <w:szCs w:val="20"/>
                <w:lang w:val="en-MY"/>
              </w:rPr>
            </w:pPr>
            <w:r w:rsidRPr="00E4714B">
              <w:rPr>
                <w:rFonts w:eastAsia="Times New Roman" w:cs="Times New Roman"/>
                <w:b/>
                <w:bCs/>
                <w:sz w:val="20"/>
                <w:szCs w:val="20"/>
                <w:lang w:val="en-MY"/>
              </w:rPr>
              <w:t>Variables</w:t>
            </w:r>
          </w:p>
        </w:tc>
        <w:tc>
          <w:tcPr>
            <w:tcW w:w="1615" w:type="dxa"/>
            <w:tcBorders>
              <w:top w:val="single" w:sz="4" w:space="0" w:color="auto"/>
              <w:bottom w:val="single" w:sz="4" w:space="0" w:color="auto"/>
            </w:tcBorders>
            <w:shd w:val="clear" w:color="auto" w:fill="auto"/>
            <w:noWrap/>
            <w:vAlign w:val="bottom"/>
            <w:hideMark/>
          </w:tcPr>
          <w:p w14:paraId="2619EE7D" w14:textId="77777777" w:rsidR="000D30AC" w:rsidRPr="00E4714B" w:rsidRDefault="000D30AC" w:rsidP="00E4714B">
            <w:pPr>
              <w:jc w:val="right"/>
              <w:rPr>
                <w:rFonts w:eastAsia="Times New Roman" w:cs="Times New Roman"/>
                <w:b/>
                <w:bCs/>
                <w:sz w:val="20"/>
                <w:szCs w:val="20"/>
                <w:lang w:val="en-MY"/>
              </w:rPr>
            </w:pPr>
            <w:r w:rsidRPr="00E4714B">
              <w:rPr>
                <w:rFonts w:eastAsia="Times New Roman" w:cs="Times New Roman"/>
                <w:b/>
                <w:bCs/>
                <w:sz w:val="20"/>
                <w:szCs w:val="20"/>
                <w:lang w:val="en-MY"/>
              </w:rPr>
              <w:t>Mean</w:t>
            </w:r>
          </w:p>
        </w:tc>
        <w:tc>
          <w:tcPr>
            <w:tcW w:w="1615" w:type="dxa"/>
            <w:tcBorders>
              <w:top w:val="single" w:sz="4" w:space="0" w:color="auto"/>
              <w:bottom w:val="single" w:sz="4" w:space="0" w:color="auto"/>
            </w:tcBorders>
            <w:shd w:val="clear" w:color="auto" w:fill="auto"/>
            <w:noWrap/>
            <w:vAlign w:val="bottom"/>
            <w:hideMark/>
          </w:tcPr>
          <w:p w14:paraId="4BDEF0A6" w14:textId="77777777" w:rsidR="000D30AC" w:rsidRPr="00E4714B" w:rsidRDefault="000D30AC" w:rsidP="00E4714B">
            <w:pPr>
              <w:jc w:val="right"/>
              <w:rPr>
                <w:rFonts w:eastAsia="Times New Roman" w:cs="Times New Roman"/>
                <w:b/>
                <w:bCs/>
                <w:sz w:val="20"/>
                <w:szCs w:val="20"/>
                <w:lang w:val="en-MY"/>
              </w:rPr>
            </w:pPr>
            <w:r w:rsidRPr="00E4714B">
              <w:rPr>
                <w:rFonts w:eastAsia="Times New Roman" w:cs="Times New Roman"/>
                <w:b/>
                <w:bCs/>
                <w:sz w:val="20"/>
                <w:szCs w:val="20"/>
                <w:lang w:val="en-MY"/>
              </w:rPr>
              <w:t>Median</w:t>
            </w:r>
          </w:p>
        </w:tc>
        <w:tc>
          <w:tcPr>
            <w:tcW w:w="1786" w:type="dxa"/>
            <w:tcBorders>
              <w:top w:val="single" w:sz="4" w:space="0" w:color="auto"/>
              <w:bottom w:val="single" w:sz="4" w:space="0" w:color="auto"/>
            </w:tcBorders>
            <w:shd w:val="clear" w:color="auto" w:fill="auto"/>
            <w:noWrap/>
            <w:vAlign w:val="bottom"/>
            <w:hideMark/>
          </w:tcPr>
          <w:p w14:paraId="453F3BDE" w14:textId="77777777" w:rsidR="000D30AC" w:rsidRPr="00E4714B" w:rsidRDefault="000D30AC" w:rsidP="00E4714B">
            <w:pPr>
              <w:jc w:val="right"/>
              <w:rPr>
                <w:rFonts w:eastAsia="Times New Roman" w:cs="Times New Roman"/>
                <w:b/>
                <w:bCs/>
                <w:sz w:val="20"/>
                <w:szCs w:val="20"/>
                <w:lang w:val="en-MY"/>
              </w:rPr>
            </w:pPr>
            <w:r w:rsidRPr="00E4714B">
              <w:rPr>
                <w:rFonts w:eastAsia="Times New Roman" w:cs="Times New Roman"/>
                <w:b/>
                <w:bCs/>
                <w:sz w:val="20"/>
                <w:szCs w:val="20"/>
                <w:lang w:val="en-MY"/>
              </w:rPr>
              <w:t>Std. Dev.</w:t>
            </w:r>
          </w:p>
        </w:tc>
        <w:tc>
          <w:tcPr>
            <w:tcW w:w="1663" w:type="dxa"/>
            <w:tcBorders>
              <w:top w:val="single" w:sz="4" w:space="0" w:color="auto"/>
              <w:bottom w:val="single" w:sz="4" w:space="0" w:color="auto"/>
            </w:tcBorders>
            <w:shd w:val="clear" w:color="auto" w:fill="auto"/>
            <w:noWrap/>
            <w:vAlign w:val="bottom"/>
            <w:hideMark/>
          </w:tcPr>
          <w:p w14:paraId="25E895F5" w14:textId="77777777" w:rsidR="000D30AC" w:rsidRPr="00E4714B" w:rsidRDefault="000D30AC" w:rsidP="00E4714B">
            <w:pPr>
              <w:jc w:val="right"/>
              <w:rPr>
                <w:rFonts w:eastAsia="Times New Roman" w:cs="Times New Roman"/>
                <w:b/>
                <w:bCs/>
                <w:sz w:val="20"/>
                <w:szCs w:val="20"/>
                <w:lang w:val="en-MY"/>
              </w:rPr>
            </w:pPr>
            <w:r w:rsidRPr="00E4714B">
              <w:rPr>
                <w:rFonts w:eastAsia="Times New Roman" w:cs="Times New Roman"/>
                <w:b/>
                <w:bCs/>
                <w:sz w:val="20"/>
                <w:szCs w:val="20"/>
                <w:lang w:val="en-MY"/>
              </w:rPr>
              <w:t>Skewness</w:t>
            </w:r>
          </w:p>
        </w:tc>
        <w:tc>
          <w:tcPr>
            <w:tcW w:w="1525" w:type="dxa"/>
            <w:tcBorders>
              <w:top w:val="single" w:sz="4" w:space="0" w:color="auto"/>
              <w:bottom w:val="single" w:sz="4" w:space="0" w:color="auto"/>
            </w:tcBorders>
            <w:shd w:val="clear" w:color="auto" w:fill="auto"/>
            <w:noWrap/>
            <w:vAlign w:val="bottom"/>
            <w:hideMark/>
          </w:tcPr>
          <w:p w14:paraId="66CD9777" w14:textId="77777777" w:rsidR="000D30AC" w:rsidRPr="00E4714B" w:rsidRDefault="000D30AC" w:rsidP="00E4714B">
            <w:pPr>
              <w:jc w:val="right"/>
              <w:rPr>
                <w:rFonts w:eastAsia="Times New Roman" w:cs="Times New Roman"/>
                <w:b/>
                <w:bCs/>
                <w:sz w:val="20"/>
                <w:szCs w:val="20"/>
                <w:lang w:val="en-MY"/>
              </w:rPr>
            </w:pPr>
            <w:r w:rsidRPr="00E4714B">
              <w:rPr>
                <w:rFonts w:eastAsia="Times New Roman" w:cs="Times New Roman"/>
                <w:b/>
                <w:bCs/>
                <w:sz w:val="20"/>
                <w:szCs w:val="20"/>
                <w:lang w:val="en-MY"/>
              </w:rPr>
              <w:t>Kurtosis</w:t>
            </w:r>
          </w:p>
        </w:tc>
      </w:tr>
      <w:tr w:rsidR="000D30AC" w:rsidRPr="00E4714B" w14:paraId="2B868F31" w14:textId="77777777" w:rsidTr="000D30AC">
        <w:trPr>
          <w:trHeight w:val="267"/>
          <w:jc w:val="center"/>
        </w:trPr>
        <w:tc>
          <w:tcPr>
            <w:tcW w:w="1296" w:type="dxa"/>
            <w:tcBorders>
              <w:top w:val="single" w:sz="4" w:space="0" w:color="auto"/>
            </w:tcBorders>
            <w:shd w:val="clear" w:color="auto" w:fill="auto"/>
            <w:noWrap/>
            <w:vAlign w:val="bottom"/>
            <w:hideMark/>
          </w:tcPr>
          <w:p w14:paraId="30F80DF5" w14:textId="77777777" w:rsidR="000D30AC" w:rsidRPr="00E4714B" w:rsidRDefault="000D30AC" w:rsidP="00E4714B">
            <w:pPr>
              <w:rPr>
                <w:rFonts w:eastAsia="Times New Roman" w:cs="Times New Roman"/>
                <w:sz w:val="20"/>
                <w:szCs w:val="20"/>
                <w:lang w:val="en-MY"/>
              </w:rPr>
            </w:pPr>
            <w:r w:rsidRPr="00E4714B">
              <w:rPr>
                <w:rFonts w:eastAsia="Times New Roman" w:cs="Times New Roman"/>
                <w:sz w:val="20"/>
                <w:szCs w:val="20"/>
                <w:lang w:val="en-MY"/>
              </w:rPr>
              <w:t>TA</w:t>
            </w:r>
          </w:p>
        </w:tc>
        <w:tc>
          <w:tcPr>
            <w:tcW w:w="1615" w:type="dxa"/>
            <w:tcBorders>
              <w:top w:val="single" w:sz="4" w:space="0" w:color="auto"/>
            </w:tcBorders>
            <w:shd w:val="clear" w:color="auto" w:fill="auto"/>
            <w:noWrap/>
            <w:vAlign w:val="bottom"/>
            <w:hideMark/>
          </w:tcPr>
          <w:p w14:paraId="373C2D85" w14:textId="63700DB9"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 xml:space="preserve">4,715,383 </w:t>
            </w:r>
          </w:p>
        </w:tc>
        <w:tc>
          <w:tcPr>
            <w:tcW w:w="1615" w:type="dxa"/>
            <w:tcBorders>
              <w:top w:val="single" w:sz="4" w:space="0" w:color="auto"/>
            </w:tcBorders>
            <w:shd w:val="clear" w:color="auto" w:fill="auto"/>
            <w:noWrap/>
            <w:vAlign w:val="bottom"/>
            <w:hideMark/>
          </w:tcPr>
          <w:p w14:paraId="1AAB2607" w14:textId="1E55FA4D"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 xml:space="preserve">5,388,534 </w:t>
            </w:r>
          </w:p>
        </w:tc>
        <w:tc>
          <w:tcPr>
            <w:tcW w:w="1786" w:type="dxa"/>
            <w:tcBorders>
              <w:top w:val="single" w:sz="4" w:space="0" w:color="auto"/>
            </w:tcBorders>
            <w:shd w:val="clear" w:color="auto" w:fill="auto"/>
            <w:noWrap/>
            <w:vAlign w:val="bottom"/>
            <w:hideMark/>
          </w:tcPr>
          <w:p w14:paraId="17C47E90" w14:textId="6ABA4DF9"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 xml:space="preserve">2,037,286 </w:t>
            </w:r>
          </w:p>
        </w:tc>
        <w:tc>
          <w:tcPr>
            <w:tcW w:w="1663" w:type="dxa"/>
            <w:tcBorders>
              <w:top w:val="single" w:sz="4" w:space="0" w:color="auto"/>
            </w:tcBorders>
            <w:shd w:val="clear" w:color="auto" w:fill="auto"/>
            <w:noWrap/>
            <w:vAlign w:val="bottom"/>
            <w:hideMark/>
          </w:tcPr>
          <w:p w14:paraId="68382756"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-0.94</w:t>
            </w:r>
          </w:p>
        </w:tc>
        <w:tc>
          <w:tcPr>
            <w:tcW w:w="1525" w:type="dxa"/>
            <w:tcBorders>
              <w:top w:val="single" w:sz="4" w:space="0" w:color="auto"/>
            </w:tcBorders>
            <w:shd w:val="clear" w:color="auto" w:fill="auto"/>
            <w:noWrap/>
            <w:vAlign w:val="bottom"/>
            <w:hideMark/>
          </w:tcPr>
          <w:p w14:paraId="4D4A03F4"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2.97</w:t>
            </w:r>
          </w:p>
        </w:tc>
      </w:tr>
      <w:tr w:rsidR="000D30AC" w:rsidRPr="00E4714B" w14:paraId="6EEA5AB2" w14:textId="77777777" w:rsidTr="000D30AC">
        <w:trPr>
          <w:trHeight w:val="267"/>
          <w:jc w:val="center"/>
        </w:trPr>
        <w:tc>
          <w:tcPr>
            <w:tcW w:w="1296" w:type="dxa"/>
            <w:shd w:val="clear" w:color="auto" w:fill="auto"/>
            <w:noWrap/>
            <w:vAlign w:val="bottom"/>
            <w:hideMark/>
          </w:tcPr>
          <w:p w14:paraId="643025B0" w14:textId="77777777" w:rsidR="000D30AC" w:rsidRPr="00E4714B" w:rsidRDefault="000D30AC" w:rsidP="00E4714B">
            <w:pPr>
              <w:rPr>
                <w:rFonts w:eastAsia="Times New Roman" w:cs="Times New Roman"/>
                <w:sz w:val="20"/>
                <w:szCs w:val="20"/>
                <w:lang w:val="en-MY"/>
              </w:rPr>
            </w:pPr>
            <w:r w:rsidRPr="00E4714B">
              <w:rPr>
                <w:rFonts w:eastAsia="Times New Roman" w:cs="Times New Roman"/>
                <w:sz w:val="20"/>
                <w:szCs w:val="20"/>
                <w:lang w:val="en-MY"/>
              </w:rPr>
              <w:t>GPR</w:t>
            </w:r>
          </w:p>
        </w:tc>
        <w:tc>
          <w:tcPr>
            <w:tcW w:w="1615" w:type="dxa"/>
            <w:shd w:val="clear" w:color="auto" w:fill="auto"/>
            <w:noWrap/>
            <w:vAlign w:val="bottom"/>
            <w:hideMark/>
          </w:tcPr>
          <w:p w14:paraId="2622B771"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0.04</w:t>
            </w:r>
          </w:p>
        </w:tc>
        <w:tc>
          <w:tcPr>
            <w:tcW w:w="1615" w:type="dxa"/>
            <w:shd w:val="clear" w:color="auto" w:fill="auto"/>
            <w:noWrap/>
            <w:vAlign w:val="bottom"/>
            <w:hideMark/>
          </w:tcPr>
          <w:p w14:paraId="1CE4301C"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0.03</w:t>
            </w:r>
          </w:p>
        </w:tc>
        <w:tc>
          <w:tcPr>
            <w:tcW w:w="1786" w:type="dxa"/>
            <w:shd w:val="clear" w:color="auto" w:fill="auto"/>
            <w:noWrap/>
            <w:vAlign w:val="bottom"/>
            <w:hideMark/>
          </w:tcPr>
          <w:p w14:paraId="79E5F998"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0.05</w:t>
            </w:r>
          </w:p>
        </w:tc>
        <w:tc>
          <w:tcPr>
            <w:tcW w:w="1663" w:type="dxa"/>
            <w:shd w:val="clear" w:color="auto" w:fill="auto"/>
            <w:noWrap/>
            <w:vAlign w:val="bottom"/>
            <w:hideMark/>
          </w:tcPr>
          <w:p w14:paraId="06A53E5F"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6.14</w:t>
            </w:r>
          </w:p>
        </w:tc>
        <w:tc>
          <w:tcPr>
            <w:tcW w:w="1525" w:type="dxa"/>
            <w:shd w:val="clear" w:color="auto" w:fill="auto"/>
            <w:noWrap/>
            <w:vAlign w:val="bottom"/>
            <w:hideMark/>
          </w:tcPr>
          <w:p w14:paraId="0C56899F"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49.47</w:t>
            </w:r>
          </w:p>
        </w:tc>
      </w:tr>
      <w:tr w:rsidR="000D30AC" w:rsidRPr="00E4714B" w14:paraId="5460136F" w14:textId="77777777" w:rsidTr="000D30AC">
        <w:trPr>
          <w:trHeight w:val="267"/>
          <w:jc w:val="center"/>
        </w:trPr>
        <w:tc>
          <w:tcPr>
            <w:tcW w:w="1296" w:type="dxa"/>
            <w:shd w:val="clear" w:color="auto" w:fill="auto"/>
            <w:noWrap/>
            <w:vAlign w:val="bottom"/>
            <w:hideMark/>
          </w:tcPr>
          <w:p w14:paraId="2FA658E0" w14:textId="77777777" w:rsidR="000D30AC" w:rsidRPr="00E4714B" w:rsidRDefault="000D30AC" w:rsidP="00E4714B">
            <w:pPr>
              <w:rPr>
                <w:rFonts w:eastAsia="Times New Roman" w:cs="Times New Roman"/>
                <w:sz w:val="20"/>
                <w:szCs w:val="20"/>
                <w:lang w:val="en-MY"/>
              </w:rPr>
            </w:pPr>
            <w:r w:rsidRPr="00E4714B">
              <w:rPr>
                <w:rFonts w:eastAsia="Times New Roman" w:cs="Times New Roman"/>
                <w:sz w:val="20"/>
                <w:szCs w:val="20"/>
                <w:lang w:val="en-MY"/>
              </w:rPr>
              <w:t>EU</w:t>
            </w:r>
          </w:p>
        </w:tc>
        <w:tc>
          <w:tcPr>
            <w:tcW w:w="1615" w:type="dxa"/>
            <w:shd w:val="clear" w:color="auto" w:fill="auto"/>
            <w:noWrap/>
            <w:vAlign w:val="bottom"/>
            <w:hideMark/>
          </w:tcPr>
          <w:p w14:paraId="1BAC46BE"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0.14</w:t>
            </w:r>
          </w:p>
        </w:tc>
        <w:tc>
          <w:tcPr>
            <w:tcW w:w="1615" w:type="dxa"/>
            <w:shd w:val="clear" w:color="auto" w:fill="auto"/>
            <w:noWrap/>
            <w:vAlign w:val="bottom"/>
            <w:hideMark/>
          </w:tcPr>
          <w:p w14:paraId="3B22B7CC"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0.09</w:t>
            </w:r>
          </w:p>
        </w:tc>
        <w:tc>
          <w:tcPr>
            <w:tcW w:w="1786" w:type="dxa"/>
            <w:shd w:val="clear" w:color="auto" w:fill="auto"/>
            <w:noWrap/>
            <w:vAlign w:val="bottom"/>
            <w:hideMark/>
          </w:tcPr>
          <w:p w14:paraId="679CBF61"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0.16</w:t>
            </w:r>
          </w:p>
        </w:tc>
        <w:tc>
          <w:tcPr>
            <w:tcW w:w="1663" w:type="dxa"/>
            <w:shd w:val="clear" w:color="auto" w:fill="auto"/>
            <w:noWrap/>
            <w:vAlign w:val="bottom"/>
            <w:hideMark/>
          </w:tcPr>
          <w:p w14:paraId="0366E27B"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1.77</w:t>
            </w:r>
          </w:p>
        </w:tc>
        <w:tc>
          <w:tcPr>
            <w:tcW w:w="1525" w:type="dxa"/>
            <w:shd w:val="clear" w:color="auto" w:fill="auto"/>
            <w:noWrap/>
            <w:vAlign w:val="bottom"/>
            <w:hideMark/>
          </w:tcPr>
          <w:p w14:paraId="1D0B44EE"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5.99</w:t>
            </w:r>
          </w:p>
        </w:tc>
      </w:tr>
      <w:tr w:rsidR="000D30AC" w:rsidRPr="00E4714B" w14:paraId="6229905F" w14:textId="77777777" w:rsidTr="000D30AC">
        <w:trPr>
          <w:trHeight w:val="267"/>
          <w:jc w:val="center"/>
        </w:trPr>
        <w:tc>
          <w:tcPr>
            <w:tcW w:w="1296" w:type="dxa"/>
            <w:shd w:val="clear" w:color="auto" w:fill="auto"/>
            <w:noWrap/>
            <w:vAlign w:val="bottom"/>
            <w:hideMark/>
          </w:tcPr>
          <w:p w14:paraId="04D67347" w14:textId="77777777" w:rsidR="000D30AC" w:rsidRPr="00E4714B" w:rsidRDefault="000D30AC" w:rsidP="00E4714B">
            <w:pPr>
              <w:rPr>
                <w:rFonts w:eastAsia="Times New Roman" w:cs="Times New Roman"/>
                <w:sz w:val="20"/>
                <w:szCs w:val="20"/>
                <w:lang w:val="en-MY"/>
              </w:rPr>
            </w:pPr>
            <w:r w:rsidRPr="00E4714B">
              <w:rPr>
                <w:rFonts w:eastAsia="Times New Roman" w:cs="Times New Roman"/>
                <w:sz w:val="20"/>
                <w:szCs w:val="20"/>
                <w:lang w:val="en-MY"/>
              </w:rPr>
              <w:t>EM</w:t>
            </w:r>
          </w:p>
        </w:tc>
        <w:tc>
          <w:tcPr>
            <w:tcW w:w="1615" w:type="dxa"/>
            <w:shd w:val="clear" w:color="auto" w:fill="auto"/>
            <w:noWrap/>
            <w:vAlign w:val="bottom"/>
            <w:hideMark/>
          </w:tcPr>
          <w:p w14:paraId="32111820"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1.19</w:t>
            </w:r>
          </w:p>
        </w:tc>
        <w:tc>
          <w:tcPr>
            <w:tcW w:w="1615" w:type="dxa"/>
            <w:shd w:val="clear" w:color="auto" w:fill="auto"/>
            <w:noWrap/>
            <w:vAlign w:val="bottom"/>
            <w:hideMark/>
          </w:tcPr>
          <w:p w14:paraId="54D75958"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1.19</w:t>
            </w:r>
          </w:p>
        </w:tc>
        <w:tc>
          <w:tcPr>
            <w:tcW w:w="1786" w:type="dxa"/>
            <w:shd w:val="clear" w:color="auto" w:fill="auto"/>
            <w:noWrap/>
            <w:vAlign w:val="bottom"/>
            <w:hideMark/>
          </w:tcPr>
          <w:p w14:paraId="2716CBC6"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0.06</w:t>
            </w:r>
          </w:p>
        </w:tc>
        <w:tc>
          <w:tcPr>
            <w:tcW w:w="1663" w:type="dxa"/>
            <w:shd w:val="clear" w:color="auto" w:fill="auto"/>
            <w:noWrap/>
            <w:vAlign w:val="bottom"/>
            <w:hideMark/>
          </w:tcPr>
          <w:p w14:paraId="3094388F"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0.13</w:t>
            </w:r>
          </w:p>
        </w:tc>
        <w:tc>
          <w:tcPr>
            <w:tcW w:w="1525" w:type="dxa"/>
            <w:shd w:val="clear" w:color="auto" w:fill="auto"/>
            <w:noWrap/>
            <w:vAlign w:val="bottom"/>
            <w:hideMark/>
          </w:tcPr>
          <w:p w14:paraId="414A8052"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2.49</w:t>
            </w:r>
          </w:p>
        </w:tc>
      </w:tr>
      <w:tr w:rsidR="000D30AC" w:rsidRPr="00E4714B" w14:paraId="6F9D8C42" w14:textId="77777777" w:rsidTr="000D30AC">
        <w:trPr>
          <w:trHeight w:val="267"/>
          <w:jc w:val="center"/>
        </w:trPr>
        <w:tc>
          <w:tcPr>
            <w:tcW w:w="1296" w:type="dxa"/>
            <w:shd w:val="clear" w:color="auto" w:fill="auto"/>
            <w:noWrap/>
            <w:vAlign w:val="bottom"/>
            <w:hideMark/>
          </w:tcPr>
          <w:p w14:paraId="6F946A65" w14:textId="77777777" w:rsidR="000D30AC" w:rsidRPr="00E4714B" w:rsidRDefault="000D30AC" w:rsidP="00E4714B">
            <w:pPr>
              <w:rPr>
                <w:rFonts w:eastAsia="Times New Roman" w:cs="Times New Roman"/>
                <w:sz w:val="20"/>
                <w:szCs w:val="20"/>
                <w:lang w:val="en-MY"/>
              </w:rPr>
            </w:pPr>
            <w:r w:rsidRPr="00E4714B">
              <w:rPr>
                <w:rFonts w:eastAsia="Times New Roman" w:cs="Times New Roman"/>
                <w:sz w:val="20"/>
                <w:szCs w:val="20"/>
                <w:lang w:val="en-MY"/>
              </w:rPr>
              <w:t>EX</w:t>
            </w:r>
          </w:p>
        </w:tc>
        <w:tc>
          <w:tcPr>
            <w:tcW w:w="1615" w:type="dxa"/>
            <w:shd w:val="clear" w:color="auto" w:fill="auto"/>
            <w:noWrap/>
            <w:vAlign w:val="bottom"/>
            <w:hideMark/>
          </w:tcPr>
          <w:p w14:paraId="2BC29563"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110.50</w:t>
            </w:r>
          </w:p>
        </w:tc>
        <w:tc>
          <w:tcPr>
            <w:tcW w:w="1615" w:type="dxa"/>
            <w:shd w:val="clear" w:color="auto" w:fill="auto"/>
            <w:noWrap/>
            <w:vAlign w:val="bottom"/>
            <w:hideMark/>
          </w:tcPr>
          <w:p w14:paraId="62E9B1A2"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112.15</w:t>
            </w:r>
          </w:p>
        </w:tc>
        <w:tc>
          <w:tcPr>
            <w:tcW w:w="1786" w:type="dxa"/>
            <w:shd w:val="clear" w:color="auto" w:fill="auto"/>
            <w:noWrap/>
            <w:vAlign w:val="bottom"/>
            <w:hideMark/>
          </w:tcPr>
          <w:p w14:paraId="55A6EB46"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7.31</w:t>
            </w:r>
          </w:p>
        </w:tc>
        <w:tc>
          <w:tcPr>
            <w:tcW w:w="1663" w:type="dxa"/>
            <w:shd w:val="clear" w:color="auto" w:fill="auto"/>
            <w:noWrap/>
            <w:vAlign w:val="bottom"/>
            <w:hideMark/>
          </w:tcPr>
          <w:p w14:paraId="7F9CAF5F"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-0.32</w:t>
            </w:r>
          </w:p>
        </w:tc>
        <w:tc>
          <w:tcPr>
            <w:tcW w:w="1525" w:type="dxa"/>
            <w:shd w:val="clear" w:color="auto" w:fill="auto"/>
            <w:noWrap/>
            <w:vAlign w:val="bottom"/>
            <w:hideMark/>
          </w:tcPr>
          <w:p w14:paraId="3900D2A3"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1.94</w:t>
            </w:r>
          </w:p>
        </w:tc>
      </w:tr>
      <w:tr w:rsidR="000D30AC" w:rsidRPr="00E4714B" w14:paraId="7810A2F4" w14:textId="77777777" w:rsidTr="000D30AC">
        <w:trPr>
          <w:trHeight w:val="267"/>
          <w:jc w:val="center"/>
        </w:trPr>
        <w:tc>
          <w:tcPr>
            <w:tcW w:w="1296" w:type="dxa"/>
            <w:shd w:val="clear" w:color="auto" w:fill="auto"/>
            <w:noWrap/>
            <w:vAlign w:val="bottom"/>
            <w:hideMark/>
          </w:tcPr>
          <w:p w14:paraId="0A1AA00A" w14:textId="77777777" w:rsidR="000D30AC" w:rsidRPr="00E4714B" w:rsidRDefault="000D30AC" w:rsidP="00E4714B">
            <w:pPr>
              <w:rPr>
                <w:rFonts w:eastAsia="Times New Roman" w:cs="Times New Roman"/>
                <w:sz w:val="20"/>
                <w:szCs w:val="20"/>
                <w:lang w:val="en-MY"/>
              </w:rPr>
            </w:pPr>
            <w:r w:rsidRPr="00E4714B">
              <w:rPr>
                <w:rFonts w:eastAsia="Times New Roman" w:cs="Times New Roman"/>
                <w:sz w:val="20"/>
                <w:szCs w:val="20"/>
                <w:lang w:val="en-MY"/>
              </w:rPr>
              <w:t>IP</w:t>
            </w:r>
          </w:p>
        </w:tc>
        <w:tc>
          <w:tcPr>
            <w:tcW w:w="1615" w:type="dxa"/>
            <w:shd w:val="clear" w:color="auto" w:fill="auto"/>
            <w:noWrap/>
            <w:vAlign w:val="bottom"/>
            <w:hideMark/>
          </w:tcPr>
          <w:p w14:paraId="3A7A4E04"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102.00</w:t>
            </w:r>
          </w:p>
        </w:tc>
        <w:tc>
          <w:tcPr>
            <w:tcW w:w="1615" w:type="dxa"/>
            <w:shd w:val="clear" w:color="auto" w:fill="auto"/>
            <w:noWrap/>
            <w:vAlign w:val="bottom"/>
            <w:hideMark/>
          </w:tcPr>
          <w:p w14:paraId="010FB3A4"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100.20</w:t>
            </w:r>
          </w:p>
        </w:tc>
        <w:tc>
          <w:tcPr>
            <w:tcW w:w="1786" w:type="dxa"/>
            <w:shd w:val="clear" w:color="auto" w:fill="auto"/>
            <w:noWrap/>
            <w:vAlign w:val="bottom"/>
            <w:hideMark/>
          </w:tcPr>
          <w:p w14:paraId="646942ED"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13.52</w:t>
            </w:r>
          </w:p>
        </w:tc>
        <w:tc>
          <w:tcPr>
            <w:tcW w:w="1663" w:type="dxa"/>
            <w:shd w:val="clear" w:color="auto" w:fill="auto"/>
            <w:noWrap/>
            <w:vAlign w:val="bottom"/>
            <w:hideMark/>
          </w:tcPr>
          <w:p w14:paraId="35397C81"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0.11</w:t>
            </w:r>
          </w:p>
        </w:tc>
        <w:tc>
          <w:tcPr>
            <w:tcW w:w="1525" w:type="dxa"/>
            <w:shd w:val="clear" w:color="auto" w:fill="auto"/>
            <w:noWrap/>
            <w:vAlign w:val="bottom"/>
            <w:hideMark/>
          </w:tcPr>
          <w:p w14:paraId="796A24BF"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1.94</w:t>
            </w:r>
          </w:p>
        </w:tc>
      </w:tr>
      <w:tr w:rsidR="000D30AC" w:rsidRPr="00E4714B" w14:paraId="0054F8E3" w14:textId="77777777" w:rsidTr="000D30AC">
        <w:trPr>
          <w:trHeight w:val="267"/>
          <w:jc w:val="center"/>
        </w:trPr>
        <w:tc>
          <w:tcPr>
            <w:tcW w:w="1296" w:type="dxa"/>
            <w:tcBorders>
              <w:bottom w:val="single" w:sz="4" w:space="0" w:color="auto"/>
            </w:tcBorders>
            <w:shd w:val="clear" w:color="auto" w:fill="auto"/>
            <w:noWrap/>
            <w:vAlign w:val="bottom"/>
            <w:hideMark/>
          </w:tcPr>
          <w:p w14:paraId="31485650" w14:textId="77777777" w:rsidR="000D30AC" w:rsidRPr="00E4714B" w:rsidRDefault="000D30AC" w:rsidP="00E4714B">
            <w:pPr>
              <w:rPr>
                <w:rFonts w:eastAsia="Times New Roman" w:cs="Times New Roman"/>
                <w:sz w:val="20"/>
                <w:szCs w:val="20"/>
                <w:lang w:val="en-MY"/>
              </w:rPr>
            </w:pPr>
            <w:r w:rsidRPr="00E4714B">
              <w:rPr>
                <w:rFonts w:eastAsia="Times New Roman" w:cs="Times New Roman"/>
                <w:sz w:val="20"/>
                <w:szCs w:val="20"/>
                <w:lang w:val="en-MY"/>
              </w:rPr>
              <w:t>CPI</w:t>
            </w:r>
          </w:p>
        </w:tc>
        <w:tc>
          <w:tcPr>
            <w:tcW w:w="1615" w:type="dxa"/>
            <w:tcBorders>
              <w:bottom w:val="single" w:sz="4" w:space="0" w:color="auto"/>
            </w:tcBorders>
            <w:shd w:val="clear" w:color="auto" w:fill="auto"/>
            <w:noWrap/>
            <w:vAlign w:val="bottom"/>
            <w:hideMark/>
          </w:tcPr>
          <w:p w14:paraId="3F2415A7"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102.95</w:t>
            </w:r>
          </w:p>
        </w:tc>
        <w:tc>
          <w:tcPr>
            <w:tcW w:w="1615" w:type="dxa"/>
            <w:tcBorders>
              <w:bottom w:val="single" w:sz="4" w:space="0" w:color="auto"/>
            </w:tcBorders>
            <w:shd w:val="clear" w:color="auto" w:fill="auto"/>
            <w:noWrap/>
            <w:vAlign w:val="bottom"/>
            <w:hideMark/>
          </w:tcPr>
          <w:p w14:paraId="665F724B"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103.28</w:t>
            </w:r>
          </w:p>
        </w:tc>
        <w:tc>
          <w:tcPr>
            <w:tcW w:w="1786" w:type="dxa"/>
            <w:tcBorders>
              <w:bottom w:val="single" w:sz="4" w:space="0" w:color="auto"/>
            </w:tcBorders>
            <w:shd w:val="clear" w:color="auto" w:fill="auto"/>
            <w:noWrap/>
            <w:vAlign w:val="bottom"/>
            <w:hideMark/>
          </w:tcPr>
          <w:p w14:paraId="2BDABA21"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14.99</w:t>
            </w:r>
          </w:p>
        </w:tc>
        <w:tc>
          <w:tcPr>
            <w:tcW w:w="1663" w:type="dxa"/>
            <w:tcBorders>
              <w:bottom w:val="single" w:sz="4" w:space="0" w:color="auto"/>
            </w:tcBorders>
            <w:shd w:val="clear" w:color="auto" w:fill="auto"/>
            <w:noWrap/>
            <w:vAlign w:val="bottom"/>
            <w:hideMark/>
          </w:tcPr>
          <w:p w14:paraId="01234FBF"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0.00</w:t>
            </w:r>
          </w:p>
        </w:tc>
        <w:tc>
          <w:tcPr>
            <w:tcW w:w="1525" w:type="dxa"/>
            <w:tcBorders>
              <w:bottom w:val="single" w:sz="4" w:space="0" w:color="auto"/>
            </w:tcBorders>
            <w:shd w:val="clear" w:color="auto" w:fill="auto"/>
            <w:noWrap/>
            <w:vAlign w:val="bottom"/>
            <w:hideMark/>
          </w:tcPr>
          <w:p w14:paraId="42B6F800" w14:textId="77777777" w:rsidR="000D30AC" w:rsidRPr="00E4714B" w:rsidRDefault="000D30AC" w:rsidP="00E4714B">
            <w:pPr>
              <w:jc w:val="right"/>
              <w:rPr>
                <w:rFonts w:eastAsia="Times New Roman" w:cs="Times New Roman"/>
                <w:sz w:val="20"/>
                <w:szCs w:val="20"/>
                <w:lang w:val="en-MY"/>
              </w:rPr>
            </w:pPr>
            <w:r w:rsidRPr="00E4714B">
              <w:rPr>
                <w:rFonts w:eastAsia="Times New Roman" w:cs="Times New Roman"/>
                <w:sz w:val="20"/>
                <w:szCs w:val="20"/>
                <w:lang w:val="en-MY"/>
              </w:rPr>
              <w:t>1.64</w:t>
            </w:r>
          </w:p>
        </w:tc>
      </w:tr>
    </w:tbl>
    <w:p w14:paraId="710DD79E" w14:textId="77777777" w:rsidR="003B447E" w:rsidRPr="00E4714B" w:rsidRDefault="003B447E" w:rsidP="00E4714B">
      <w:pPr>
        <w:rPr>
          <w:rFonts w:eastAsia="Times New Roman" w:cs="Times New Roman"/>
          <w:iCs/>
          <w:color w:val="000000"/>
          <w:sz w:val="20"/>
          <w:szCs w:val="20"/>
        </w:rPr>
      </w:pPr>
    </w:p>
    <w:p w14:paraId="3B15B785" w14:textId="041AAD8E" w:rsidR="003B447E" w:rsidRPr="00E4714B" w:rsidRDefault="003B447E" w:rsidP="00E4714B">
      <w:pPr>
        <w:rPr>
          <w:rFonts w:eastAsia="Times New Roman" w:cs="Times New Roman"/>
          <w:iCs/>
          <w:sz w:val="20"/>
          <w:szCs w:val="20"/>
        </w:rPr>
      </w:pPr>
      <w:r w:rsidRPr="00E4714B">
        <w:rPr>
          <w:rFonts w:eastAsia="Times New Roman" w:cs="Times New Roman"/>
          <w:b/>
          <w:bCs/>
          <w:iCs/>
          <w:sz w:val="20"/>
          <w:szCs w:val="20"/>
        </w:rPr>
        <w:t>Table 2:</w:t>
      </w:r>
      <w:r w:rsidRPr="00E4714B">
        <w:rPr>
          <w:rFonts w:eastAsia="Times New Roman" w:cs="Times New Roman"/>
          <w:iCs/>
          <w:sz w:val="20"/>
          <w:szCs w:val="20"/>
        </w:rPr>
        <w:t xml:space="preserve"> </w:t>
      </w:r>
      <w:r w:rsidRPr="00E4714B">
        <w:rPr>
          <w:rFonts w:eastAsia="Times New Roman" w:cs="Times New Roman"/>
          <w:b/>
          <w:bCs/>
          <w:iCs/>
          <w:sz w:val="20"/>
          <w:szCs w:val="20"/>
        </w:rPr>
        <w:t>Correlation Matrix</w:t>
      </w:r>
    </w:p>
    <w:tbl>
      <w:tblPr>
        <w:tblW w:w="9125" w:type="dxa"/>
        <w:tblLook w:val="04A0" w:firstRow="1" w:lastRow="0" w:firstColumn="1" w:lastColumn="0" w:noHBand="0" w:noVBand="1"/>
      </w:tblPr>
      <w:tblGrid>
        <w:gridCol w:w="1090"/>
        <w:gridCol w:w="1225"/>
        <w:gridCol w:w="1225"/>
        <w:gridCol w:w="1081"/>
        <w:gridCol w:w="1225"/>
        <w:gridCol w:w="1225"/>
        <w:gridCol w:w="1153"/>
        <w:gridCol w:w="973"/>
      </w:tblGrid>
      <w:tr w:rsidR="003B447E" w:rsidRPr="00E4714B" w14:paraId="7B958146" w14:textId="77777777" w:rsidTr="00E4714B">
        <w:trPr>
          <w:trHeight w:val="301"/>
        </w:trPr>
        <w:tc>
          <w:tcPr>
            <w:tcW w:w="1018" w:type="dxa"/>
            <w:tcBorders>
              <w:top w:val="single" w:sz="4" w:space="0" w:color="auto"/>
              <w:bottom w:val="single" w:sz="4" w:space="0" w:color="auto"/>
            </w:tcBorders>
            <w:shd w:val="clear" w:color="auto" w:fill="auto"/>
            <w:noWrap/>
            <w:vAlign w:val="bottom"/>
            <w:hideMark/>
          </w:tcPr>
          <w:p w14:paraId="4B2E2B2E" w14:textId="77777777" w:rsidR="003B447E" w:rsidRPr="00E4714B" w:rsidRDefault="003B447E" w:rsidP="00E4714B">
            <w:pPr>
              <w:rPr>
                <w:rFonts w:eastAsia="Times New Roman" w:cs="Times New Roman"/>
                <w:b/>
                <w:bCs/>
                <w:sz w:val="20"/>
                <w:szCs w:val="20"/>
                <w:lang w:val="en-MY"/>
              </w:rPr>
            </w:pPr>
            <w:r w:rsidRPr="00E4714B">
              <w:rPr>
                <w:rFonts w:eastAsia="Times New Roman" w:cs="Times New Roman"/>
                <w:b/>
                <w:bCs/>
                <w:sz w:val="20"/>
                <w:szCs w:val="20"/>
                <w:lang w:val="en-MY"/>
              </w:rPr>
              <w:t>Variables</w:t>
            </w:r>
          </w:p>
        </w:tc>
        <w:tc>
          <w:tcPr>
            <w:tcW w:w="1225" w:type="dxa"/>
            <w:tcBorders>
              <w:top w:val="single" w:sz="4" w:space="0" w:color="auto"/>
              <w:bottom w:val="single" w:sz="4" w:space="0" w:color="auto"/>
            </w:tcBorders>
            <w:shd w:val="clear" w:color="auto" w:fill="auto"/>
            <w:noWrap/>
            <w:vAlign w:val="bottom"/>
            <w:hideMark/>
          </w:tcPr>
          <w:p w14:paraId="453B5096" w14:textId="77777777" w:rsidR="003B447E" w:rsidRPr="00E4714B" w:rsidRDefault="003B447E" w:rsidP="00E4714B">
            <w:pPr>
              <w:rPr>
                <w:rFonts w:eastAsia="Times New Roman" w:cs="Times New Roman"/>
                <w:b/>
                <w:bCs/>
                <w:sz w:val="20"/>
                <w:szCs w:val="20"/>
                <w:lang w:val="en-MY"/>
              </w:rPr>
            </w:pPr>
            <w:r w:rsidRPr="00E4714B">
              <w:rPr>
                <w:rFonts w:eastAsia="Times New Roman" w:cs="Times New Roman"/>
                <w:b/>
                <w:bCs/>
                <w:sz w:val="20"/>
                <w:szCs w:val="20"/>
                <w:lang w:val="en-MY"/>
              </w:rPr>
              <w:t>TA</w:t>
            </w:r>
          </w:p>
        </w:tc>
        <w:tc>
          <w:tcPr>
            <w:tcW w:w="1225" w:type="dxa"/>
            <w:tcBorders>
              <w:top w:val="single" w:sz="4" w:space="0" w:color="auto"/>
              <w:bottom w:val="single" w:sz="4" w:space="0" w:color="auto"/>
            </w:tcBorders>
            <w:shd w:val="clear" w:color="auto" w:fill="auto"/>
            <w:noWrap/>
            <w:vAlign w:val="bottom"/>
            <w:hideMark/>
          </w:tcPr>
          <w:p w14:paraId="0F8F7245" w14:textId="77777777" w:rsidR="003B447E" w:rsidRPr="00E4714B" w:rsidRDefault="003B447E" w:rsidP="00E4714B">
            <w:pPr>
              <w:rPr>
                <w:rFonts w:eastAsia="Times New Roman" w:cs="Times New Roman"/>
                <w:b/>
                <w:bCs/>
                <w:sz w:val="20"/>
                <w:szCs w:val="20"/>
                <w:lang w:val="en-MY"/>
              </w:rPr>
            </w:pPr>
            <w:r w:rsidRPr="00E4714B">
              <w:rPr>
                <w:rFonts w:eastAsia="Times New Roman" w:cs="Times New Roman"/>
                <w:b/>
                <w:bCs/>
                <w:sz w:val="20"/>
                <w:szCs w:val="20"/>
                <w:lang w:val="en-MY"/>
              </w:rPr>
              <w:t>GPR</w:t>
            </w:r>
          </w:p>
        </w:tc>
        <w:tc>
          <w:tcPr>
            <w:tcW w:w="1081" w:type="dxa"/>
            <w:tcBorders>
              <w:top w:val="single" w:sz="4" w:space="0" w:color="auto"/>
              <w:bottom w:val="single" w:sz="4" w:space="0" w:color="auto"/>
            </w:tcBorders>
            <w:shd w:val="clear" w:color="auto" w:fill="auto"/>
            <w:noWrap/>
            <w:vAlign w:val="bottom"/>
            <w:hideMark/>
          </w:tcPr>
          <w:p w14:paraId="0D1F8A80" w14:textId="77777777" w:rsidR="003B447E" w:rsidRPr="00E4714B" w:rsidRDefault="003B447E" w:rsidP="00E4714B">
            <w:pPr>
              <w:rPr>
                <w:rFonts w:eastAsia="Times New Roman" w:cs="Times New Roman"/>
                <w:b/>
                <w:bCs/>
                <w:sz w:val="20"/>
                <w:szCs w:val="20"/>
                <w:lang w:val="en-MY"/>
              </w:rPr>
            </w:pPr>
            <w:r w:rsidRPr="00E4714B">
              <w:rPr>
                <w:rFonts w:eastAsia="Times New Roman" w:cs="Times New Roman"/>
                <w:b/>
                <w:bCs/>
                <w:sz w:val="20"/>
                <w:szCs w:val="20"/>
                <w:lang w:val="en-MY"/>
              </w:rPr>
              <w:t>EU</w:t>
            </w:r>
          </w:p>
        </w:tc>
        <w:tc>
          <w:tcPr>
            <w:tcW w:w="1225" w:type="dxa"/>
            <w:tcBorders>
              <w:top w:val="single" w:sz="4" w:space="0" w:color="auto"/>
              <w:bottom w:val="single" w:sz="4" w:space="0" w:color="auto"/>
            </w:tcBorders>
            <w:shd w:val="clear" w:color="auto" w:fill="auto"/>
            <w:noWrap/>
            <w:vAlign w:val="bottom"/>
            <w:hideMark/>
          </w:tcPr>
          <w:p w14:paraId="0E110447" w14:textId="77777777" w:rsidR="003B447E" w:rsidRPr="00E4714B" w:rsidRDefault="003B447E" w:rsidP="00E4714B">
            <w:pPr>
              <w:rPr>
                <w:rFonts w:eastAsia="Times New Roman" w:cs="Times New Roman"/>
                <w:b/>
                <w:bCs/>
                <w:sz w:val="20"/>
                <w:szCs w:val="20"/>
                <w:lang w:val="en-MY"/>
              </w:rPr>
            </w:pPr>
            <w:r w:rsidRPr="00E4714B">
              <w:rPr>
                <w:rFonts w:eastAsia="Times New Roman" w:cs="Times New Roman"/>
                <w:b/>
                <w:bCs/>
                <w:sz w:val="20"/>
                <w:szCs w:val="20"/>
                <w:lang w:val="en-MY"/>
              </w:rPr>
              <w:t>EM</w:t>
            </w:r>
          </w:p>
        </w:tc>
        <w:tc>
          <w:tcPr>
            <w:tcW w:w="1225" w:type="dxa"/>
            <w:tcBorders>
              <w:top w:val="single" w:sz="4" w:space="0" w:color="auto"/>
              <w:bottom w:val="single" w:sz="4" w:space="0" w:color="auto"/>
            </w:tcBorders>
            <w:shd w:val="clear" w:color="auto" w:fill="auto"/>
            <w:noWrap/>
            <w:vAlign w:val="bottom"/>
            <w:hideMark/>
          </w:tcPr>
          <w:p w14:paraId="3DDDDEFA" w14:textId="77777777" w:rsidR="003B447E" w:rsidRPr="00E4714B" w:rsidRDefault="003B447E" w:rsidP="00E4714B">
            <w:pPr>
              <w:rPr>
                <w:rFonts w:eastAsia="Times New Roman" w:cs="Times New Roman"/>
                <w:b/>
                <w:bCs/>
                <w:sz w:val="20"/>
                <w:szCs w:val="20"/>
                <w:lang w:val="en-MY"/>
              </w:rPr>
            </w:pPr>
            <w:r w:rsidRPr="00E4714B">
              <w:rPr>
                <w:rFonts w:eastAsia="Times New Roman" w:cs="Times New Roman"/>
                <w:b/>
                <w:bCs/>
                <w:sz w:val="20"/>
                <w:szCs w:val="20"/>
                <w:lang w:val="en-MY"/>
              </w:rPr>
              <w:t>EX</w:t>
            </w:r>
          </w:p>
        </w:tc>
        <w:tc>
          <w:tcPr>
            <w:tcW w:w="1153" w:type="dxa"/>
            <w:tcBorders>
              <w:top w:val="single" w:sz="4" w:space="0" w:color="auto"/>
              <w:bottom w:val="single" w:sz="4" w:space="0" w:color="auto"/>
            </w:tcBorders>
            <w:shd w:val="clear" w:color="auto" w:fill="auto"/>
            <w:noWrap/>
            <w:vAlign w:val="bottom"/>
            <w:hideMark/>
          </w:tcPr>
          <w:p w14:paraId="03BFE5BB" w14:textId="77777777" w:rsidR="003B447E" w:rsidRPr="00E4714B" w:rsidRDefault="003B447E" w:rsidP="00E4714B">
            <w:pPr>
              <w:rPr>
                <w:rFonts w:eastAsia="Times New Roman" w:cs="Times New Roman"/>
                <w:b/>
                <w:bCs/>
                <w:sz w:val="20"/>
                <w:szCs w:val="20"/>
                <w:lang w:val="en-MY"/>
              </w:rPr>
            </w:pPr>
            <w:r w:rsidRPr="00E4714B">
              <w:rPr>
                <w:rFonts w:eastAsia="Times New Roman" w:cs="Times New Roman"/>
                <w:b/>
                <w:bCs/>
                <w:sz w:val="20"/>
                <w:szCs w:val="20"/>
                <w:lang w:val="en-MY"/>
              </w:rPr>
              <w:t>IP</w:t>
            </w:r>
          </w:p>
        </w:tc>
        <w:tc>
          <w:tcPr>
            <w:tcW w:w="973" w:type="dxa"/>
            <w:tcBorders>
              <w:top w:val="single" w:sz="4" w:space="0" w:color="auto"/>
              <w:bottom w:val="single" w:sz="4" w:space="0" w:color="auto"/>
            </w:tcBorders>
            <w:shd w:val="clear" w:color="auto" w:fill="auto"/>
            <w:noWrap/>
            <w:vAlign w:val="bottom"/>
            <w:hideMark/>
          </w:tcPr>
          <w:p w14:paraId="73DCE04B" w14:textId="77777777" w:rsidR="003B447E" w:rsidRPr="00E4714B" w:rsidRDefault="003B447E" w:rsidP="00E4714B">
            <w:pPr>
              <w:rPr>
                <w:rFonts w:eastAsia="Times New Roman" w:cs="Times New Roman"/>
                <w:b/>
                <w:bCs/>
                <w:sz w:val="20"/>
                <w:szCs w:val="20"/>
                <w:lang w:val="en-MY"/>
              </w:rPr>
            </w:pPr>
            <w:r w:rsidRPr="00E4714B">
              <w:rPr>
                <w:rFonts w:eastAsia="Times New Roman" w:cs="Times New Roman"/>
                <w:b/>
                <w:bCs/>
                <w:sz w:val="20"/>
                <w:szCs w:val="20"/>
                <w:lang w:val="en-MY"/>
              </w:rPr>
              <w:t>CPI</w:t>
            </w:r>
          </w:p>
        </w:tc>
      </w:tr>
      <w:tr w:rsidR="003B447E" w:rsidRPr="00E4714B" w14:paraId="0971BDCC" w14:textId="77777777" w:rsidTr="00E4714B">
        <w:trPr>
          <w:trHeight w:val="301"/>
        </w:trPr>
        <w:tc>
          <w:tcPr>
            <w:tcW w:w="1018" w:type="dxa"/>
            <w:tcBorders>
              <w:top w:val="single" w:sz="4" w:space="0" w:color="auto"/>
            </w:tcBorders>
            <w:shd w:val="clear" w:color="auto" w:fill="auto"/>
            <w:noWrap/>
            <w:vAlign w:val="bottom"/>
            <w:hideMark/>
          </w:tcPr>
          <w:p w14:paraId="318D4727"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TA</w:t>
            </w:r>
          </w:p>
        </w:tc>
        <w:tc>
          <w:tcPr>
            <w:tcW w:w="1225" w:type="dxa"/>
            <w:tcBorders>
              <w:top w:val="single" w:sz="4" w:space="0" w:color="auto"/>
            </w:tcBorders>
            <w:shd w:val="clear" w:color="auto" w:fill="auto"/>
            <w:noWrap/>
            <w:vAlign w:val="bottom"/>
            <w:hideMark/>
          </w:tcPr>
          <w:p w14:paraId="13EF6C3A"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1.00</w:t>
            </w:r>
          </w:p>
        </w:tc>
        <w:tc>
          <w:tcPr>
            <w:tcW w:w="1225" w:type="dxa"/>
            <w:tcBorders>
              <w:top w:val="single" w:sz="4" w:space="0" w:color="auto"/>
            </w:tcBorders>
            <w:shd w:val="clear" w:color="auto" w:fill="auto"/>
            <w:noWrap/>
            <w:vAlign w:val="bottom"/>
            <w:hideMark/>
          </w:tcPr>
          <w:p w14:paraId="6317A45E"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081" w:type="dxa"/>
            <w:tcBorders>
              <w:top w:val="single" w:sz="4" w:space="0" w:color="auto"/>
            </w:tcBorders>
            <w:shd w:val="clear" w:color="auto" w:fill="auto"/>
            <w:noWrap/>
            <w:vAlign w:val="bottom"/>
            <w:hideMark/>
          </w:tcPr>
          <w:p w14:paraId="1D0985F0"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225" w:type="dxa"/>
            <w:tcBorders>
              <w:top w:val="single" w:sz="4" w:space="0" w:color="auto"/>
            </w:tcBorders>
            <w:shd w:val="clear" w:color="auto" w:fill="auto"/>
            <w:noWrap/>
            <w:vAlign w:val="bottom"/>
            <w:hideMark/>
          </w:tcPr>
          <w:p w14:paraId="11640F39"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225" w:type="dxa"/>
            <w:tcBorders>
              <w:top w:val="single" w:sz="4" w:space="0" w:color="auto"/>
            </w:tcBorders>
            <w:shd w:val="clear" w:color="auto" w:fill="auto"/>
            <w:noWrap/>
            <w:vAlign w:val="bottom"/>
            <w:hideMark/>
          </w:tcPr>
          <w:p w14:paraId="46A8B8AD"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153" w:type="dxa"/>
            <w:tcBorders>
              <w:top w:val="single" w:sz="4" w:space="0" w:color="auto"/>
            </w:tcBorders>
            <w:shd w:val="clear" w:color="auto" w:fill="auto"/>
            <w:noWrap/>
            <w:vAlign w:val="bottom"/>
            <w:hideMark/>
          </w:tcPr>
          <w:p w14:paraId="51C19CD0"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973" w:type="dxa"/>
            <w:tcBorders>
              <w:top w:val="single" w:sz="4" w:space="0" w:color="auto"/>
            </w:tcBorders>
            <w:shd w:val="clear" w:color="auto" w:fill="auto"/>
            <w:noWrap/>
            <w:vAlign w:val="bottom"/>
            <w:hideMark/>
          </w:tcPr>
          <w:p w14:paraId="0BA9BAD9"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r>
      <w:tr w:rsidR="003B447E" w:rsidRPr="00E4714B" w14:paraId="7039222A" w14:textId="77777777" w:rsidTr="00E4714B">
        <w:trPr>
          <w:trHeight w:val="301"/>
        </w:trPr>
        <w:tc>
          <w:tcPr>
            <w:tcW w:w="1018" w:type="dxa"/>
            <w:shd w:val="clear" w:color="auto" w:fill="auto"/>
            <w:noWrap/>
            <w:vAlign w:val="bottom"/>
            <w:hideMark/>
          </w:tcPr>
          <w:p w14:paraId="6B8AFFF7"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GPR</w:t>
            </w:r>
          </w:p>
        </w:tc>
        <w:tc>
          <w:tcPr>
            <w:tcW w:w="1225" w:type="dxa"/>
            <w:shd w:val="clear" w:color="auto" w:fill="auto"/>
            <w:noWrap/>
            <w:vAlign w:val="bottom"/>
            <w:hideMark/>
          </w:tcPr>
          <w:p w14:paraId="4E8AA429"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0.01</w:t>
            </w:r>
          </w:p>
        </w:tc>
        <w:tc>
          <w:tcPr>
            <w:tcW w:w="1225" w:type="dxa"/>
            <w:shd w:val="clear" w:color="auto" w:fill="auto"/>
            <w:noWrap/>
            <w:vAlign w:val="bottom"/>
            <w:hideMark/>
          </w:tcPr>
          <w:p w14:paraId="37C8956F"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1.00</w:t>
            </w:r>
          </w:p>
        </w:tc>
        <w:tc>
          <w:tcPr>
            <w:tcW w:w="1081" w:type="dxa"/>
            <w:shd w:val="clear" w:color="auto" w:fill="auto"/>
            <w:noWrap/>
            <w:vAlign w:val="bottom"/>
            <w:hideMark/>
          </w:tcPr>
          <w:p w14:paraId="25198351"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225" w:type="dxa"/>
            <w:shd w:val="clear" w:color="auto" w:fill="auto"/>
            <w:noWrap/>
            <w:vAlign w:val="bottom"/>
            <w:hideMark/>
          </w:tcPr>
          <w:p w14:paraId="5ECF728C"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225" w:type="dxa"/>
            <w:shd w:val="clear" w:color="auto" w:fill="auto"/>
            <w:noWrap/>
            <w:vAlign w:val="bottom"/>
            <w:hideMark/>
          </w:tcPr>
          <w:p w14:paraId="576A4092"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153" w:type="dxa"/>
            <w:shd w:val="clear" w:color="auto" w:fill="auto"/>
            <w:noWrap/>
            <w:vAlign w:val="bottom"/>
            <w:hideMark/>
          </w:tcPr>
          <w:p w14:paraId="223C0778"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973" w:type="dxa"/>
            <w:shd w:val="clear" w:color="auto" w:fill="auto"/>
            <w:noWrap/>
            <w:vAlign w:val="bottom"/>
            <w:hideMark/>
          </w:tcPr>
          <w:p w14:paraId="73F745AE"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r>
      <w:tr w:rsidR="003B447E" w:rsidRPr="00E4714B" w14:paraId="7FA312C8" w14:textId="77777777" w:rsidTr="00E4714B">
        <w:trPr>
          <w:trHeight w:val="301"/>
        </w:trPr>
        <w:tc>
          <w:tcPr>
            <w:tcW w:w="1018" w:type="dxa"/>
            <w:shd w:val="clear" w:color="auto" w:fill="auto"/>
            <w:noWrap/>
            <w:vAlign w:val="bottom"/>
            <w:hideMark/>
          </w:tcPr>
          <w:p w14:paraId="5AE08C22"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EU</w:t>
            </w:r>
          </w:p>
        </w:tc>
        <w:tc>
          <w:tcPr>
            <w:tcW w:w="1225" w:type="dxa"/>
            <w:shd w:val="clear" w:color="auto" w:fill="auto"/>
            <w:noWrap/>
            <w:vAlign w:val="bottom"/>
            <w:hideMark/>
          </w:tcPr>
          <w:p w14:paraId="736CDD53"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-0.33***</w:t>
            </w:r>
          </w:p>
        </w:tc>
        <w:tc>
          <w:tcPr>
            <w:tcW w:w="1225" w:type="dxa"/>
            <w:shd w:val="clear" w:color="auto" w:fill="auto"/>
            <w:noWrap/>
            <w:vAlign w:val="bottom"/>
            <w:hideMark/>
          </w:tcPr>
          <w:p w14:paraId="3273A55A"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0.00</w:t>
            </w:r>
          </w:p>
        </w:tc>
        <w:tc>
          <w:tcPr>
            <w:tcW w:w="1081" w:type="dxa"/>
            <w:shd w:val="clear" w:color="auto" w:fill="auto"/>
            <w:noWrap/>
            <w:vAlign w:val="bottom"/>
            <w:hideMark/>
          </w:tcPr>
          <w:p w14:paraId="199B2C43"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1.00</w:t>
            </w:r>
          </w:p>
        </w:tc>
        <w:tc>
          <w:tcPr>
            <w:tcW w:w="1225" w:type="dxa"/>
            <w:shd w:val="clear" w:color="auto" w:fill="auto"/>
            <w:noWrap/>
            <w:vAlign w:val="bottom"/>
            <w:hideMark/>
          </w:tcPr>
          <w:p w14:paraId="70FDD383"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225" w:type="dxa"/>
            <w:shd w:val="clear" w:color="auto" w:fill="auto"/>
            <w:noWrap/>
            <w:vAlign w:val="bottom"/>
            <w:hideMark/>
          </w:tcPr>
          <w:p w14:paraId="54A84C3D"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153" w:type="dxa"/>
            <w:shd w:val="clear" w:color="auto" w:fill="auto"/>
            <w:noWrap/>
            <w:vAlign w:val="bottom"/>
            <w:hideMark/>
          </w:tcPr>
          <w:p w14:paraId="57819F8B"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973" w:type="dxa"/>
            <w:shd w:val="clear" w:color="auto" w:fill="auto"/>
            <w:noWrap/>
            <w:vAlign w:val="bottom"/>
            <w:hideMark/>
          </w:tcPr>
          <w:p w14:paraId="22D27A1B"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r>
      <w:tr w:rsidR="003B447E" w:rsidRPr="00E4714B" w14:paraId="2C35306B" w14:textId="77777777" w:rsidTr="00E4714B">
        <w:trPr>
          <w:trHeight w:val="301"/>
        </w:trPr>
        <w:tc>
          <w:tcPr>
            <w:tcW w:w="1018" w:type="dxa"/>
            <w:shd w:val="clear" w:color="auto" w:fill="auto"/>
            <w:noWrap/>
            <w:vAlign w:val="bottom"/>
            <w:hideMark/>
          </w:tcPr>
          <w:p w14:paraId="2E146C9B"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EM</w:t>
            </w:r>
          </w:p>
        </w:tc>
        <w:tc>
          <w:tcPr>
            <w:tcW w:w="1225" w:type="dxa"/>
            <w:shd w:val="clear" w:color="auto" w:fill="auto"/>
            <w:noWrap/>
            <w:vAlign w:val="bottom"/>
            <w:hideMark/>
          </w:tcPr>
          <w:p w14:paraId="60974A27"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-0.46***</w:t>
            </w:r>
          </w:p>
        </w:tc>
        <w:tc>
          <w:tcPr>
            <w:tcW w:w="1225" w:type="dxa"/>
            <w:shd w:val="clear" w:color="auto" w:fill="auto"/>
            <w:noWrap/>
            <w:vAlign w:val="bottom"/>
            <w:hideMark/>
          </w:tcPr>
          <w:p w14:paraId="27049DD3"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-0.22**</w:t>
            </w:r>
          </w:p>
        </w:tc>
        <w:tc>
          <w:tcPr>
            <w:tcW w:w="1081" w:type="dxa"/>
            <w:shd w:val="clear" w:color="auto" w:fill="auto"/>
            <w:noWrap/>
            <w:vAlign w:val="bottom"/>
            <w:hideMark/>
          </w:tcPr>
          <w:p w14:paraId="77277174"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0.27***</w:t>
            </w:r>
          </w:p>
        </w:tc>
        <w:tc>
          <w:tcPr>
            <w:tcW w:w="1225" w:type="dxa"/>
            <w:shd w:val="clear" w:color="auto" w:fill="auto"/>
            <w:noWrap/>
            <w:vAlign w:val="bottom"/>
            <w:hideMark/>
          </w:tcPr>
          <w:p w14:paraId="3F386C1F"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1.00</w:t>
            </w:r>
          </w:p>
        </w:tc>
        <w:tc>
          <w:tcPr>
            <w:tcW w:w="1225" w:type="dxa"/>
            <w:shd w:val="clear" w:color="auto" w:fill="auto"/>
            <w:noWrap/>
            <w:vAlign w:val="bottom"/>
            <w:hideMark/>
          </w:tcPr>
          <w:p w14:paraId="7298BA33"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1153" w:type="dxa"/>
            <w:shd w:val="clear" w:color="auto" w:fill="auto"/>
            <w:noWrap/>
            <w:vAlign w:val="bottom"/>
            <w:hideMark/>
          </w:tcPr>
          <w:p w14:paraId="682C27AB"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973" w:type="dxa"/>
            <w:shd w:val="clear" w:color="auto" w:fill="auto"/>
            <w:noWrap/>
            <w:vAlign w:val="bottom"/>
            <w:hideMark/>
          </w:tcPr>
          <w:p w14:paraId="00FAAFC1"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r>
      <w:tr w:rsidR="003B447E" w:rsidRPr="00E4714B" w14:paraId="0A84DE6C" w14:textId="77777777" w:rsidTr="00E4714B">
        <w:trPr>
          <w:trHeight w:val="301"/>
        </w:trPr>
        <w:tc>
          <w:tcPr>
            <w:tcW w:w="1018" w:type="dxa"/>
            <w:shd w:val="clear" w:color="auto" w:fill="auto"/>
            <w:noWrap/>
            <w:vAlign w:val="bottom"/>
            <w:hideMark/>
          </w:tcPr>
          <w:p w14:paraId="0F8F4048"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EX</w:t>
            </w:r>
          </w:p>
        </w:tc>
        <w:tc>
          <w:tcPr>
            <w:tcW w:w="1225" w:type="dxa"/>
            <w:shd w:val="clear" w:color="auto" w:fill="auto"/>
            <w:noWrap/>
            <w:vAlign w:val="bottom"/>
            <w:hideMark/>
          </w:tcPr>
          <w:p w14:paraId="05A1CD1C"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0.21**</w:t>
            </w:r>
          </w:p>
        </w:tc>
        <w:tc>
          <w:tcPr>
            <w:tcW w:w="1225" w:type="dxa"/>
            <w:shd w:val="clear" w:color="auto" w:fill="auto"/>
            <w:noWrap/>
            <w:vAlign w:val="bottom"/>
            <w:hideMark/>
          </w:tcPr>
          <w:p w14:paraId="2B4656D2"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0.14</w:t>
            </w:r>
          </w:p>
        </w:tc>
        <w:tc>
          <w:tcPr>
            <w:tcW w:w="1081" w:type="dxa"/>
            <w:shd w:val="clear" w:color="auto" w:fill="auto"/>
            <w:noWrap/>
            <w:vAlign w:val="bottom"/>
            <w:hideMark/>
          </w:tcPr>
          <w:p w14:paraId="447D757E"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-0.10</w:t>
            </w:r>
          </w:p>
        </w:tc>
        <w:tc>
          <w:tcPr>
            <w:tcW w:w="1225" w:type="dxa"/>
            <w:shd w:val="clear" w:color="auto" w:fill="auto"/>
            <w:noWrap/>
            <w:vAlign w:val="bottom"/>
            <w:hideMark/>
          </w:tcPr>
          <w:p w14:paraId="1C1131A3"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0.01</w:t>
            </w:r>
          </w:p>
        </w:tc>
        <w:tc>
          <w:tcPr>
            <w:tcW w:w="1225" w:type="dxa"/>
            <w:shd w:val="clear" w:color="auto" w:fill="auto"/>
            <w:noWrap/>
            <w:vAlign w:val="bottom"/>
            <w:hideMark/>
          </w:tcPr>
          <w:p w14:paraId="5AAA07B0"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1.00</w:t>
            </w:r>
          </w:p>
        </w:tc>
        <w:tc>
          <w:tcPr>
            <w:tcW w:w="1153" w:type="dxa"/>
            <w:shd w:val="clear" w:color="auto" w:fill="auto"/>
            <w:noWrap/>
            <w:vAlign w:val="bottom"/>
            <w:hideMark/>
          </w:tcPr>
          <w:p w14:paraId="47F5E419"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c>
          <w:tcPr>
            <w:tcW w:w="973" w:type="dxa"/>
            <w:shd w:val="clear" w:color="auto" w:fill="auto"/>
            <w:noWrap/>
            <w:vAlign w:val="bottom"/>
            <w:hideMark/>
          </w:tcPr>
          <w:p w14:paraId="3F3C61E8"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r>
      <w:tr w:rsidR="003B447E" w:rsidRPr="00E4714B" w14:paraId="68A18AE1" w14:textId="77777777" w:rsidTr="00E4714B">
        <w:trPr>
          <w:trHeight w:val="301"/>
        </w:trPr>
        <w:tc>
          <w:tcPr>
            <w:tcW w:w="1018" w:type="dxa"/>
            <w:shd w:val="clear" w:color="auto" w:fill="auto"/>
            <w:noWrap/>
            <w:vAlign w:val="bottom"/>
            <w:hideMark/>
          </w:tcPr>
          <w:p w14:paraId="2655803F"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IP</w:t>
            </w:r>
          </w:p>
        </w:tc>
        <w:tc>
          <w:tcPr>
            <w:tcW w:w="1225" w:type="dxa"/>
            <w:shd w:val="clear" w:color="auto" w:fill="auto"/>
            <w:noWrap/>
            <w:vAlign w:val="bottom"/>
            <w:hideMark/>
          </w:tcPr>
          <w:p w14:paraId="3925AE67"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-0.48***</w:t>
            </w:r>
          </w:p>
        </w:tc>
        <w:tc>
          <w:tcPr>
            <w:tcW w:w="1225" w:type="dxa"/>
            <w:shd w:val="clear" w:color="auto" w:fill="auto"/>
            <w:noWrap/>
            <w:vAlign w:val="bottom"/>
            <w:hideMark/>
          </w:tcPr>
          <w:p w14:paraId="75A08420"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0.04</w:t>
            </w:r>
          </w:p>
        </w:tc>
        <w:tc>
          <w:tcPr>
            <w:tcW w:w="1081" w:type="dxa"/>
            <w:shd w:val="clear" w:color="auto" w:fill="auto"/>
            <w:noWrap/>
            <w:vAlign w:val="bottom"/>
            <w:hideMark/>
          </w:tcPr>
          <w:p w14:paraId="29F9B03E"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0.25*</w:t>
            </w:r>
          </w:p>
        </w:tc>
        <w:tc>
          <w:tcPr>
            <w:tcW w:w="1225" w:type="dxa"/>
            <w:shd w:val="clear" w:color="auto" w:fill="auto"/>
            <w:noWrap/>
            <w:vAlign w:val="bottom"/>
            <w:hideMark/>
          </w:tcPr>
          <w:p w14:paraId="6AEB14A9"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-0.03</w:t>
            </w:r>
          </w:p>
        </w:tc>
        <w:tc>
          <w:tcPr>
            <w:tcW w:w="1225" w:type="dxa"/>
            <w:shd w:val="clear" w:color="auto" w:fill="auto"/>
            <w:noWrap/>
            <w:vAlign w:val="bottom"/>
            <w:hideMark/>
          </w:tcPr>
          <w:p w14:paraId="578484F0"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-0.82***</w:t>
            </w:r>
          </w:p>
        </w:tc>
        <w:tc>
          <w:tcPr>
            <w:tcW w:w="1153" w:type="dxa"/>
            <w:shd w:val="clear" w:color="auto" w:fill="auto"/>
            <w:noWrap/>
            <w:vAlign w:val="bottom"/>
            <w:hideMark/>
          </w:tcPr>
          <w:p w14:paraId="11ECDA9C"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1.00</w:t>
            </w:r>
          </w:p>
        </w:tc>
        <w:tc>
          <w:tcPr>
            <w:tcW w:w="973" w:type="dxa"/>
            <w:shd w:val="clear" w:color="auto" w:fill="auto"/>
            <w:noWrap/>
            <w:vAlign w:val="bottom"/>
            <w:hideMark/>
          </w:tcPr>
          <w:p w14:paraId="468B49F8"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 </w:t>
            </w:r>
          </w:p>
        </w:tc>
      </w:tr>
      <w:tr w:rsidR="003B447E" w:rsidRPr="00E4714B" w14:paraId="25C4B51B" w14:textId="77777777" w:rsidTr="00E4714B">
        <w:trPr>
          <w:trHeight w:val="301"/>
        </w:trPr>
        <w:tc>
          <w:tcPr>
            <w:tcW w:w="1018" w:type="dxa"/>
            <w:tcBorders>
              <w:bottom w:val="single" w:sz="4" w:space="0" w:color="auto"/>
            </w:tcBorders>
            <w:shd w:val="clear" w:color="auto" w:fill="auto"/>
            <w:noWrap/>
            <w:vAlign w:val="bottom"/>
            <w:hideMark/>
          </w:tcPr>
          <w:p w14:paraId="1859C723"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CPI</w:t>
            </w:r>
          </w:p>
        </w:tc>
        <w:tc>
          <w:tcPr>
            <w:tcW w:w="1225" w:type="dxa"/>
            <w:tcBorders>
              <w:bottom w:val="single" w:sz="4" w:space="0" w:color="auto"/>
            </w:tcBorders>
            <w:shd w:val="clear" w:color="auto" w:fill="auto"/>
            <w:noWrap/>
            <w:vAlign w:val="bottom"/>
            <w:hideMark/>
          </w:tcPr>
          <w:p w14:paraId="473944AF"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0.15</w:t>
            </w:r>
          </w:p>
        </w:tc>
        <w:tc>
          <w:tcPr>
            <w:tcW w:w="1225" w:type="dxa"/>
            <w:tcBorders>
              <w:bottom w:val="single" w:sz="4" w:space="0" w:color="auto"/>
            </w:tcBorders>
            <w:shd w:val="clear" w:color="auto" w:fill="auto"/>
            <w:noWrap/>
            <w:vAlign w:val="bottom"/>
            <w:hideMark/>
          </w:tcPr>
          <w:p w14:paraId="7B0CC589"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-0.07</w:t>
            </w:r>
          </w:p>
        </w:tc>
        <w:tc>
          <w:tcPr>
            <w:tcW w:w="1081" w:type="dxa"/>
            <w:tcBorders>
              <w:bottom w:val="single" w:sz="4" w:space="0" w:color="auto"/>
            </w:tcBorders>
            <w:shd w:val="clear" w:color="auto" w:fill="auto"/>
            <w:noWrap/>
            <w:vAlign w:val="bottom"/>
            <w:hideMark/>
          </w:tcPr>
          <w:p w14:paraId="3403226A"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0.03</w:t>
            </w:r>
          </w:p>
        </w:tc>
        <w:tc>
          <w:tcPr>
            <w:tcW w:w="1225" w:type="dxa"/>
            <w:tcBorders>
              <w:bottom w:val="single" w:sz="4" w:space="0" w:color="auto"/>
            </w:tcBorders>
            <w:shd w:val="clear" w:color="auto" w:fill="auto"/>
            <w:noWrap/>
            <w:vAlign w:val="bottom"/>
            <w:hideMark/>
          </w:tcPr>
          <w:p w14:paraId="774C09E8"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-0.31***</w:t>
            </w:r>
          </w:p>
        </w:tc>
        <w:tc>
          <w:tcPr>
            <w:tcW w:w="1225" w:type="dxa"/>
            <w:tcBorders>
              <w:bottom w:val="single" w:sz="4" w:space="0" w:color="auto"/>
            </w:tcBorders>
            <w:shd w:val="clear" w:color="auto" w:fill="auto"/>
            <w:noWrap/>
            <w:vAlign w:val="bottom"/>
            <w:hideMark/>
          </w:tcPr>
          <w:p w14:paraId="3B24FB79"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-0.73***</w:t>
            </w:r>
          </w:p>
        </w:tc>
        <w:tc>
          <w:tcPr>
            <w:tcW w:w="1153" w:type="dxa"/>
            <w:tcBorders>
              <w:bottom w:val="single" w:sz="4" w:space="0" w:color="auto"/>
            </w:tcBorders>
            <w:shd w:val="clear" w:color="auto" w:fill="auto"/>
            <w:noWrap/>
            <w:vAlign w:val="bottom"/>
            <w:hideMark/>
          </w:tcPr>
          <w:p w14:paraId="14D023E8"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0.98***</w:t>
            </w:r>
          </w:p>
        </w:tc>
        <w:tc>
          <w:tcPr>
            <w:tcW w:w="973" w:type="dxa"/>
            <w:tcBorders>
              <w:bottom w:val="single" w:sz="4" w:space="0" w:color="auto"/>
            </w:tcBorders>
            <w:shd w:val="clear" w:color="auto" w:fill="auto"/>
            <w:noWrap/>
            <w:vAlign w:val="bottom"/>
            <w:hideMark/>
          </w:tcPr>
          <w:p w14:paraId="0FFE31AF"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1.00</w:t>
            </w:r>
          </w:p>
        </w:tc>
      </w:tr>
    </w:tbl>
    <w:p w14:paraId="06649EEF" w14:textId="77777777" w:rsidR="003B447E" w:rsidRPr="00E4714B" w:rsidRDefault="003B447E" w:rsidP="00E4714B">
      <w:pPr>
        <w:jc w:val="both"/>
        <w:rPr>
          <w:rFonts w:eastAsia="Times New Roman" w:cs="Times New Roman"/>
          <w:color w:val="FF0000"/>
          <w:sz w:val="20"/>
          <w:szCs w:val="20"/>
        </w:rPr>
      </w:pPr>
    </w:p>
    <w:p w14:paraId="5D31ED4C" w14:textId="75C07EF9" w:rsidR="003B447E" w:rsidRPr="00E4714B" w:rsidRDefault="003B447E" w:rsidP="00E4714B">
      <w:pPr>
        <w:rPr>
          <w:rFonts w:eastAsia="Times New Roman" w:cs="Times New Roman"/>
          <w:b/>
          <w:bCs/>
          <w:iCs/>
          <w:sz w:val="20"/>
          <w:szCs w:val="20"/>
        </w:rPr>
      </w:pPr>
      <w:r w:rsidRPr="00E4714B">
        <w:rPr>
          <w:rFonts w:eastAsia="Times New Roman" w:cs="Times New Roman"/>
          <w:b/>
          <w:bCs/>
          <w:iCs/>
          <w:sz w:val="20"/>
          <w:szCs w:val="20"/>
        </w:rPr>
        <w:t>Table 3</w:t>
      </w:r>
      <w:r w:rsidR="00431CA1" w:rsidRPr="00E4714B">
        <w:rPr>
          <w:rFonts w:eastAsia="Times New Roman" w:cs="Times New Roman"/>
          <w:b/>
          <w:bCs/>
          <w:iCs/>
          <w:sz w:val="20"/>
          <w:szCs w:val="20"/>
        </w:rPr>
        <w:t xml:space="preserve">: </w:t>
      </w:r>
      <w:r w:rsidRPr="00E4714B">
        <w:rPr>
          <w:rFonts w:eastAsia="Times New Roman" w:cs="Times New Roman"/>
          <w:b/>
          <w:bCs/>
          <w:iCs/>
          <w:sz w:val="20"/>
          <w:szCs w:val="20"/>
        </w:rPr>
        <w:t>Variance Inflation Factors</w:t>
      </w:r>
    </w:p>
    <w:tbl>
      <w:tblPr>
        <w:tblW w:w="9408" w:type="dxa"/>
        <w:jc w:val="center"/>
        <w:tblLook w:val="04A0" w:firstRow="1" w:lastRow="0" w:firstColumn="1" w:lastColumn="0" w:noHBand="0" w:noVBand="1"/>
      </w:tblPr>
      <w:tblGrid>
        <w:gridCol w:w="3754"/>
        <w:gridCol w:w="1426"/>
        <w:gridCol w:w="1401"/>
        <w:gridCol w:w="1400"/>
        <w:gridCol w:w="1427"/>
      </w:tblGrid>
      <w:tr w:rsidR="003B447E" w:rsidRPr="00E4714B" w14:paraId="7C9B3951" w14:textId="77777777" w:rsidTr="003527B6">
        <w:trPr>
          <w:trHeight w:val="283"/>
          <w:jc w:val="center"/>
        </w:trPr>
        <w:tc>
          <w:tcPr>
            <w:tcW w:w="3754" w:type="dxa"/>
            <w:vMerge w:val="restart"/>
            <w:tcBorders>
              <w:top w:val="single" w:sz="4" w:space="0" w:color="auto"/>
            </w:tcBorders>
            <w:shd w:val="clear" w:color="auto" w:fill="auto"/>
            <w:noWrap/>
            <w:vAlign w:val="bottom"/>
          </w:tcPr>
          <w:p w14:paraId="5F695878" w14:textId="77777777" w:rsidR="003B447E" w:rsidRPr="00E4714B" w:rsidRDefault="003B447E" w:rsidP="00E4714B">
            <w:pPr>
              <w:rPr>
                <w:rFonts w:eastAsia="Times New Roman" w:cs="Times New Roman"/>
                <w:b/>
                <w:bCs/>
                <w:sz w:val="20"/>
                <w:szCs w:val="20"/>
                <w:lang w:val="en-MY"/>
              </w:rPr>
            </w:pPr>
            <w:r w:rsidRPr="00E4714B">
              <w:rPr>
                <w:rFonts w:eastAsia="Times New Roman" w:cs="Times New Roman"/>
                <w:b/>
                <w:bCs/>
                <w:sz w:val="20"/>
                <w:szCs w:val="20"/>
                <w:lang w:val="en-MY"/>
              </w:rPr>
              <w:t>Variables</w:t>
            </w:r>
          </w:p>
        </w:tc>
        <w:tc>
          <w:tcPr>
            <w:tcW w:w="2827" w:type="dxa"/>
            <w:gridSpan w:val="2"/>
            <w:tcBorders>
              <w:top w:val="single" w:sz="4" w:space="0" w:color="auto"/>
              <w:bottom w:val="single" w:sz="4" w:space="0" w:color="auto"/>
            </w:tcBorders>
            <w:shd w:val="clear" w:color="auto" w:fill="auto"/>
            <w:noWrap/>
            <w:vAlign w:val="bottom"/>
          </w:tcPr>
          <w:p w14:paraId="6773E7F5" w14:textId="77777777" w:rsidR="003B447E" w:rsidRPr="00E4714B" w:rsidRDefault="003B447E"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CPI and IP in the same model</w:t>
            </w:r>
          </w:p>
        </w:tc>
        <w:tc>
          <w:tcPr>
            <w:tcW w:w="2827" w:type="dxa"/>
            <w:gridSpan w:val="2"/>
            <w:tcBorders>
              <w:top w:val="single" w:sz="4" w:space="0" w:color="auto"/>
              <w:bottom w:val="single" w:sz="4" w:space="0" w:color="auto"/>
            </w:tcBorders>
            <w:vAlign w:val="bottom"/>
          </w:tcPr>
          <w:p w14:paraId="64967F36" w14:textId="77777777" w:rsidR="003B447E" w:rsidRPr="00E4714B" w:rsidRDefault="003B447E"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Excluding CPI from the model</w:t>
            </w:r>
          </w:p>
        </w:tc>
      </w:tr>
      <w:tr w:rsidR="003B447E" w:rsidRPr="00E4714B" w14:paraId="4D831267" w14:textId="77777777" w:rsidTr="003527B6">
        <w:trPr>
          <w:trHeight w:val="283"/>
          <w:jc w:val="center"/>
        </w:trPr>
        <w:tc>
          <w:tcPr>
            <w:tcW w:w="3754" w:type="dxa"/>
            <w:vMerge/>
            <w:tcBorders>
              <w:bottom w:val="single" w:sz="4" w:space="0" w:color="auto"/>
            </w:tcBorders>
            <w:shd w:val="clear" w:color="auto" w:fill="auto"/>
            <w:noWrap/>
            <w:vAlign w:val="bottom"/>
            <w:hideMark/>
          </w:tcPr>
          <w:p w14:paraId="69F2DE8C" w14:textId="77777777" w:rsidR="003B447E" w:rsidRPr="00E4714B" w:rsidRDefault="003B447E" w:rsidP="00E4714B">
            <w:pPr>
              <w:rPr>
                <w:rFonts w:eastAsia="Times New Roman" w:cs="Times New Roman"/>
                <w:sz w:val="20"/>
                <w:szCs w:val="20"/>
                <w:lang w:val="en-MY"/>
              </w:rPr>
            </w:pPr>
          </w:p>
        </w:tc>
        <w:tc>
          <w:tcPr>
            <w:tcW w:w="1426" w:type="dxa"/>
            <w:tcBorders>
              <w:top w:val="single" w:sz="4" w:space="0" w:color="auto"/>
              <w:bottom w:val="single" w:sz="4" w:space="0" w:color="auto"/>
            </w:tcBorders>
            <w:shd w:val="clear" w:color="auto" w:fill="auto"/>
            <w:noWrap/>
            <w:vAlign w:val="bottom"/>
            <w:hideMark/>
          </w:tcPr>
          <w:p w14:paraId="25508018" w14:textId="77777777" w:rsidR="003B447E" w:rsidRPr="00E4714B" w:rsidRDefault="003B447E"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VIF</w:t>
            </w:r>
          </w:p>
        </w:tc>
        <w:tc>
          <w:tcPr>
            <w:tcW w:w="1401" w:type="dxa"/>
            <w:tcBorders>
              <w:top w:val="single" w:sz="4" w:space="0" w:color="auto"/>
              <w:bottom w:val="single" w:sz="4" w:space="0" w:color="auto"/>
            </w:tcBorders>
            <w:shd w:val="clear" w:color="auto" w:fill="auto"/>
            <w:noWrap/>
            <w:vAlign w:val="bottom"/>
            <w:hideMark/>
          </w:tcPr>
          <w:p w14:paraId="1C4EED64" w14:textId="77777777" w:rsidR="003B447E" w:rsidRPr="00E4714B" w:rsidRDefault="003B447E"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1/VIF</w:t>
            </w:r>
          </w:p>
        </w:tc>
        <w:tc>
          <w:tcPr>
            <w:tcW w:w="1400" w:type="dxa"/>
            <w:tcBorders>
              <w:top w:val="single" w:sz="4" w:space="0" w:color="auto"/>
              <w:bottom w:val="single" w:sz="4" w:space="0" w:color="auto"/>
            </w:tcBorders>
            <w:vAlign w:val="bottom"/>
          </w:tcPr>
          <w:p w14:paraId="1AF5D28C" w14:textId="77777777" w:rsidR="003B447E" w:rsidRPr="00E4714B" w:rsidRDefault="003B447E"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VIF</w:t>
            </w:r>
          </w:p>
        </w:tc>
        <w:tc>
          <w:tcPr>
            <w:tcW w:w="1427" w:type="dxa"/>
            <w:tcBorders>
              <w:top w:val="single" w:sz="4" w:space="0" w:color="auto"/>
              <w:bottom w:val="single" w:sz="4" w:space="0" w:color="auto"/>
            </w:tcBorders>
            <w:vAlign w:val="bottom"/>
          </w:tcPr>
          <w:p w14:paraId="639B07B2" w14:textId="77777777" w:rsidR="003B447E" w:rsidRPr="00E4714B" w:rsidRDefault="003B447E"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1/VIF</w:t>
            </w:r>
          </w:p>
        </w:tc>
      </w:tr>
      <w:tr w:rsidR="003B447E" w:rsidRPr="00E4714B" w14:paraId="64D68FD8" w14:textId="77777777" w:rsidTr="003527B6">
        <w:trPr>
          <w:trHeight w:val="283"/>
          <w:jc w:val="center"/>
        </w:trPr>
        <w:tc>
          <w:tcPr>
            <w:tcW w:w="3754" w:type="dxa"/>
            <w:tcBorders>
              <w:top w:val="single" w:sz="4" w:space="0" w:color="auto"/>
            </w:tcBorders>
            <w:shd w:val="clear" w:color="auto" w:fill="auto"/>
            <w:noWrap/>
            <w:vAlign w:val="bottom"/>
            <w:hideMark/>
          </w:tcPr>
          <w:p w14:paraId="3865D1FC"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GPR</w:t>
            </w:r>
          </w:p>
        </w:tc>
        <w:tc>
          <w:tcPr>
            <w:tcW w:w="1426" w:type="dxa"/>
            <w:tcBorders>
              <w:top w:val="single" w:sz="4" w:space="0" w:color="auto"/>
            </w:tcBorders>
            <w:shd w:val="clear" w:color="auto" w:fill="auto"/>
            <w:noWrap/>
            <w:vAlign w:val="bottom"/>
          </w:tcPr>
          <w:p w14:paraId="35357ED9"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1.31</w:t>
            </w:r>
          </w:p>
        </w:tc>
        <w:tc>
          <w:tcPr>
            <w:tcW w:w="1401" w:type="dxa"/>
            <w:tcBorders>
              <w:top w:val="single" w:sz="4" w:space="0" w:color="auto"/>
            </w:tcBorders>
            <w:shd w:val="clear" w:color="auto" w:fill="auto"/>
            <w:noWrap/>
            <w:vAlign w:val="bottom"/>
          </w:tcPr>
          <w:p w14:paraId="60501D8D"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0.89</w:t>
            </w:r>
          </w:p>
        </w:tc>
        <w:tc>
          <w:tcPr>
            <w:tcW w:w="1400" w:type="dxa"/>
            <w:tcBorders>
              <w:top w:val="single" w:sz="4" w:space="0" w:color="auto"/>
            </w:tcBorders>
            <w:vAlign w:val="bottom"/>
          </w:tcPr>
          <w:p w14:paraId="7C8A9870"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1.31</w:t>
            </w:r>
          </w:p>
        </w:tc>
        <w:tc>
          <w:tcPr>
            <w:tcW w:w="1427" w:type="dxa"/>
            <w:tcBorders>
              <w:top w:val="single" w:sz="4" w:space="0" w:color="auto"/>
            </w:tcBorders>
            <w:vAlign w:val="bottom"/>
          </w:tcPr>
          <w:p w14:paraId="6C07084E"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0.76</w:t>
            </w:r>
          </w:p>
        </w:tc>
      </w:tr>
      <w:tr w:rsidR="003B447E" w:rsidRPr="00E4714B" w14:paraId="09AFA89B" w14:textId="77777777" w:rsidTr="003527B6">
        <w:trPr>
          <w:trHeight w:val="283"/>
          <w:jc w:val="center"/>
        </w:trPr>
        <w:tc>
          <w:tcPr>
            <w:tcW w:w="3754" w:type="dxa"/>
            <w:shd w:val="clear" w:color="auto" w:fill="auto"/>
            <w:noWrap/>
            <w:vAlign w:val="bottom"/>
            <w:hideMark/>
          </w:tcPr>
          <w:p w14:paraId="165946E2"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EU</w:t>
            </w:r>
          </w:p>
        </w:tc>
        <w:tc>
          <w:tcPr>
            <w:tcW w:w="1426" w:type="dxa"/>
            <w:shd w:val="clear" w:color="auto" w:fill="auto"/>
            <w:noWrap/>
            <w:vAlign w:val="bottom"/>
          </w:tcPr>
          <w:p w14:paraId="7A0117C7"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1.11</w:t>
            </w:r>
          </w:p>
        </w:tc>
        <w:tc>
          <w:tcPr>
            <w:tcW w:w="1401" w:type="dxa"/>
            <w:shd w:val="clear" w:color="auto" w:fill="auto"/>
            <w:noWrap/>
            <w:vAlign w:val="bottom"/>
          </w:tcPr>
          <w:p w14:paraId="16FA18AB"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0.76</w:t>
            </w:r>
          </w:p>
        </w:tc>
        <w:tc>
          <w:tcPr>
            <w:tcW w:w="1400" w:type="dxa"/>
            <w:vAlign w:val="bottom"/>
          </w:tcPr>
          <w:p w14:paraId="139116D7"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1.11</w:t>
            </w:r>
          </w:p>
        </w:tc>
        <w:tc>
          <w:tcPr>
            <w:tcW w:w="1427" w:type="dxa"/>
            <w:vAlign w:val="bottom"/>
          </w:tcPr>
          <w:p w14:paraId="4025EADB"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0.89</w:t>
            </w:r>
          </w:p>
        </w:tc>
      </w:tr>
      <w:tr w:rsidR="003B447E" w:rsidRPr="00E4714B" w14:paraId="73ABCD78" w14:textId="77777777" w:rsidTr="003527B6">
        <w:trPr>
          <w:trHeight w:val="283"/>
          <w:jc w:val="center"/>
        </w:trPr>
        <w:tc>
          <w:tcPr>
            <w:tcW w:w="3754" w:type="dxa"/>
            <w:shd w:val="clear" w:color="auto" w:fill="auto"/>
            <w:noWrap/>
            <w:vAlign w:val="bottom"/>
            <w:hideMark/>
          </w:tcPr>
          <w:p w14:paraId="32E3FC01"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EM</w:t>
            </w:r>
          </w:p>
        </w:tc>
        <w:tc>
          <w:tcPr>
            <w:tcW w:w="1426" w:type="dxa"/>
            <w:shd w:val="clear" w:color="auto" w:fill="auto"/>
            <w:noWrap/>
            <w:vAlign w:val="bottom"/>
          </w:tcPr>
          <w:p w14:paraId="6F4786F4"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2.02</w:t>
            </w:r>
          </w:p>
        </w:tc>
        <w:tc>
          <w:tcPr>
            <w:tcW w:w="1401" w:type="dxa"/>
            <w:shd w:val="clear" w:color="auto" w:fill="auto"/>
            <w:noWrap/>
            <w:vAlign w:val="bottom"/>
          </w:tcPr>
          <w:p w14:paraId="2611419E"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0.49</w:t>
            </w:r>
          </w:p>
        </w:tc>
        <w:tc>
          <w:tcPr>
            <w:tcW w:w="1400" w:type="dxa"/>
            <w:vAlign w:val="bottom"/>
          </w:tcPr>
          <w:p w14:paraId="7F0F115A"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1.42</w:t>
            </w:r>
          </w:p>
        </w:tc>
        <w:tc>
          <w:tcPr>
            <w:tcW w:w="1427" w:type="dxa"/>
            <w:vAlign w:val="bottom"/>
          </w:tcPr>
          <w:p w14:paraId="0019AA6D"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0.70</w:t>
            </w:r>
          </w:p>
        </w:tc>
      </w:tr>
      <w:tr w:rsidR="003B447E" w:rsidRPr="00E4714B" w14:paraId="57ADFDE2" w14:textId="77777777" w:rsidTr="003527B6">
        <w:trPr>
          <w:trHeight w:val="283"/>
          <w:jc w:val="center"/>
        </w:trPr>
        <w:tc>
          <w:tcPr>
            <w:tcW w:w="3754" w:type="dxa"/>
            <w:shd w:val="clear" w:color="auto" w:fill="auto"/>
            <w:noWrap/>
            <w:vAlign w:val="bottom"/>
            <w:hideMark/>
          </w:tcPr>
          <w:p w14:paraId="20F66570"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EX</w:t>
            </w:r>
          </w:p>
        </w:tc>
        <w:tc>
          <w:tcPr>
            <w:tcW w:w="1426" w:type="dxa"/>
            <w:shd w:val="clear" w:color="auto" w:fill="auto"/>
            <w:noWrap/>
            <w:vAlign w:val="bottom"/>
          </w:tcPr>
          <w:p w14:paraId="279E5015"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5.87</w:t>
            </w:r>
          </w:p>
        </w:tc>
        <w:tc>
          <w:tcPr>
            <w:tcW w:w="1401" w:type="dxa"/>
            <w:shd w:val="clear" w:color="auto" w:fill="auto"/>
            <w:noWrap/>
            <w:vAlign w:val="bottom"/>
          </w:tcPr>
          <w:p w14:paraId="7F72F9A9"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0.17</w:t>
            </w:r>
          </w:p>
        </w:tc>
        <w:tc>
          <w:tcPr>
            <w:tcW w:w="1400" w:type="dxa"/>
            <w:vAlign w:val="bottom"/>
          </w:tcPr>
          <w:p w14:paraId="78E0C5E5"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3.50</w:t>
            </w:r>
          </w:p>
        </w:tc>
        <w:tc>
          <w:tcPr>
            <w:tcW w:w="1427" w:type="dxa"/>
            <w:vAlign w:val="bottom"/>
          </w:tcPr>
          <w:p w14:paraId="6214EBFC"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0.28</w:t>
            </w:r>
          </w:p>
        </w:tc>
      </w:tr>
      <w:tr w:rsidR="003B447E" w:rsidRPr="00E4714B" w14:paraId="39EF2101" w14:textId="77777777" w:rsidTr="003527B6">
        <w:trPr>
          <w:trHeight w:val="283"/>
          <w:jc w:val="center"/>
        </w:trPr>
        <w:tc>
          <w:tcPr>
            <w:tcW w:w="3754" w:type="dxa"/>
            <w:shd w:val="clear" w:color="auto" w:fill="auto"/>
            <w:noWrap/>
            <w:vAlign w:val="bottom"/>
            <w:hideMark/>
          </w:tcPr>
          <w:p w14:paraId="48F1B10D"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IP</w:t>
            </w:r>
          </w:p>
        </w:tc>
        <w:tc>
          <w:tcPr>
            <w:tcW w:w="1426" w:type="dxa"/>
            <w:shd w:val="clear" w:color="auto" w:fill="auto"/>
            <w:noWrap/>
            <w:vAlign w:val="bottom"/>
          </w:tcPr>
          <w:p w14:paraId="7B22136A"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32.72</w:t>
            </w:r>
          </w:p>
        </w:tc>
        <w:tc>
          <w:tcPr>
            <w:tcW w:w="1401" w:type="dxa"/>
            <w:shd w:val="clear" w:color="auto" w:fill="auto"/>
            <w:noWrap/>
            <w:vAlign w:val="bottom"/>
          </w:tcPr>
          <w:p w14:paraId="654FC596"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0.03</w:t>
            </w:r>
          </w:p>
        </w:tc>
        <w:tc>
          <w:tcPr>
            <w:tcW w:w="1400" w:type="dxa"/>
            <w:vAlign w:val="bottom"/>
          </w:tcPr>
          <w:p w14:paraId="405C03E7"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3.47</w:t>
            </w:r>
          </w:p>
        </w:tc>
        <w:tc>
          <w:tcPr>
            <w:tcW w:w="1427" w:type="dxa"/>
            <w:vAlign w:val="bottom"/>
          </w:tcPr>
          <w:p w14:paraId="250E8ACA"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0.28</w:t>
            </w:r>
          </w:p>
        </w:tc>
      </w:tr>
      <w:tr w:rsidR="003B447E" w:rsidRPr="00E4714B" w14:paraId="4E636CB1" w14:textId="77777777" w:rsidTr="003527B6">
        <w:trPr>
          <w:trHeight w:val="283"/>
          <w:jc w:val="center"/>
        </w:trPr>
        <w:tc>
          <w:tcPr>
            <w:tcW w:w="3754" w:type="dxa"/>
            <w:tcBorders>
              <w:bottom w:val="single" w:sz="4" w:space="0" w:color="auto"/>
            </w:tcBorders>
            <w:shd w:val="clear" w:color="auto" w:fill="auto"/>
            <w:noWrap/>
            <w:vAlign w:val="bottom"/>
            <w:hideMark/>
          </w:tcPr>
          <w:p w14:paraId="25D1F0FE"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CPI</w:t>
            </w:r>
          </w:p>
        </w:tc>
        <w:tc>
          <w:tcPr>
            <w:tcW w:w="1426" w:type="dxa"/>
            <w:tcBorders>
              <w:bottom w:val="single" w:sz="4" w:space="0" w:color="auto"/>
            </w:tcBorders>
            <w:shd w:val="clear" w:color="auto" w:fill="auto"/>
            <w:noWrap/>
            <w:vAlign w:val="bottom"/>
          </w:tcPr>
          <w:p w14:paraId="0216FAA6"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46.77</w:t>
            </w:r>
          </w:p>
        </w:tc>
        <w:tc>
          <w:tcPr>
            <w:tcW w:w="1401" w:type="dxa"/>
            <w:tcBorders>
              <w:bottom w:val="single" w:sz="4" w:space="0" w:color="auto"/>
            </w:tcBorders>
            <w:shd w:val="clear" w:color="auto" w:fill="auto"/>
            <w:noWrap/>
            <w:vAlign w:val="bottom"/>
          </w:tcPr>
          <w:p w14:paraId="469A5286"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0.02</w:t>
            </w:r>
          </w:p>
        </w:tc>
        <w:tc>
          <w:tcPr>
            <w:tcW w:w="1400" w:type="dxa"/>
            <w:tcBorders>
              <w:bottom w:val="single" w:sz="4" w:space="0" w:color="auto"/>
            </w:tcBorders>
            <w:vAlign w:val="bottom"/>
          </w:tcPr>
          <w:p w14:paraId="295CBC92"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NA</w:t>
            </w:r>
          </w:p>
        </w:tc>
        <w:tc>
          <w:tcPr>
            <w:tcW w:w="1427" w:type="dxa"/>
            <w:tcBorders>
              <w:bottom w:val="single" w:sz="4" w:space="0" w:color="auto"/>
            </w:tcBorders>
            <w:vAlign w:val="bottom"/>
          </w:tcPr>
          <w:p w14:paraId="65BAE801"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NA</w:t>
            </w:r>
          </w:p>
        </w:tc>
      </w:tr>
      <w:tr w:rsidR="003B447E" w:rsidRPr="00E4714B" w14:paraId="2DE8E1DA" w14:textId="77777777" w:rsidTr="003527B6">
        <w:trPr>
          <w:trHeight w:val="283"/>
          <w:jc w:val="center"/>
        </w:trPr>
        <w:tc>
          <w:tcPr>
            <w:tcW w:w="3754" w:type="dxa"/>
            <w:tcBorders>
              <w:top w:val="single" w:sz="4" w:space="0" w:color="auto"/>
              <w:bottom w:val="single" w:sz="4" w:space="0" w:color="auto"/>
            </w:tcBorders>
            <w:shd w:val="clear" w:color="auto" w:fill="auto"/>
            <w:noWrap/>
            <w:vAlign w:val="bottom"/>
          </w:tcPr>
          <w:p w14:paraId="574DA594" w14:textId="77777777" w:rsidR="003B447E" w:rsidRPr="00E4714B" w:rsidRDefault="003B447E" w:rsidP="00E4714B">
            <w:pPr>
              <w:rPr>
                <w:rFonts w:eastAsia="Times New Roman" w:cs="Times New Roman"/>
                <w:sz w:val="20"/>
                <w:szCs w:val="20"/>
                <w:lang w:val="en-MY"/>
              </w:rPr>
            </w:pPr>
            <w:r w:rsidRPr="00E4714B">
              <w:rPr>
                <w:rFonts w:eastAsia="Times New Roman" w:cs="Times New Roman"/>
                <w:sz w:val="20"/>
                <w:szCs w:val="20"/>
                <w:lang w:val="en-MY"/>
              </w:rPr>
              <w:t>Mean VIF</w:t>
            </w:r>
          </w:p>
        </w:tc>
        <w:tc>
          <w:tcPr>
            <w:tcW w:w="2827" w:type="dxa"/>
            <w:gridSpan w:val="2"/>
            <w:tcBorders>
              <w:top w:val="single" w:sz="4" w:space="0" w:color="auto"/>
              <w:bottom w:val="single" w:sz="4" w:space="0" w:color="auto"/>
            </w:tcBorders>
            <w:shd w:val="clear" w:color="auto" w:fill="auto"/>
            <w:noWrap/>
            <w:vAlign w:val="bottom"/>
          </w:tcPr>
          <w:p w14:paraId="58D61274"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14.97</w:t>
            </w:r>
          </w:p>
        </w:tc>
        <w:tc>
          <w:tcPr>
            <w:tcW w:w="2827" w:type="dxa"/>
            <w:gridSpan w:val="2"/>
            <w:tcBorders>
              <w:top w:val="single" w:sz="4" w:space="0" w:color="auto"/>
              <w:bottom w:val="single" w:sz="4" w:space="0" w:color="auto"/>
            </w:tcBorders>
          </w:tcPr>
          <w:p w14:paraId="278ED75D" w14:textId="77777777" w:rsidR="003B447E" w:rsidRPr="00E4714B" w:rsidRDefault="003B447E" w:rsidP="00E4714B">
            <w:pPr>
              <w:jc w:val="center"/>
              <w:rPr>
                <w:rFonts w:eastAsia="Times New Roman" w:cs="Times New Roman"/>
                <w:sz w:val="20"/>
                <w:szCs w:val="20"/>
                <w:lang w:val="en-MY"/>
              </w:rPr>
            </w:pPr>
            <w:r w:rsidRPr="00E4714B">
              <w:rPr>
                <w:rFonts w:eastAsia="Times New Roman" w:cs="Times New Roman"/>
                <w:sz w:val="20"/>
                <w:szCs w:val="20"/>
                <w:lang w:val="en-MY"/>
              </w:rPr>
              <w:t>2.16</w:t>
            </w:r>
          </w:p>
        </w:tc>
      </w:tr>
    </w:tbl>
    <w:p w14:paraId="48B5E5A5" w14:textId="77777777" w:rsidR="00092005" w:rsidRPr="00E4714B" w:rsidRDefault="00092005" w:rsidP="00E4714B">
      <w:pPr>
        <w:pBdr>
          <w:top w:val="nil"/>
          <w:left w:val="nil"/>
          <w:bottom w:val="nil"/>
          <w:right w:val="nil"/>
          <w:between w:val="nil"/>
        </w:pBdr>
        <w:rPr>
          <w:sz w:val="20"/>
          <w:szCs w:val="20"/>
        </w:rPr>
      </w:pPr>
    </w:p>
    <w:p w14:paraId="45978173" w14:textId="349523C6" w:rsidR="00204963" w:rsidRPr="00E4714B" w:rsidRDefault="00431CA1" w:rsidP="00E4714B">
      <w:pPr>
        <w:jc w:val="both"/>
        <w:rPr>
          <w:rFonts w:eastAsia="Times New Roman" w:cs="Times New Roman"/>
          <w:sz w:val="20"/>
          <w:szCs w:val="20"/>
        </w:rPr>
      </w:pPr>
      <w:r w:rsidRPr="00E4714B">
        <w:rPr>
          <w:rFonts w:eastAsia="Times New Roman" w:cs="Times New Roman"/>
          <w:b/>
          <w:bCs/>
          <w:sz w:val="20"/>
          <w:szCs w:val="20"/>
        </w:rPr>
        <w:t>Model Estimation</w:t>
      </w:r>
      <w:r w:rsidR="00204963" w:rsidRPr="00E4714B">
        <w:rPr>
          <w:rFonts w:eastAsia="Times New Roman" w:cs="Times New Roman"/>
          <w:b/>
          <w:bCs/>
          <w:sz w:val="20"/>
          <w:szCs w:val="20"/>
        </w:rPr>
        <w:t xml:space="preserve">: </w:t>
      </w:r>
      <w:r w:rsidR="00982798" w:rsidRPr="00E4714B">
        <w:rPr>
          <w:rFonts w:eastAsia="Times New Roman" w:cs="Times New Roman"/>
          <w:sz w:val="20"/>
          <w:szCs w:val="20"/>
        </w:rPr>
        <w:t>This study explores how tourism in Malaysia is impacted by the geopolitical risk index and economic policy uncertainty. To avoid the problem of omitted variable bias, this study includes selected control variables, which encompass industrial production, inflation, effective exchange rate, and trade openness. The general functional forms for exploring the impact of geopolitical risk and economic policy uncertainty on tourism are expressed in equations (1) and (2).</w:t>
      </w:r>
    </w:p>
    <w:p w14:paraId="604DED25" w14:textId="000D839D" w:rsidR="00204963" w:rsidRPr="00E4714B" w:rsidRDefault="00000000" w:rsidP="00E4714B">
      <w:pPr>
        <w:jc w:val="both"/>
        <w:rPr>
          <w:rFonts w:eastAsia="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TA</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=f</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GPR</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EM</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EX</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IP</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ϵ</m:t>
                </m:r>
              </m:e>
              <m:sub>
                <m:r>
                  <w:rPr>
                    <w:rFonts w:ascii="Cambria Math" w:eastAsia="Times New Roman" w:hAnsi="Cambria Math" w:cs="Times New Roman"/>
                    <w:sz w:val="20"/>
                    <w:szCs w:val="20"/>
                  </w:rPr>
                  <m:t>t</m:t>
                </m:r>
              </m:sub>
            </m:sSub>
          </m:e>
        </m:d>
        <m:r>
          <w:rPr>
            <w:rFonts w:ascii="Cambria Math" w:eastAsia="Times New Roman" w:hAnsi="Cambria Math" w:cs="Times New Roman"/>
            <w:sz w:val="20"/>
            <w:szCs w:val="20"/>
          </w:rPr>
          <m:t>⋯⋯</m:t>
        </m:r>
      </m:oMath>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1532BE" w:rsidRPr="00E4714B">
        <w:rPr>
          <w:rFonts w:eastAsia="Times New Roman" w:cs="Times New Roman"/>
          <w:sz w:val="20"/>
          <w:szCs w:val="20"/>
        </w:rPr>
        <w:tab/>
      </w:r>
      <w:r w:rsidR="00204963" w:rsidRPr="00E4714B">
        <w:rPr>
          <w:rFonts w:eastAsia="Times New Roman" w:cs="Times New Roman"/>
          <w:sz w:val="20"/>
          <w:szCs w:val="20"/>
        </w:rPr>
        <w:t>(1)</w:t>
      </w:r>
    </w:p>
    <w:p w14:paraId="288F9283" w14:textId="77777777" w:rsidR="00204963" w:rsidRPr="00E4714B" w:rsidRDefault="00204963" w:rsidP="00E4714B">
      <w:pPr>
        <w:jc w:val="both"/>
        <w:rPr>
          <w:rFonts w:eastAsia="Times New Roman" w:cs="Times New Roman"/>
          <w:sz w:val="20"/>
          <w:szCs w:val="20"/>
        </w:rPr>
      </w:pPr>
    </w:p>
    <w:p w14:paraId="26F47EE9" w14:textId="217EC23A" w:rsidR="00204963" w:rsidRPr="00E4714B" w:rsidRDefault="00000000" w:rsidP="00E4714B">
      <w:pPr>
        <w:jc w:val="both"/>
        <w:rPr>
          <w:rFonts w:eastAsia="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TA</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=f</m:t>
        </m:r>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EU</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EM</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EX</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IP</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t</m:t>
                </m:r>
              </m:sub>
            </m:sSub>
          </m:e>
        </m:d>
        <m:r>
          <w:rPr>
            <w:rFonts w:ascii="Cambria Math" w:eastAsia="Times New Roman" w:hAnsi="Cambria Math" w:cs="Times New Roman"/>
            <w:sz w:val="20"/>
            <w:szCs w:val="20"/>
          </w:rPr>
          <m:t>⋯⋯</m:t>
        </m:r>
      </m:oMath>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204963" w:rsidRPr="00E4714B">
        <w:rPr>
          <w:rFonts w:eastAsia="Times New Roman" w:cs="Times New Roman"/>
          <w:sz w:val="20"/>
          <w:szCs w:val="20"/>
        </w:rPr>
        <w:tab/>
      </w:r>
      <w:r w:rsidR="001532BE" w:rsidRPr="00E4714B">
        <w:rPr>
          <w:rFonts w:eastAsia="Times New Roman" w:cs="Times New Roman"/>
          <w:sz w:val="20"/>
          <w:szCs w:val="20"/>
        </w:rPr>
        <w:tab/>
      </w:r>
      <w:r w:rsidR="00204963" w:rsidRPr="00E4714B">
        <w:rPr>
          <w:rFonts w:eastAsia="Times New Roman" w:cs="Times New Roman"/>
          <w:sz w:val="20"/>
          <w:szCs w:val="20"/>
        </w:rPr>
        <w:t>(2)</w:t>
      </w:r>
    </w:p>
    <w:p w14:paraId="0CB589E3" w14:textId="77777777" w:rsidR="00204963" w:rsidRPr="00E4714B" w:rsidRDefault="00204963" w:rsidP="00E4714B">
      <w:pPr>
        <w:jc w:val="both"/>
        <w:rPr>
          <w:rFonts w:eastAsia="Times New Roman" w:cs="Times New Roman"/>
          <w:sz w:val="20"/>
          <w:szCs w:val="20"/>
        </w:rPr>
      </w:pPr>
    </w:p>
    <w:p w14:paraId="359A40A4" w14:textId="46075BCE" w:rsidR="003B447E" w:rsidRPr="00E4714B" w:rsidRDefault="00982798" w:rsidP="00E4714B">
      <w:pPr>
        <w:pBdr>
          <w:top w:val="nil"/>
          <w:left w:val="nil"/>
          <w:bottom w:val="nil"/>
          <w:right w:val="nil"/>
          <w:between w:val="nil"/>
        </w:pBdr>
        <w:jc w:val="both"/>
        <w:rPr>
          <w:rFonts w:eastAsia="Times New Roman" w:cs="Times New Roman"/>
          <w:bCs/>
          <w:sz w:val="20"/>
          <w:szCs w:val="20"/>
        </w:rPr>
      </w:pPr>
      <w:r w:rsidRPr="00E4714B">
        <w:rPr>
          <w:rFonts w:eastAsia="Times New Roman" w:cs="Times New Roman"/>
          <w:bCs/>
          <w:sz w:val="20"/>
          <w:szCs w:val="20"/>
        </w:rPr>
        <w:t xml:space="preserve">Here, TA denotes tourist arrivals, GPR is the geopolitical risk index, EU is the economic policy uncertainty index, EM is the ratio of exports to imports, EX is the effective exchange rate, IP is industrial production, </w:t>
      </w:r>
      <w:r w:rsidR="0057426C" w:rsidRPr="00E4714B">
        <w:rPr>
          <w:rFonts w:eastAsia="Times New Roman" w:cs="Times New Roman"/>
          <w:bCs/>
          <w:sz w:val="20"/>
          <w:szCs w:val="20"/>
        </w:rPr>
        <w:t xml:space="preserve">while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ϵ</m:t>
            </m:r>
          </m:e>
          <m:sub>
            <m:r>
              <w:rPr>
                <w:rFonts w:ascii="Cambria Math" w:eastAsia="Times New Roman" w:hAnsi="Cambria Math" w:cs="Times New Roman"/>
                <w:sz w:val="20"/>
                <w:szCs w:val="20"/>
              </w:rPr>
              <m:t>t</m:t>
            </m:r>
          </m:sub>
        </m:sSub>
      </m:oMath>
      <w:r w:rsidR="0057426C" w:rsidRPr="00E4714B">
        <w:rPr>
          <w:rFonts w:eastAsia="Times New Roman" w:cs="Times New Roman"/>
          <w:sz w:val="20"/>
          <w:szCs w:val="20"/>
        </w:rPr>
        <w:t xml:space="preserve"> and</w:t>
      </w:r>
      <w:r w:rsidRPr="00E4714B">
        <w:rPr>
          <w:rFonts w:eastAsia="Times New Roman" w:cs="Times New Roman"/>
          <w:bCs/>
          <w:sz w:val="20"/>
          <w:szCs w:val="20"/>
        </w:rPr>
        <w:t xml:space="preserve"> θ represents the usual error term for equations (1) and (2), respectively. An increase in geopolitical risk and economic policy uncertainty is expected to result in negative reactions to tourist arrivals. An increase in geopolitical risk and economic uncertainty, coupled with a rise in the exchange rate and inflation, will consequently lead to a slowdown in the tourism business due to the increase in the cost of buying the currencies of visited countries. Additionally, the rising cost of living contributes to this slowdown. On the other hand, a rise in industrial production will have a positive impact on tourism because it will lead to the growth of </w:t>
      </w:r>
      <w:r w:rsidRPr="00E4714B">
        <w:rPr>
          <w:rFonts w:eastAsia="Times New Roman" w:cs="Times New Roman"/>
          <w:bCs/>
          <w:sz w:val="20"/>
          <w:szCs w:val="20"/>
        </w:rPr>
        <w:lastRenderedPageBreak/>
        <w:t>businesses that support the sector. In addition, growing import and export activities will also have a positive effect on the tourism sector. It is inferred that when consumers have a higher propensity to spend, there will be increased travel and tourism activities.</w:t>
      </w:r>
    </w:p>
    <w:p w14:paraId="4811DE73" w14:textId="77777777" w:rsidR="00982798" w:rsidRPr="00E4714B" w:rsidRDefault="00982798" w:rsidP="00E4714B">
      <w:pPr>
        <w:pBdr>
          <w:top w:val="nil"/>
          <w:left w:val="nil"/>
          <w:bottom w:val="nil"/>
          <w:right w:val="nil"/>
          <w:between w:val="nil"/>
        </w:pBdr>
        <w:rPr>
          <w:sz w:val="20"/>
          <w:szCs w:val="20"/>
        </w:rPr>
      </w:pPr>
    </w:p>
    <w:p w14:paraId="0582A738" w14:textId="0AE3F0D8" w:rsidR="00204963" w:rsidRPr="00E4714B" w:rsidRDefault="00204963" w:rsidP="00E4714B">
      <w:pPr>
        <w:jc w:val="both"/>
        <w:rPr>
          <w:rFonts w:eastAsia="Times New Roman" w:cs="Times New Roman"/>
          <w:iCs/>
          <w:sz w:val="20"/>
          <w:szCs w:val="20"/>
        </w:rPr>
      </w:pPr>
      <w:r w:rsidRPr="00E4714B">
        <w:rPr>
          <w:rFonts w:eastAsia="Times New Roman" w:cs="Times New Roman"/>
          <w:b/>
          <w:bCs/>
          <w:iCs/>
          <w:sz w:val="20"/>
          <w:szCs w:val="20"/>
        </w:rPr>
        <w:t>Unit Root Testing:</w:t>
      </w:r>
      <w:r w:rsidRPr="00E4714B">
        <w:rPr>
          <w:rFonts w:eastAsia="Times New Roman" w:cs="Times New Roman"/>
          <w:iCs/>
          <w:sz w:val="20"/>
          <w:szCs w:val="20"/>
        </w:rPr>
        <w:t xml:space="preserve"> </w:t>
      </w:r>
      <w:r w:rsidR="00982798" w:rsidRPr="00E4714B">
        <w:rPr>
          <w:rFonts w:eastAsia="Times New Roman" w:cs="Times New Roman"/>
          <w:iCs/>
          <w:sz w:val="20"/>
          <w:szCs w:val="20"/>
        </w:rPr>
        <w:t xml:space="preserve">Before employing any time series method, it is imperative to confirm the stationarity of the series. Failure to consider the stationarity of time series data in </w:t>
      </w:r>
      <w:r w:rsidR="00E4714B" w:rsidRPr="00E4714B">
        <w:rPr>
          <w:rFonts w:eastAsia="Times New Roman" w:cs="Times New Roman"/>
          <w:iCs/>
          <w:sz w:val="20"/>
          <w:szCs w:val="20"/>
        </w:rPr>
        <w:t xml:space="preserve">the </w:t>
      </w:r>
      <w:r w:rsidR="00982798" w:rsidRPr="00E4714B">
        <w:rPr>
          <w:rFonts w:eastAsia="Times New Roman" w:cs="Times New Roman"/>
          <w:iCs/>
          <w:sz w:val="20"/>
          <w:szCs w:val="20"/>
        </w:rPr>
        <w:t>analysis may lead to spurious regression, subsequently resulting in the model's failure to predict the data across different time intervals (Granger and Newbold, 1974). In this study, the Augmented Dickey-Fuller unit root test (ADF test) (Dickey and Fuller, 1979) and the Phillips-Perron unit root test (Phillips and Perron, 1988) are used to assess the stationarity of the collected series.</w:t>
      </w:r>
    </w:p>
    <w:p w14:paraId="66F68E01" w14:textId="77777777" w:rsidR="00982798" w:rsidRPr="00E4714B" w:rsidRDefault="00982798" w:rsidP="00E4714B">
      <w:pPr>
        <w:jc w:val="both"/>
        <w:rPr>
          <w:rFonts w:eastAsia="Times New Roman" w:cs="Times New Roman"/>
          <w:iCs/>
          <w:sz w:val="20"/>
          <w:szCs w:val="20"/>
        </w:rPr>
      </w:pPr>
    </w:p>
    <w:p w14:paraId="02627AC7" w14:textId="3701BA0B" w:rsidR="00982798" w:rsidRDefault="00204963" w:rsidP="00E4714B">
      <w:pPr>
        <w:jc w:val="both"/>
        <w:rPr>
          <w:rFonts w:cs="Times New Roman"/>
          <w:sz w:val="20"/>
          <w:szCs w:val="20"/>
          <w:shd w:val="clear" w:color="auto" w:fill="FFFFFF"/>
        </w:rPr>
      </w:pPr>
      <w:r w:rsidRPr="00E4714B">
        <w:rPr>
          <w:rFonts w:cs="Times New Roman"/>
          <w:b/>
          <w:bCs/>
          <w:sz w:val="20"/>
          <w:szCs w:val="20"/>
          <w:shd w:val="clear" w:color="auto" w:fill="FFFFFF"/>
        </w:rPr>
        <w:t>Zivot And Andrews Unit Root Test with One Structural Break:</w:t>
      </w:r>
      <w:r w:rsidRPr="00E4714B">
        <w:rPr>
          <w:rFonts w:cs="Times New Roman"/>
          <w:sz w:val="20"/>
          <w:szCs w:val="20"/>
          <w:shd w:val="clear" w:color="auto" w:fill="FFFFFF"/>
        </w:rPr>
        <w:t xml:space="preserve"> </w:t>
      </w:r>
      <w:r w:rsidR="00982798" w:rsidRPr="00E4714B">
        <w:rPr>
          <w:rFonts w:cs="Times New Roman"/>
          <w:sz w:val="20"/>
          <w:szCs w:val="20"/>
          <w:shd w:val="clear" w:color="auto" w:fill="FFFFFF"/>
        </w:rPr>
        <w:t xml:space="preserve">In identifying the structural break in the series, we apply the Zivot and Andrews (ZA) unit root test with one structural break. The results in Figure 1 show that tourist data in Malaysia has one breakpoint in the model, which is </w:t>
      </w:r>
      <w:r w:rsidR="00E4714B" w:rsidRPr="00E4714B">
        <w:rPr>
          <w:rFonts w:cs="Times New Roman"/>
          <w:sz w:val="20"/>
          <w:szCs w:val="20"/>
          <w:shd w:val="clear" w:color="auto" w:fill="FFFFFF"/>
        </w:rPr>
        <w:t>in</w:t>
      </w:r>
      <w:r w:rsidR="00982798" w:rsidRPr="00E4714B">
        <w:rPr>
          <w:rFonts w:cs="Times New Roman"/>
          <w:sz w:val="20"/>
          <w:szCs w:val="20"/>
          <w:shd w:val="clear" w:color="auto" w:fill="FFFFFF"/>
        </w:rPr>
        <w:t xml:space="preserve"> </w:t>
      </w:r>
      <w:r w:rsidR="00E4714B" w:rsidRPr="00E4714B">
        <w:rPr>
          <w:rFonts w:cs="Times New Roman"/>
          <w:sz w:val="20"/>
          <w:szCs w:val="20"/>
          <w:shd w:val="clear" w:color="auto" w:fill="FFFFFF"/>
        </w:rPr>
        <w:t xml:space="preserve">the </w:t>
      </w:r>
      <w:r w:rsidR="00982798" w:rsidRPr="00E4714B">
        <w:rPr>
          <w:rFonts w:cs="Times New Roman"/>
          <w:sz w:val="20"/>
          <w:szCs w:val="20"/>
          <w:shd w:val="clear" w:color="auto" w:fill="FFFFFF"/>
        </w:rPr>
        <w:t>year 2020, quarter 1 (2020q1 in the graph). The ZA model can be stated as in equation (4).</w:t>
      </w:r>
    </w:p>
    <w:p w14:paraId="4589EA42" w14:textId="77777777" w:rsidR="00E4714B" w:rsidRDefault="00E4714B" w:rsidP="00E4714B">
      <w:pPr>
        <w:jc w:val="both"/>
        <w:rPr>
          <w:rFonts w:cs="Times New Roman"/>
          <w:sz w:val="20"/>
          <w:szCs w:val="20"/>
          <w:shd w:val="clear" w:color="auto" w:fill="FFFFFF"/>
        </w:rPr>
      </w:pPr>
    </w:p>
    <w:p w14:paraId="526DD345" w14:textId="5E4E2107" w:rsidR="00E4714B" w:rsidRPr="00E4714B" w:rsidRDefault="00E4714B" w:rsidP="00E4714B">
      <w:pPr>
        <w:pStyle w:val="Caption"/>
        <w:spacing w:after="0"/>
        <w:rPr>
          <w:rFonts w:ascii="Cambria" w:hAnsi="Cambria" w:cs="Times New Roman"/>
          <w:color w:val="auto"/>
          <w:sz w:val="20"/>
          <w:szCs w:val="20"/>
          <w:shd w:val="clear" w:color="auto" w:fill="FFFFFF"/>
        </w:rPr>
      </w:pPr>
      <w:r w:rsidRPr="00E4714B">
        <w:rPr>
          <w:rFonts w:ascii="Cambria" w:hAnsi="Cambria" w:cs="Times New Roman"/>
          <w:color w:val="auto"/>
          <w:sz w:val="20"/>
          <w:szCs w:val="20"/>
        </w:rPr>
        <w:t xml:space="preserve">Figure </w:t>
      </w:r>
      <w:r w:rsidRPr="00E4714B">
        <w:rPr>
          <w:rFonts w:ascii="Cambria" w:hAnsi="Cambria" w:cs="Times New Roman"/>
          <w:color w:val="auto"/>
          <w:sz w:val="20"/>
          <w:szCs w:val="20"/>
        </w:rPr>
        <w:fldChar w:fldCharType="begin"/>
      </w:r>
      <w:r w:rsidRPr="00E4714B">
        <w:rPr>
          <w:rFonts w:ascii="Cambria" w:hAnsi="Cambria" w:cs="Times New Roman"/>
          <w:color w:val="auto"/>
          <w:sz w:val="20"/>
          <w:szCs w:val="20"/>
        </w:rPr>
        <w:instrText xml:space="preserve"> SEQ Figure \* ARABIC </w:instrText>
      </w:r>
      <w:r w:rsidRPr="00E4714B">
        <w:rPr>
          <w:rFonts w:ascii="Cambria" w:hAnsi="Cambria" w:cs="Times New Roman"/>
          <w:color w:val="auto"/>
          <w:sz w:val="20"/>
          <w:szCs w:val="20"/>
        </w:rPr>
        <w:fldChar w:fldCharType="separate"/>
      </w:r>
      <w:r w:rsidR="00B97983">
        <w:rPr>
          <w:rFonts w:ascii="Cambria" w:hAnsi="Cambria" w:cs="Times New Roman"/>
          <w:noProof/>
          <w:color w:val="auto"/>
          <w:sz w:val="20"/>
          <w:szCs w:val="20"/>
        </w:rPr>
        <w:t>1</w:t>
      </w:r>
      <w:r w:rsidRPr="00E4714B">
        <w:rPr>
          <w:rFonts w:ascii="Cambria" w:hAnsi="Cambria" w:cs="Times New Roman"/>
          <w:color w:val="auto"/>
          <w:sz w:val="20"/>
          <w:szCs w:val="20"/>
        </w:rPr>
        <w:fldChar w:fldCharType="end"/>
      </w:r>
      <w:r w:rsidRPr="00E4714B">
        <w:rPr>
          <w:rFonts w:ascii="Cambria" w:hAnsi="Cambria" w:cs="Times New Roman"/>
          <w:color w:val="auto"/>
          <w:sz w:val="20"/>
          <w:szCs w:val="20"/>
        </w:rPr>
        <w:t>: Total number of tourist arrivals in Malaysia from the year 2000 (</w:t>
      </w:r>
      <w:r>
        <w:rPr>
          <w:rFonts w:ascii="Cambria" w:hAnsi="Cambria" w:cs="Times New Roman"/>
          <w:color w:val="auto"/>
          <w:sz w:val="20"/>
          <w:szCs w:val="20"/>
        </w:rPr>
        <w:t>Qtr</w:t>
      </w:r>
      <w:r w:rsidRPr="00E4714B">
        <w:rPr>
          <w:rFonts w:ascii="Cambria" w:hAnsi="Cambria" w:cs="Times New Roman"/>
          <w:color w:val="auto"/>
          <w:sz w:val="20"/>
          <w:szCs w:val="20"/>
        </w:rPr>
        <w:t xml:space="preserve"> 1) until 2022</w:t>
      </w:r>
      <w:r>
        <w:rPr>
          <w:rFonts w:ascii="Cambria" w:hAnsi="Cambria" w:cs="Times New Roman"/>
          <w:color w:val="auto"/>
          <w:sz w:val="20"/>
          <w:szCs w:val="20"/>
        </w:rPr>
        <w:t xml:space="preserve"> </w:t>
      </w:r>
      <w:r w:rsidRPr="00E4714B">
        <w:rPr>
          <w:rFonts w:ascii="Cambria" w:hAnsi="Cambria" w:cs="Times New Roman"/>
          <w:color w:val="auto"/>
          <w:sz w:val="20"/>
          <w:szCs w:val="20"/>
        </w:rPr>
        <w:t>(</w:t>
      </w:r>
      <w:r>
        <w:rPr>
          <w:rFonts w:ascii="Cambria" w:hAnsi="Cambria" w:cs="Times New Roman"/>
          <w:color w:val="auto"/>
          <w:sz w:val="20"/>
          <w:szCs w:val="20"/>
        </w:rPr>
        <w:t>Qtr</w:t>
      </w:r>
      <w:r w:rsidRPr="00E4714B">
        <w:rPr>
          <w:rFonts w:ascii="Cambria" w:hAnsi="Cambria" w:cs="Times New Roman"/>
          <w:color w:val="auto"/>
          <w:sz w:val="20"/>
          <w:szCs w:val="20"/>
        </w:rPr>
        <w:t xml:space="preserve"> 4)</w:t>
      </w:r>
    </w:p>
    <w:p w14:paraId="2B9E6FA4" w14:textId="309294C8" w:rsidR="00204963" w:rsidRPr="00E4714B" w:rsidRDefault="00204963" w:rsidP="00E4714B">
      <w:pPr>
        <w:jc w:val="center"/>
        <w:rPr>
          <w:sz w:val="20"/>
          <w:szCs w:val="20"/>
        </w:rPr>
      </w:pPr>
      <w:r w:rsidRPr="00E4714B">
        <w:rPr>
          <w:rFonts w:cs="Times New Roman"/>
          <w:noProof/>
          <w:sz w:val="20"/>
          <w:szCs w:val="20"/>
          <w:shd w:val="clear" w:color="auto" w:fill="FFFFFF"/>
        </w:rPr>
        <w:drawing>
          <wp:inline distT="0" distB="0" distL="0" distR="0" wp14:anchorId="44AEFBAA" wp14:editId="41449211">
            <wp:extent cx="4237022" cy="3081470"/>
            <wp:effectExtent l="0" t="0" r="0" b="5080"/>
            <wp:docPr id="1613098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1055" cy="3084403"/>
                    </a:xfrm>
                    <a:prstGeom prst="rect">
                      <a:avLst/>
                    </a:prstGeom>
                    <a:noFill/>
                    <a:ln>
                      <a:noFill/>
                    </a:ln>
                  </pic:spPr>
                </pic:pic>
              </a:graphicData>
            </a:graphic>
          </wp:inline>
        </w:drawing>
      </w:r>
    </w:p>
    <w:p w14:paraId="0B6A1B02" w14:textId="77777777" w:rsidR="00204963" w:rsidRPr="00E4714B" w:rsidRDefault="00204963" w:rsidP="00E4714B">
      <w:pPr>
        <w:jc w:val="both"/>
        <w:rPr>
          <w:rFonts w:cs="Times New Roman"/>
          <w:sz w:val="20"/>
          <w:szCs w:val="20"/>
          <w:shd w:val="clear" w:color="auto" w:fill="FFFFFF"/>
        </w:rPr>
      </w:pPr>
    </w:p>
    <w:p w14:paraId="009ACD69" w14:textId="1AED6A71" w:rsidR="00204963" w:rsidRPr="00E4714B" w:rsidRDefault="00000000" w:rsidP="00E4714B">
      <w:pPr>
        <w:rPr>
          <w:rFonts w:eastAsia="Times New Roman" w:cs="Times New Roman"/>
          <w:sz w:val="20"/>
          <w:szCs w:val="20"/>
          <w:shd w:val="clear" w:color="auto" w:fill="FFFFFF"/>
        </w:rPr>
      </w:pPr>
      <m:oMath>
        <m:sSub>
          <m:sSubPr>
            <m:ctrlPr>
              <w:rPr>
                <w:rFonts w:ascii="Cambria Math" w:hAnsi="Cambria Math" w:cs="Times New Roman"/>
                <w:i/>
                <w:sz w:val="20"/>
                <w:szCs w:val="20"/>
                <w:shd w:val="clear" w:color="auto" w:fill="FFFFFF"/>
              </w:rPr>
            </m:ctrlPr>
          </m:sSubPr>
          <m:e>
            <m:r>
              <w:rPr>
                <w:rFonts w:ascii="Cambria Math" w:hAnsi="Cambria Math" w:cs="Times New Roman"/>
                <w:sz w:val="20"/>
                <w:szCs w:val="20"/>
                <w:shd w:val="clear" w:color="auto" w:fill="FFFFFF"/>
              </w:rPr>
              <m:t>H</m:t>
            </m:r>
          </m:e>
          <m:sub>
            <m:r>
              <w:rPr>
                <w:rFonts w:ascii="Cambria Math" w:hAnsi="Cambria Math" w:cs="Times New Roman"/>
                <w:sz w:val="20"/>
                <w:szCs w:val="20"/>
                <w:shd w:val="clear" w:color="auto" w:fill="FFFFFF"/>
              </w:rPr>
              <m:t>0</m:t>
            </m:r>
          </m:sub>
        </m:sSub>
        <m:r>
          <w:rPr>
            <w:rFonts w:ascii="Cambria Math" w:hAnsi="Cambria Math" w:cs="Times New Roman"/>
            <w:sz w:val="20"/>
            <w:szCs w:val="20"/>
            <w:shd w:val="clear" w:color="auto" w:fill="FFFFFF"/>
          </w:rPr>
          <m:t xml:space="preserve">: </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t</m:t>
            </m:r>
          </m:sub>
        </m:sSub>
        <m:r>
          <w:rPr>
            <w:rFonts w:ascii="Cambria Math" w:hAnsi="Cambria Math" w:cs="Times New Roman"/>
            <w:sz w:val="20"/>
            <w:szCs w:val="20"/>
            <w:shd w:val="clear" w:color="auto" w:fill="FFFFFF"/>
          </w:rPr>
          <m:t xml:space="preserve">= μ+ </m:t>
        </m:r>
        <m:sSub>
          <m:sSubPr>
            <m:ctrlPr>
              <w:rPr>
                <w:rFonts w:ascii="Cambria Math" w:hAnsi="Cambria Math" w:cs="Times New Roman"/>
                <w:i/>
                <w:sz w:val="20"/>
                <w:szCs w:val="20"/>
                <w:shd w:val="clear" w:color="auto" w:fill="FFFFFF"/>
              </w:rPr>
            </m:ctrlPr>
          </m:sSubPr>
          <m:e>
            <m:r>
              <w:rPr>
                <w:rFonts w:ascii="Cambria Math" w:hAnsi="Cambria Math" w:cs="Times New Roman"/>
                <w:sz w:val="20"/>
                <w:szCs w:val="20"/>
                <w:shd w:val="clear" w:color="auto" w:fill="FFFFFF"/>
              </w:rPr>
              <m:t>y</m:t>
            </m:r>
          </m:e>
          <m:sub>
            <m:r>
              <w:rPr>
                <w:rFonts w:ascii="Cambria Math" w:hAnsi="Cambria Math" w:cs="Times New Roman"/>
                <w:sz w:val="20"/>
                <w:szCs w:val="20"/>
                <w:shd w:val="clear" w:color="auto" w:fill="FFFFFF"/>
              </w:rPr>
              <m:t>t-1</m:t>
            </m:r>
          </m:sub>
        </m:sSub>
        <m:r>
          <w:rPr>
            <w:rFonts w:ascii="Cambria Math" w:hAnsi="Cambria Math" w:cs="Times New Roman"/>
            <w:sz w:val="20"/>
            <w:szCs w:val="20"/>
            <w:shd w:val="clear" w:color="auto" w:fill="FFFFFF"/>
          </w:rPr>
          <m:t>+</m:t>
        </m:r>
        <m:sSub>
          <m:sSubPr>
            <m:ctrlPr>
              <w:rPr>
                <w:rFonts w:ascii="Cambria Math" w:hAnsi="Cambria Math" w:cs="Times New Roman"/>
                <w:i/>
                <w:sz w:val="20"/>
                <w:szCs w:val="20"/>
                <w:shd w:val="clear" w:color="auto" w:fill="FFFFFF"/>
              </w:rPr>
            </m:ctrlPr>
          </m:sSubPr>
          <m:e>
            <m:r>
              <w:rPr>
                <w:rFonts w:ascii="Cambria Math" w:hAnsi="Cambria Math" w:cs="Times New Roman"/>
                <w:sz w:val="20"/>
                <w:szCs w:val="20"/>
                <w:shd w:val="clear" w:color="auto" w:fill="FFFFFF"/>
              </w:rPr>
              <m:t>e</m:t>
            </m:r>
          </m:e>
          <m:sub>
            <m:r>
              <w:rPr>
                <w:rFonts w:ascii="Cambria Math" w:hAnsi="Cambria Math" w:cs="Times New Roman"/>
                <w:sz w:val="20"/>
                <w:szCs w:val="20"/>
                <w:shd w:val="clear" w:color="auto" w:fill="FFFFFF"/>
              </w:rPr>
              <m:t>t</m:t>
            </m:r>
          </m:sub>
        </m:sSub>
      </m:oMath>
      <w:r w:rsidR="00204963" w:rsidRPr="00E4714B">
        <w:rPr>
          <w:rFonts w:eastAsia="Times New Roman" w:cs="Times New Roman"/>
          <w:sz w:val="20"/>
          <w:szCs w:val="20"/>
          <w:shd w:val="clear" w:color="auto" w:fill="FFFFFF"/>
        </w:rPr>
        <w:tab/>
      </w:r>
      <w:r w:rsidR="00204963" w:rsidRPr="00E4714B">
        <w:rPr>
          <w:rFonts w:eastAsia="Times New Roman" w:cs="Times New Roman"/>
          <w:sz w:val="20"/>
          <w:szCs w:val="20"/>
          <w:shd w:val="clear" w:color="auto" w:fill="FFFFFF"/>
        </w:rPr>
        <w:tab/>
      </w:r>
      <w:r w:rsidR="00204963" w:rsidRPr="00E4714B">
        <w:rPr>
          <w:rFonts w:eastAsia="Times New Roman" w:cs="Times New Roman"/>
          <w:sz w:val="20"/>
          <w:szCs w:val="20"/>
          <w:shd w:val="clear" w:color="auto" w:fill="FFFFFF"/>
        </w:rPr>
        <w:tab/>
      </w:r>
      <w:r w:rsidR="00204963" w:rsidRPr="00E4714B">
        <w:rPr>
          <w:rFonts w:eastAsia="Times New Roman" w:cs="Times New Roman"/>
          <w:sz w:val="20"/>
          <w:szCs w:val="20"/>
          <w:shd w:val="clear" w:color="auto" w:fill="FFFFFF"/>
        </w:rPr>
        <w:tab/>
      </w:r>
      <w:r w:rsidR="00204963" w:rsidRPr="00E4714B">
        <w:rPr>
          <w:rFonts w:eastAsia="Times New Roman" w:cs="Times New Roman"/>
          <w:sz w:val="20"/>
          <w:szCs w:val="20"/>
          <w:shd w:val="clear" w:color="auto" w:fill="FFFFFF"/>
        </w:rPr>
        <w:tab/>
      </w:r>
      <w:r w:rsidR="00204963" w:rsidRPr="00E4714B">
        <w:rPr>
          <w:rFonts w:eastAsia="Times New Roman" w:cs="Times New Roman"/>
          <w:sz w:val="20"/>
          <w:szCs w:val="20"/>
          <w:shd w:val="clear" w:color="auto" w:fill="FFFFFF"/>
        </w:rPr>
        <w:tab/>
      </w:r>
      <w:r w:rsidR="00204963" w:rsidRPr="00E4714B">
        <w:rPr>
          <w:rFonts w:eastAsia="Times New Roman" w:cs="Times New Roman"/>
          <w:sz w:val="20"/>
          <w:szCs w:val="20"/>
          <w:shd w:val="clear" w:color="auto" w:fill="FFFFFF"/>
        </w:rPr>
        <w:tab/>
      </w:r>
      <w:r w:rsidR="00204963" w:rsidRPr="00E4714B">
        <w:rPr>
          <w:rFonts w:eastAsia="Times New Roman" w:cs="Times New Roman"/>
          <w:sz w:val="20"/>
          <w:szCs w:val="20"/>
          <w:shd w:val="clear" w:color="auto" w:fill="FFFFFF"/>
        </w:rPr>
        <w:tab/>
      </w:r>
      <w:r w:rsidR="00204963" w:rsidRPr="00E4714B">
        <w:rPr>
          <w:rFonts w:eastAsia="Times New Roman" w:cs="Times New Roman"/>
          <w:sz w:val="20"/>
          <w:szCs w:val="20"/>
          <w:shd w:val="clear" w:color="auto" w:fill="FFFFFF"/>
        </w:rPr>
        <w:tab/>
      </w:r>
      <w:r w:rsidR="00204963" w:rsidRPr="00E4714B">
        <w:rPr>
          <w:rFonts w:eastAsia="Times New Roman" w:cs="Times New Roman"/>
          <w:sz w:val="20"/>
          <w:szCs w:val="20"/>
          <w:shd w:val="clear" w:color="auto" w:fill="FFFFFF"/>
        </w:rPr>
        <w:tab/>
        <w:t>(3)</w:t>
      </w:r>
    </w:p>
    <w:p w14:paraId="4DC6D2AA" w14:textId="77777777" w:rsidR="00204963" w:rsidRPr="00E4714B" w:rsidRDefault="00204963" w:rsidP="00E4714B">
      <w:pPr>
        <w:rPr>
          <w:rFonts w:eastAsia="Times New Roman" w:cs="Times New Roman"/>
          <w:sz w:val="20"/>
          <w:szCs w:val="20"/>
          <w:shd w:val="clear" w:color="auto" w:fill="FFFFFF"/>
        </w:rPr>
      </w:pPr>
    </w:p>
    <w:p w14:paraId="5F8CB353" w14:textId="4D929380" w:rsidR="00204963" w:rsidRPr="00E4714B" w:rsidRDefault="00000000" w:rsidP="00E4714B">
      <w:pPr>
        <w:rPr>
          <w:rFonts w:eastAsia="Times New Roman" w:cs="Times New Roman"/>
          <w:iCs/>
          <w:sz w:val="20"/>
          <w:szCs w:val="20"/>
        </w:rPr>
      </w:pPr>
      <m:oMath>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H</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 xml:space="preserve">= </m:t>
        </m:r>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μ</m:t>
            </m:r>
          </m:e>
        </m:acc>
        <m:r>
          <w:rPr>
            <w:rFonts w:ascii="Cambria Math" w:eastAsia="Times New Roman" w:hAnsi="Cambria Math" w:cs="Times New Roman"/>
            <w:sz w:val="20"/>
            <w:szCs w:val="20"/>
          </w:rPr>
          <m:t>+</m:t>
        </m:r>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θ</m:t>
            </m:r>
          </m:e>
        </m:acc>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DU</m:t>
            </m:r>
          </m:e>
          <m:sub>
            <m:r>
              <w:rPr>
                <w:rFonts w:ascii="Cambria Math" w:eastAsia="Times New Roman" w:hAnsi="Cambria Math" w:cs="Times New Roman"/>
                <w:sz w:val="20"/>
                <w:szCs w:val="20"/>
              </w:rPr>
              <m:t>t</m:t>
            </m:r>
          </m:sub>
        </m:sSub>
        <m:d>
          <m:dPr>
            <m:ctrlPr>
              <w:rPr>
                <w:rFonts w:ascii="Cambria Math" w:eastAsia="Times New Roman" w:hAnsi="Cambria Math" w:cs="Times New Roman"/>
                <w:i/>
                <w:iCs/>
                <w:sz w:val="20"/>
                <w:szCs w:val="20"/>
              </w:rPr>
            </m:ctrlPr>
          </m:dPr>
          <m:e>
            <m:acc>
              <m:accPr>
                <m:ctrlPr>
                  <w:rPr>
                    <w:rFonts w:ascii="Cambria Math" w:eastAsia="Times New Roman" w:hAnsi="Cambria Math" w:cs="Times New Roman"/>
                    <w:i/>
                    <w:iCs/>
                    <w:sz w:val="20"/>
                    <w:szCs w:val="20"/>
                  </w:rPr>
                </m:ctrlPr>
              </m:accPr>
              <m:e>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b</m:t>
                    </m:r>
                  </m:sub>
                </m:sSub>
              </m:e>
            </m:acc>
          </m:e>
        </m:d>
        <m:r>
          <w:rPr>
            <w:rFonts w:ascii="Cambria Math" w:eastAsia="Times New Roman" w:hAnsi="Cambria Math" w:cs="Times New Roman"/>
            <w:sz w:val="20"/>
            <w:szCs w:val="20"/>
          </w:rPr>
          <m:t xml:space="preserve">+ </m:t>
        </m:r>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β</m:t>
            </m:r>
          </m:e>
        </m:acc>
        <m:r>
          <w:rPr>
            <w:rFonts w:ascii="Cambria Math" w:eastAsia="Times New Roman" w:hAnsi="Cambria Math" w:cs="Times New Roman"/>
            <w:sz w:val="20"/>
            <w:szCs w:val="20"/>
          </w:rPr>
          <m:t>t+</m:t>
        </m:r>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γ</m:t>
            </m:r>
          </m:e>
        </m:acc>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DT</m:t>
            </m:r>
          </m:e>
          <m:sub>
            <m:r>
              <w:rPr>
                <w:rFonts w:ascii="Cambria Math" w:eastAsia="Times New Roman" w:hAnsi="Cambria Math" w:cs="Times New Roman"/>
                <w:sz w:val="20"/>
                <w:szCs w:val="20"/>
              </w:rPr>
              <m:t>t</m:t>
            </m:r>
          </m:sub>
        </m:sSub>
        <m:d>
          <m:dPr>
            <m:ctrlPr>
              <w:rPr>
                <w:rFonts w:ascii="Cambria Math" w:eastAsia="Times New Roman" w:hAnsi="Cambria Math" w:cs="Times New Roman"/>
                <w:i/>
                <w:iCs/>
                <w:sz w:val="20"/>
                <w:szCs w:val="20"/>
              </w:rPr>
            </m:ctrlPr>
          </m:dPr>
          <m:e>
            <m:acc>
              <m:accPr>
                <m:ctrlPr>
                  <w:rPr>
                    <w:rFonts w:ascii="Cambria Math" w:eastAsia="Times New Roman" w:hAnsi="Cambria Math" w:cs="Times New Roman"/>
                    <w:i/>
                    <w:iCs/>
                    <w:sz w:val="20"/>
                    <w:szCs w:val="20"/>
                  </w:rPr>
                </m:ctrlPr>
              </m:accPr>
              <m:e>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b</m:t>
                    </m:r>
                  </m:sub>
                </m:sSub>
              </m:e>
            </m:acc>
          </m:e>
        </m:d>
        <m:r>
          <w:rPr>
            <w:rFonts w:ascii="Cambria Math" w:eastAsia="Times New Roman" w:hAnsi="Cambria Math" w:cs="Times New Roman"/>
            <w:sz w:val="20"/>
            <w:szCs w:val="20"/>
          </w:rPr>
          <m:t>+</m:t>
        </m:r>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α</m:t>
            </m:r>
          </m:e>
        </m:acc>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t-1</m:t>
            </m:r>
          </m:sub>
        </m:sSub>
        <m:r>
          <w:rPr>
            <w:rFonts w:ascii="Cambria Math" w:eastAsia="Times New Roman" w:hAnsi="Cambria Math" w:cs="Times New Roman"/>
            <w:sz w:val="20"/>
            <w:szCs w:val="20"/>
          </w:rPr>
          <m:t>+</m:t>
        </m:r>
        <m:nary>
          <m:naryPr>
            <m:chr m:val="∑"/>
            <m:limLoc m:val="subSup"/>
            <m:ctrlPr>
              <w:rPr>
                <w:rFonts w:ascii="Cambria Math" w:eastAsia="Times New Roman" w:hAnsi="Cambria Math" w:cs="Times New Roman"/>
                <w:i/>
                <w:iCs/>
                <w:sz w:val="20"/>
                <w:szCs w:val="20"/>
              </w:rPr>
            </m:ctrlPr>
          </m:naryPr>
          <m:sub>
            <m:r>
              <w:rPr>
                <w:rFonts w:ascii="Cambria Math" w:eastAsia="Times New Roman" w:hAnsi="Cambria Math" w:cs="Times New Roman"/>
                <w:sz w:val="20"/>
                <w:szCs w:val="20"/>
              </w:rPr>
              <m:t>j=1</m:t>
            </m:r>
          </m:sub>
          <m:sup>
            <m:r>
              <w:rPr>
                <w:rFonts w:ascii="Cambria Math" w:eastAsia="Times New Roman" w:hAnsi="Cambria Math" w:cs="Times New Roman"/>
                <w:sz w:val="20"/>
                <w:szCs w:val="20"/>
              </w:rPr>
              <m:t>k</m:t>
            </m:r>
          </m:sup>
          <m:e>
            <m:acc>
              <m:accPr>
                <m:ctrlPr>
                  <w:rPr>
                    <w:rFonts w:ascii="Cambria Math" w:eastAsia="Times New Roman" w:hAnsi="Cambria Math" w:cs="Times New Roman"/>
                    <w:i/>
                    <w:iCs/>
                    <w:sz w:val="20"/>
                    <w:szCs w:val="20"/>
                  </w:rPr>
                </m:ctrlPr>
              </m:accPr>
              <m:e>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j</m:t>
                    </m:r>
                  </m:sub>
                </m:sSub>
              </m:e>
            </m:acc>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t-j</m:t>
                </m:r>
              </m:sub>
            </m:sSub>
            <m:r>
              <w:rPr>
                <w:rFonts w:ascii="Cambria Math" w:eastAsia="Times New Roman" w:hAnsi="Cambria Math" w:cs="Times New Roman"/>
                <w:sz w:val="20"/>
                <w:szCs w:val="20"/>
              </w:rPr>
              <m:t>+</m:t>
            </m:r>
            <m:acc>
              <m:accPr>
                <m:ctrlPr>
                  <w:rPr>
                    <w:rFonts w:ascii="Cambria Math" w:eastAsia="Times New Roman" w:hAnsi="Cambria Math" w:cs="Times New Roman"/>
                    <w:i/>
                    <w:iCs/>
                    <w:sz w:val="20"/>
                    <w:szCs w:val="20"/>
                  </w:rPr>
                </m:ctrlPr>
              </m:accPr>
              <m:e>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e</m:t>
                    </m:r>
                  </m:e>
                  <m:sub>
                    <m:r>
                      <w:rPr>
                        <w:rFonts w:ascii="Cambria Math" w:eastAsia="Times New Roman" w:hAnsi="Cambria Math" w:cs="Times New Roman"/>
                        <w:sz w:val="20"/>
                        <w:szCs w:val="20"/>
                      </w:rPr>
                      <m:t>t</m:t>
                    </m:r>
                  </m:sub>
                </m:sSub>
              </m:e>
            </m:acc>
          </m:e>
        </m:nary>
        <m:r>
          <w:rPr>
            <w:rFonts w:ascii="Cambria Math" w:eastAsia="Times New Roman" w:hAnsi="Cambria Math" w:cs="Times New Roman"/>
            <w:sz w:val="20"/>
            <w:szCs w:val="20"/>
          </w:rPr>
          <m:t xml:space="preserve"> </m:t>
        </m:r>
      </m:oMath>
      <w:r w:rsidR="00204963" w:rsidRPr="00E4714B">
        <w:rPr>
          <w:rFonts w:eastAsia="Times New Roman" w:cs="Times New Roman"/>
          <w:iCs/>
          <w:sz w:val="20"/>
          <w:szCs w:val="20"/>
        </w:rPr>
        <w:tab/>
      </w:r>
      <w:r w:rsidR="00204963" w:rsidRPr="00E4714B">
        <w:rPr>
          <w:rFonts w:eastAsia="Times New Roman" w:cs="Times New Roman"/>
          <w:iCs/>
          <w:sz w:val="20"/>
          <w:szCs w:val="20"/>
        </w:rPr>
        <w:tab/>
      </w:r>
      <w:r w:rsidR="00204963" w:rsidRPr="00E4714B">
        <w:rPr>
          <w:rFonts w:eastAsia="Times New Roman" w:cs="Times New Roman"/>
          <w:iCs/>
          <w:sz w:val="20"/>
          <w:szCs w:val="20"/>
        </w:rPr>
        <w:tab/>
      </w:r>
      <w:r w:rsidR="00204963" w:rsidRPr="00E4714B">
        <w:rPr>
          <w:rFonts w:eastAsia="Times New Roman" w:cs="Times New Roman"/>
          <w:iCs/>
          <w:sz w:val="20"/>
          <w:szCs w:val="20"/>
        </w:rPr>
        <w:tab/>
        <w:t>(4)</w:t>
      </w:r>
    </w:p>
    <w:p w14:paraId="33C86E37" w14:textId="77777777" w:rsidR="00204963" w:rsidRPr="00E4714B" w:rsidRDefault="00204963" w:rsidP="00E4714B">
      <w:pPr>
        <w:rPr>
          <w:rFonts w:eastAsia="Times New Roman" w:cs="Times New Roman"/>
          <w:iCs/>
          <w:sz w:val="20"/>
          <w:szCs w:val="20"/>
        </w:rPr>
      </w:pPr>
    </w:p>
    <w:p w14:paraId="0E25C126" w14:textId="72DD8344" w:rsidR="00B5079E" w:rsidRPr="00E4714B" w:rsidRDefault="00982798" w:rsidP="00E4714B">
      <w:pPr>
        <w:jc w:val="both"/>
        <w:rPr>
          <w:rFonts w:eastAsia="Times New Roman" w:cs="Times New Roman"/>
          <w:iCs/>
          <w:sz w:val="20"/>
          <w:szCs w:val="20"/>
        </w:rPr>
      </w:pPr>
      <w:r w:rsidRPr="00E4714B">
        <w:rPr>
          <w:rFonts w:eastAsia="Times New Roman" w:cs="Times New Roman"/>
          <w:iCs/>
          <w:sz w:val="20"/>
          <w:szCs w:val="20"/>
        </w:rPr>
        <w:t xml:space="preserve">As shown in equation (3), the null hypothesis for the Zivot-Andrews unit root test is that the series has a unit root with a drift that excludes exogenous structural change. The model allows for a change in the intercept and a break in the trend. Similar to conventional Dickey-Fuller unit root test equations, the test equations include the </w:t>
      </w:r>
      <w:r w:rsidR="00E4714B" w:rsidRPr="00E4714B">
        <w:rPr>
          <w:rFonts w:eastAsia="Times New Roman" w:cs="Times New Roman"/>
          <w:iCs/>
          <w:sz w:val="20"/>
          <w:szCs w:val="20"/>
        </w:rPr>
        <w:t>k-lagged</w:t>
      </w:r>
      <w:r w:rsidRPr="00E4714B">
        <w:rPr>
          <w:rFonts w:eastAsia="Times New Roman" w:cs="Times New Roman"/>
          <w:iCs/>
          <w:sz w:val="20"/>
          <w:szCs w:val="20"/>
        </w:rPr>
        <w:t xml:space="preserve"> differences of y to eliminate the effect of the error correlation structure on the asymptotic distribution of the statistics. DU</w:t>
      </w:r>
      <w:r w:rsidRPr="00E4714B">
        <w:rPr>
          <w:rFonts w:eastAsia="Times New Roman" w:cs="Times New Roman"/>
          <w:iCs/>
          <w:sz w:val="20"/>
          <w:szCs w:val="20"/>
          <w:vertAlign w:val="subscript"/>
        </w:rPr>
        <w:t>t</w:t>
      </w:r>
      <w:r w:rsidRPr="00E4714B">
        <w:rPr>
          <w:rFonts w:eastAsia="Times New Roman" w:cs="Times New Roman"/>
          <w:iCs/>
          <w:sz w:val="20"/>
          <w:szCs w:val="20"/>
        </w:rPr>
        <w:t xml:space="preserve"> is a dummy variable indicating changes in the intercept, and DT</w:t>
      </w:r>
      <w:r w:rsidRPr="00E4714B">
        <w:rPr>
          <w:rFonts w:eastAsia="Times New Roman" w:cs="Times New Roman"/>
          <w:iCs/>
          <w:sz w:val="20"/>
          <w:szCs w:val="20"/>
          <w:vertAlign w:val="subscript"/>
        </w:rPr>
        <w:t>t</w:t>
      </w:r>
      <w:r w:rsidRPr="00E4714B">
        <w:rPr>
          <w:rFonts w:eastAsia="Times New Roman" w:cs="Times New Roman"/>
          <w:iCs/>
          <w:sz w:val="20"/>
          <w:szCs w:val="20"/>
        </w:rPr>
        <w:t xml:space="preserve"> is another dummy variable explaining the change in the trend occurring at time T</w:t>
      </w:r>
      <w:r w:rsidRPr="00E4714B">
        <w:rPr>
          <w:rFonts w:eastAsia="Times New Roman" w:cs="Times New Roman"/>
          <w:iCs/>
          <w:sz w:val="20"/>
          <w:szCs w:val="20"/>
          <w:vertAlign w:val="subscript"/>
        </w:rPr>
        <w:t>b</w:t>
      </w:r>
      <w:r w:rsidRPr="00E4714B">
        <w:rPr>
          <w:rFonts w:eastAsia="Times New Roman" w:cs="Times New Roman"/>
          <w:iCs/>
          <w:sz w:val="20"/>
          <w:szCs w:val="20"/>
        </w:rPr>
        <w:t>. T</w:t>
      </w:r>
      <w:r w:rsidRPr="00E4714B">
        <w:rPr>
          <w:rFonts w:eastAsia="Times New Roman" w:cs="Times New Roman"/>
          <w:iCs/>
          <w:sz w:val="20"/>
          <w:szCs w:val="20"/>
          <w:vertAlign w:val="subscript"/>
        </w:rPr>
        <w:t>b</w:t>
      </w:r>
      <w:r w:rsidRPr="00E4714B">
        <w:rPr>
          <w:rFonts w:eastAsia="Times New Roman" w:cs="Times New Roman"/>
          <w:iCs/>
          <w:sz w:val="20"/>
          <w:szCs w:val="20"/>
        </w:rPr>
        <w:t xml:space="preserve"> is the break date. The null hypothesis is rejected when α is statistically significant.</w:t>
      </w:r>
    </w:p>
    <w:p w14:paraId="59EB6BDA" w14:textId="77777777" w:rsidR="00982798" w:rsidRPr="00E4714B" w:rsidRDefault="00982798" w:rsidP="00E4714B">
      <w:pPr>
        <w:jc w:val="both"/>
        <w:rPr>
          <w:rFonts w:eastAsia="Times New Roman" w:cs="Times New Roman"/>
          <w:iCs/>
          <w:sz w:val="20"/>
          <w:szCs w:val="20"/>
        </w:rPr>
      </w:pPr>
    </w:p>
    <w:p w14:paraId="7894F4D4" w14:textId="7386ADB7" w:rsidR="00CC7A66" w:rsidRPr="00E4714B" w:rsidRDefault="00B5079E" w:rsidP="00E4714B">
      <w:pPr>
        <w:jc w:val="both"/>
        <w:rPr>
          <w:rFonts w:eastAsia="Times New Roman" w:cs="Times New Roman"/>
          <w:iCs/>
          <w:sz w:val="20"/>
          <w:szCs w:val="20"/>
        </w:rPr>
      </w:pPr>
      <w:r w:rsidRPr="00E4714B">
        <w:rPr>
          <w:rFonts w:eastAsia="Times New Roman" w:cs="Times New Roman"/>
          <w:b/>
          <w:bCs/>
          <w:iCs/>
          <w:sz w:val="20"/>
          <w:szCs w:val="20"/>
        </w:rPr>
        <w:t>Cointegration analysis</w:t>
      </w:r>
      <w:r w:rsidR="00CC7A66" w:rsidRPr="00E4714B">
        <w:rPr>
          <w:rFonts w:eastAsia="Times New Roman" w:cs="Times New Roman"/>
          <w:b/>
          <w:bCs/>
          <w:iCs/>
          <w:sz w:val="20"/>
          <w:szCs w:val="20"/>
        </w:rPr>
        <w:t>:</w:t>
      </w:r>
      <w:r w:rsidR="00CC7A66" w:rsidRPr="00E4714B">
        <w:rPr>
          <w:rFonts w:eastAsia="Times New Roman" w:cs="Times New Roman"/>
          <w:iCs/>
          <w:sz w:val="20"/>
          <w:szCs w:val="20"/>
        </w:rPr>
        <w:t xml:space="preserve"> </w:t>
      </w:r>
      <w:r w:rsidR="00982798" w:rsidRPr="00E4714B">
        <w:rPr>
          <w:rFonts w:eastAsia="Times New Roman" w:cs="Times New Roman"/>
          <w:iCs/>
          <w:sz w:val="20"/>
          <w:szCs w:val="20"/>
        </w:rPr>
        <w:t xml:space="preserve">In practice, many economic and financial variables contain one unit root and are thus I(1). Cointegration between variables exists when a linear combination of them is stationary, even if the individual variables have unit roots and are non-stationary. A cointegrating relationship may also be seen as a long-term or equilibrium phenomenon. Although cointegrating variables can deviate from their relationship in </w:t>
      </w:r>
      <w:r w:rsidR="00982798" w:rsidRPr="00E4714B">
        <w:rPr>
          <w:rFonts w:eastAsia="Times New Roman" w:cs="Times New Roman"/>
          <w:iCs/>
          <w:sz w:val="20"/>
          <w:szCs w:val="20"/>
        </w:rPr>
        <w:lastRenderedPageBreak/>
        <w:t>the short run, their association tends to return in the long run (Brooks, 2019).</w:t>
      </w:r>
      <w:r w:rsidRPr="00E4714B">
        <w:rPr>
          <w:rFonts w:eastAsia="Times New Roman" w:cs="Times New Roman"/>
          <w:iCs/>
          <w:sz w:val="20"/>
          <w:szCs w:val="20"/>
        </w:rPr>
        <w:t xml:space="preserve">  </w:t>
      </w:r>
    </w:p>
    <w:p w14:paraId="4F750943" w14:textId="77777777" w:rsidR="00CC7A66" w:rsidRPr="00E4714B" w:rsidRDefault="00CC7A66" w:rsidP="00E4714B">
      <w:pPr>
        <w:jc w:val="both"/>
        <w:rPr>
          <w:rFonts w:eastAsia="Times New Roman" w:cs="Times New Roman"/>
          <w:iCs/>
          <w:sz w:val="20"/>
          <w:szCs w:val="20"/>
        </w:rPr>
      </w:pPr>
    </w:p>
    <w:p w14:paraId="6DD29BFE" w14:textId="19AD1E34" w:rsidR="00B5079E" w:rsidRPr="00E4714B" w:rsidRDefault="00982798" w:rsidP="00E4714B">
      <w:pPr>
        <w:jc w:val="both"/>
        <w:rPr>
          <w:rFonts w:eastAsia="Times New Roman" w:cs="Times New Roman"/>
          <w:iCs/>
          <w:sz w:val="20"/>
          <w:szCs w:val="20"/>
        </w:rPr>
      </w:pPr>
      <w:r w:rsidRPr="00E4714B">
        <w:rPr>
          <w:rFonts w:eastAsia="Times New Roman" w:cs="Times New Roman"/>
          <w:iCs/>
          <w:sz w:val="20"/>
          <w:szCs w:val="20"/>
        </w:rPr>
        <w:t xml:space="preserve">To test the cointegrating relationship between TA, GPR, EU, EM, EX, and IP, this study employed the Engle-Granger 2-step method (Engle and Granger, 1987). This method recommends a two-step procedure for cointegration analysis. In the first step, we ensure that all individual variables are stationary after first differencing. Next, the cointegrating regression is estimated using Ordinary Least Squares (OLS).  The residuals of the cointegrating regression </w:t>
      </w:r>
      <w:r w:rsidR="00E4714B" w:rsidRPr="00E4714B">
        <w:rPr>
          <w:rFonts w:eastAsia="Times New Roman" w:cs="Times New Roman"/>
          <w:iCs/>
          <w:sz w:val="20"/>
          <w:szCs w:val="20"/>
        </w:rPr>
        <w:t xml:space="preserve">are </w:t>
      </w:r>
      <w:r w:rsidRPr="00E4714B">
        <w:rPr>
          <w:rFonts w:eastAsia="Times New Roman" w:cs="Times New Roman"/>
          <w:iCs/>
          <w:sz w:val="20"/>
          <w:szCs w:val="20"/>
        </w:rPr>
        <w:t>denoted as</w:t>
      </w:r>
      <w:r w:rsidR="00B5079E" w:rsidRPr="00E4714B">
        <w:rPr>
          <w:rFonts w:eastAsia="Times New Roman" w:cs="Times New Roman"/>
          <w:iCs/>
          <w:sz w:val="20"/>
          <w:szCs w:val="20"/>
        </w:rPr>
        <w:t xml:space="preserve"> </w:t>
      </w:r>
      <m:oMath>
        <m:acc>
          <m:accPr>
            <m:ctrlPr>
              <w:rPr>
                <w:rFonts w:ascii="Cambria Math" w:eastAsia="Times New Roman" w:hAnsi="Cambria Math" w:cs="Times New Roman"/>
                <w:i/>
                <w:iCs/>
                <w:sz w:val="20"/>
                <w:szCs w:val="20"/>
              </w:rPr>
            </m:ctrlPr>
          </m:accPr>
          <m:e>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u</m:t>
                </m:r>
              </m:e>
              <m:sub>
                <m:r>
                  <w:rPr>
                    <w:rFonts w:ascii="Cambria Math" w:eastAsia="Times New Roman" w:hAnsi="Cambria Math" w:cs="Times New Roman"/>
                    <w:sz w:val="20"/>
                    <w:szCs w:val="20"/>
                  </w:rPr>
                  <m:t>t</m:t>
                </m:r>
              </m:sub>
            </m:sSub>
          </m:e>
        </m:acc>
      </m:oMath>
      <w:r w:rsidR="00B5079E" w:rsidRPr="00E4714B">
        <w:rPr>
          <w:rFonts w:eastAsia="Times New Roman" w:cs="Times New Roman"/>
          <w:iCs/>
          <w:sz w:val="20"/>
          <w:szCs w:val="20"/>
        </w:rPr>
        <w:t xml:space="preserve"> </w:t>
      </w:r>
      <w:r w:rsidRPr="00E4714B">
        <w:rPr>
          <w:rFonts w:eastAsia="Times New Roman" w:cs="Times New Roman"/>
          <w:iCs/>
          <w:sz w:val="20"/>
          <w:szCs w:val="20"/>
        </w:rPr>
        <w:t xml:space="preserve">are saved before conducting a unit root test on these residuals to confirm that they are I(0). Once it is confirmed that the residuals of the cointegrating regression are I(0), step 2 can be conducted. However, if the residuals are I(1), the models will be estimated using only </w:t>
      </w:r>
      <w:r w:rsidR="00E4714B" w:rsidRPr="00E4714B">
        <w:rPr>
          <w:rFonts w:eastAsia="Times New Roman" w:cs="Times New Roman"/>
          <w:iCs/>
          <w:sz w:val="20"/>
          <w:szCs w:val="20"/>
        </w:rPr>
        <w:t xml:space="preserve">the </w:t>
      </w:r>
      <w:r w:rsidRPr="00E4714B">
        <w:rPr>
          <w:rFonts w:eastAsia="Times New Roman" w:cs="Times New Roman"/>
          <w:iCs/>
          <w:sz w:val="20"/>
          <w:szCs w:val="20"/>
        </w:rPr>
        <w:t>first differences. In this study, it was found that the residuals of the cointegrating relations were all I(0).</w:t>
      </w:r>
    </w:p>
    <w:p w14:paraId="36D3BC1E" w14:textId="77777777" w:rsidR="00982798" w:rsidRPr="00E4714B" w:rsidRDefault="00982798" w:rsidP="00E4714B">
      <w:pPr>
        <w:jc w:val="both"/>
        <w:rPr>
          <w:rFonts w:eastAsia="Times New Roman" w:cs="Times New Roman"/>
          <w:iCs/>
          <w:sz w:val="20"/>
          <w:szCs w:val="20"/>
        </w:rPr>
      </w:pPr>
    </w:p>
    <w:p w14:paraId="6A445AC1" w14:textId="42CF9E2A" w:rsidR="00B5079E" w:rsidRPr="00E4714B" w:rsidRDefault="00982798" w:rsidP="00E4714B">
      <w:pPr>
        <w:jc w:val="both"/>
        <w:rPr>
          <w:rFonts w:eastAsia="Times New Roman" w:cs="Times New Roman"/>
          <w:iCs/>
          <w:sz w:val="20"/>
          <w:szCs w:val="20"/>
        </w:rPr>
      </w:pPr>
      <w:r w:rsidRPr="00E4714B">
        <w:rPr>
          <w:rFonts w:eastAsia="Times New Roman" w:cs="Times New Roman"/>
          <w:iCs/>
          <w:sz w:val="20"/>
          <w:szCs w:val="20"/>
        </w:rPr>
        <w:t>In the second step, the residuals obtained in step 1 are used as one variable in the error correction model, as stated in equation (5).</w:t>
      </w:r>
    </w:p>
    <w:p w14:paraId="643531E5" w14:textId="77777777" w:rsidR="00982798" w:rsidRPr="00E4714B" w:rsidRDefault="00982798" w:rsidP="00E4714B">
      <w:pPr>
        <w:jc w:val="both"/>
        <w:rPr>
          <w:rFonts w:eastAsia="Times New Roman" w:cs="Times New Roman"/>
          <w:iCs/>
          <w:sz w:val="20"/>
          <w:szCs w:val="20"/>
        </w:rPr>
      </w:pPr>
    </w:p>
    <w:p w14:paraId="5B5A9C71" w14:textId="0B317496" w:rsidR="00B5079E" w:rsidRPr="00E4714B" w:rsidRDefault="00B5079E" w:rsidP="00E4714B">
      <w:pPr>
        <w:jc w:val="both"/>
        <w:rPr>
          <w:rFonts w:eastAsia="Times New Roman" w:cs="Times New Roman"/>
          <w:iCs/>
          <w:sz w:val="20"/>
          <w:szCs w:val="20"/>
        </w:rPr>
      </w:pPr>
      <m:oMath>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β</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t</m:t>
            </m:r>
          </m:sub>
        </m:sSub>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β</m:t>
            </m:r>
          </m:e>
          <m:sub>
            <m:r>
              <w:rPr>
                <w:rFonts w:ascii="Cambria Math" w:eastAsia="Times New Roman" w:hAnsi="Cambria Math" w:cs="Times New Roman"/>
                <w:sz w:val="20"/>
                <w:szCs w:val="20"/>
              </w:rPr>
              <m:t>2</m:t>
            </m:r>
          </m:sub>
        </m:sSub>
        <m:d>
          <m:dPr>
            <m:ctrlPr>
              <w:rPr>
                <w:rFonts w:ascii="Cambria Math" w:eastAsia="Times New Roman" w:hAnsi="Cambria Math" w:cs="Times New Roman"/>
                <w:i/>
                <w:iCs/>
                <w:sz w:val="20"/>
                <w:szCs w:val="20"/>
              </w:rPr>
            </m:ctrlPr>
          </m:dPr>
          <m:e>
            <m:sSub>
              <m:sSubPr>
                <m:ctrlPr>
                  <w:rPr>
                    <w:rFonts w:ascii="Cambria Math" w:eastAsia="Times New Roman" w:hAnsi="Cambria Math" w:cs="Times New Roman"/>
                    <w:i/>
                    <w:iCs/>
                    <w:sz w:val="20"/>
                    <w:szCs w:val="20"/>
                  </w:rPr>
                </m:ctrlPr>
              </m:sSubPr>
              <m:e>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μ</m:t>
                    </m:r>
                  </m:e>
                </m:acc>
              </m:e>
              <m:sub>
                <m:r>
                  <w:rPr>
                    <w:rFonts w:ascii="Cambria Math" w:eastAsia="Times New Roman" w:hAnsi="Cambria Math" w:cs="Times New Roman"/>
                    <w:sz w:val="20"/>
                    <w:szCs w:val="20"/>
                  </w:rPr>
                  <m:t>t-1</m:t>
                </m:r>
              </m:sub>
            </m:sSub>
          </m:e>
        </m:d>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t</m:t>
            </m:r>
          </m:sub>
        </m:sSub>
      </m:oMath>
      <w:r w:rsidRPr="00E4714B">
        <w:rPr>
          <w:rFonts w:eastAsia="Times New Roman" w:cs="Times New Roman"/>
          <w:iCs/>
          <w:sz w:val="20"/>
          <w:szCs w:val="20"/>
        </w:rPr>
        <w:tab/>
      </w:r>
      <w:r w:rsidRPr="00E4714B">
        <w:rPr>
          <w:rFonts w:eastAsia="Times New Roman" w:cs="Times New Roman"/>
          <w:iCs/>
          <w:sz w:val="20"/>
          <w:szCs w:val="20"/>
        </w:rPr>
        <w:tab/>
      </w:r>
      <w:r w:rsidRPr="00E4714B">
        <w:rPr>
          <w:rFonts w:eastAsia="Times New Roman" w:cs="Times New Roman"/>
          <w:iCs/>
          <w:sz w:val="20"/>
          <w:szCs w:val="20"/>
        </w:rPr>
        <w:tab/>
      </w:r>
      <w:r w:rsidRPr="00E4714B">
        <w:rPr>
          <w:rFonts w:eastAsia="Times New Roman" w:cs="Times New Roman"/>
          <w:iCs/>
          <w:sz w:val="20"/>
          <w:szCs w:val="20"/>
        </w:rPr>
        <w:tab/>
      </w:r>
      <w:r w:rsidRPr="00E4714B">
        <w:rPr>
          <w:rFonts w:eastAsia="Times New Roman" w:cs="Times New Roman"/>
          <w:iCs/>
          <w:sz w:val="20"/>
          <w:szCs w:val="20"/>
        </w:rPr>
        <w:tab/>
      </w:r>
      <w:r w:rsidRPr="00E4714B">
        <w:rPr>
          <w:rFonts w:eastAsia="Times New Roman" w:cs="Times New Roman"/>
          <w:iCs/>
          <w:sz w:val="20"/>
          <w:szCs w:val="20"/>
        </w:rPr>
        <w:tab/>
      </w:r>
      <w:r w:rsidRPr="00E4714B">
        <w:rPr>
          <w:rFonts w:eastAsia="Times New Roman" w:cs="Times New Roman"/>
          <w:iCs/>
          <w:sz w:val="20"/>
          <w:szCs w:val="20"/>
        </w:rPr>
        <w:tab/>
      </w:r>
      <w:r w:rsidRPr="00E4714B">
        <w:rPr>
          <w:rFonts w:eastAsia="Times New Roman" w:cs="Times New Roman"/>
          <w:iCs/>
          <w:sz w:val="20"/>
          <w:szCs w:val="20"/>
        </w:rPr>
        <w:tab/>
      </w:r>
      <w:r w:rsidRPr="00E4714B">
        <w:rPr>
          <w:rFonts w:eastAsia="Times New Roman" w:cs="Times New Roman"/>
          <w:iCs/>
          <w:sz w:val="20"/>
          <w:szCs w:val="20"/>
        </w:rPr>
        <w:tab/>
        <w:t>(5)</w:t>
      </w:r>
    </w:p>
    <w:p w14:paraId="3E307E55" w14:textId="77777777" w:rsidR="00B5079E" w:rsidRPr="00E4714B" w:rsidRDefault="00B5079E" w:rsidP="00E4714B">
      <w:pPr>
        <w:jc w:val="both"/>
        <w:rPr>
          <w:rFonts w:eastAsia="Times New Roman" w:cs="Times New Roman"/>
          <w:iCs/>
          <w:sz w:val="20"/>
          <w:szCs w:val="20"/>
        </w:rPr>
      </w:pPr>
    </w:p>
    <w:p w14:paraId="656B5034" w14:textId="1A7BC7CF" w:rsidR="00B5079E" w:rsidRPr="00E4714B" w:rsidRDefault="00B5079E" w:rsidP="00E4714B">
      <w:pPr>
        <w:jc w:val="both"/>
        <w:rPr>
          <w:rFonts w:eastAsia="Times New Roman" w:cs="Times New Roman"/>
          <w:iCs/>
          <w:sz w:val="20"/>
          <w:szCs w:val="20"/>
        </w:rPr>
      </w:pPr>
      <w:r w:rsidRPr="00E4714B">
        <w:rPr>
          <w:rFonts w:eastAsia="Times New Roman" w:cs="Times New Roman"/>
          <w:iCs/>
          <w:sz w:val="20"/>
          <w:szCs w:val="20"/>
        </w:rPr>
        <w:t xml:space="preserve">Where </w:t>
      </w:r>
      <m:oMath>
        <m:sSub>
          <m:sSubPr>
            <m:ctrlPr>
              <w:rPr>
                <w:rFonts w:ascii="Cambria Math" w:eastAsia="Times New Roman" w:hAnsi="Cambria Math" w:cs="Times New Roman"/>
                <w:i/>
                <w:iCs/>
                <w:sz w:val="20"/>
                <w:szCs w:val="20"/>
              </w:rPr>
            </m:ctrlPr>
          </m:sSubPr>
          <m:e>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μ</m:t>
                </m:r>
              </m:e>
            </m:acc>
          </m:e>
          <m:sub>
            <m:r>
              <w:rPr>
                <w:rFonts w:ascii="Cambria Math" w:eastAsia="Times New Roman" w:hAnsi="Cambria Math" w:cs="Times New Roman"/>
                <w:sz w:val="20"/>
                <w:szCs w:val="20"/>
              </w:rPr>
              <m:t>t-1</m:t>
            </m:r>
          </m:sub>
        </m:sSub>
        <m:r>
          <w:rPr>
            <w:rFonts w:ascii="Cambria Math" w:eastAsia="Times New Roman" w:hAnsi="Cambria Math" w:cs="Times New Roman"/>
            <w:sz w:val="20"/>
            <w:szCs w:val="20"/>
          </w:rPr>
          <m:t>=</m:t>
        </m:r>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y</m:t>
            </m:r>
          </m:e>
          <m:sub>
            <m:r>
              <w:rPr>
                <w:rFonts w:ascii="Cambria Math" w:eastAsia="Times New Roman" w:hAnsi="Cambria Math" w:cs="Times New Roman"/>
                <w:sz w:val="20"/>
                <w:szCs w:val="20"/>
              </w:rPr>
              <m:t>t-1</m:t>
            </m:r>
          </m:sub>
        </m:sSub>
        <m:r>
          <w:rPr>
            <w:rFonts w:ascii="Cambria Math" w:eastAsia="Times New Roman" w:hAnsi="Cambria Math" w:cs="Times New Roman"/>
            <w:sz w:val="20"/>
            <w:szCs w:val="20"/>
          </w:rPr>
          <m:t>-</m:t>
        </m:r>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τ</m:t>
            </m:r>
          </m:e>
        </m:acc>
        <m:sSub>
          <m:sSubPr>
            <m:ctrlPr>
              <w:rPr>
                <w:rFonts w:ascii="Cambria Math" w:eastAsia="Times New Roman" w:hAnsi="Cambria Math" w:cs="Times New Roman"/>
                <w:i/>
                <w:iCs/>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t-1</m:t>
            </m:r>
          </m:sub>
        </m:sSub>
      </m:oMath>
      <w:r w:rsidRPr="00E4714B">
        <w:rPr>
          <w:rFonts w:eastAsia="Times New Roman" w:cs="Times New Roman"/>
          <w:iCs/>
          <w:sz w:val="20"/>
          <w:szCs w:val="20"/>
        </w:rPr>
        <w:t xml:space="preserve">. The stationarity, </w:t>
      </w:r>
      <w:r w:rsidR="00E4714B" w:rsidRPr="00E4714B">
        <w:rPr>
          <w:rFonts w:eastAsia="Times New Roman" w:cs="Times New Roman"/>
          <w:iCs/>
          <w:sz w:val="20"/>
          <w:szCs w:val="20"/>
        </w:rPr>
        <w:t xml:space="preserve">a </w:t>
      </w:r>
      <w:r w:rsidRPr="00E4714B">
        <w:rPr>
          <w:rFonts w:eastAsia="Times New Roman" w:cs="Times New Roman"/>
          <w:iCs/>
          <w:sz w:val="20"/>
          <w:szCs w:val="20"/>
        </w:rPr>
        <w:t xml:space="preserve">linear combination of non-stationary variables is also known as </w:t>
      </w:r>
      <w:r w:rsidR="00E4714B" w:rsidRPr="00E4714B">
        <w:rPr>
          <w:rFonts w:eastAsia="Times New Roman" w:cs="Times New Roman"/>
          <w:iCs/>
          <w:sz w:val="20"/>
          <w:szCs w:val="20"/>
        </w:rPr>
        <w:t xml:space="preserve">a </w:t>
      </w:r>
      <w:r w:rsidRPr="00E4714B">
        <w:rPr>
          <w:rFonts w:eastAsia="Times New Roman" w:cs="Times New Roman"/>
          <w:iCs/>
          <w:sz w:val="20"/>
          <w:szCs w:val="20"/>
        </w:rPr>
        <w:t>cointegrating vector. (1-</w:t>
      </w:r>
      <m:oMath>
        <m:acc>
          <m:accPr>
            <m:ctrlPr>
              <w:rPr>
                <w:rFonts w:ascii="Cambria Math" w:eastAsia="Times New Roman" w:hAnsi="Cambria Math" w:cs="Times New Roman"/>
                <w:i/>
                <w:iCs/>
                <w:sz w:val="20"/>
                <w:szCs w:val="20"/>
              </w:rPr>
            </m:ctrlPr>
          </m:accPr>
          <m:e>
            <m:r>
              <w:rPr>
                <w:rFonts w:ascii="Cambria Math" w:eastAsia="Times New Roman" w:hAnsi="Cambria Math" w:cs="Times New Roman"/>
                <w:sz w:val="20"/>
                <w:szCs w:val="20"/>
              </w:rPr>
              <m:t>τ</m:t>
            </m:r>
          </m:e>
        </m:acc>
        <m:r>
          <w:rPr>
            <w:rFonts w:ascii="Cambria Math" w:eastAsia="Times New Roman" w:hAnsi="Cambria Math" w:cs="Times New Roman"/>
            <w:sz w:val="20"/>
            <w:szCs w:val="20"/>
          </w:rPr>
          <m:t>)</m:t>
        </m:r>
      </m:oMath>
      <w:r w:rsidRPr="00E4714B">
        <w:rPr>
          <w:rFonts w:eastAsia="Times New Roman" w:cs="Times New Roman"/>
          <w:iCs/>
          <w:sz w:val="20"/>
          <w:szCs w:val="20"/>
        </w:rPr>
        <w:t xml:space="preserve"> is called the cointegrating vector. The null hypothesis of no cointegration can be precluded when the Z(t) test value is less than the critical value </w:t>
      </w:r>
      <w:r w:rsidR="00E4714B" w:rsidRPr="00E4714B">
        <w:rPr>
          <w:rFonts w:eastAsia="Times New Roman" w:cs="Times New Roman"/>
          <w:iCs/>
          <w:sz w:val="20"/>
          <w:szCs w:val="20"/>
        </w:rPr>
        <w:t xml:space="preserve">by </w:t>
      </w:r>
      <w:r w:rsidRPr="00E4714B">
        <w:rPr>
          <w:rFonts w:eastAsia="Times New Roman" w:cs="Times New Roman"/>
          <w:iCs/>
          <w:sz w:val="20"/>
          <w:szCs w:val="20"/>
        </w:rPr>
        <w:t xml:space="preserve">at least </w:t>
      </w:r>
      <w:r w:rsidR="00E4714B" w:rsidRPr="00E4714B">
        <w:rPr>
          <w:rFonts w:eastAsia="Times New Roman" w:cs="Times New Roman"/>
          <w:iCs/>
          <w:sz w:val="20"/>
          <w:szCs w:val="20"/>
        </w:rPr>
        <w:t xml:space="preserve">a </w:t>
      </w:r>
      <w:r w:rsidRPr="00E4714B">
        <w:rPr>
          <w:rFonts w:eastAsia="Times New Roman" w:cs="Times New Roman"/>
          <w:iCs/>
          <w:sz w:val="20"/>
          <w:szCs w:val="20"/>
        </w:rPr>
        <w:t xml:space="preserve">5% confidence level. </w:t>
      </w:r>
    </w:p>
    <w:p w14:paraId="44CD0F08" w14:textId="77777777" w:rsidR="00B5079E" w:rsidRPr="00E4714B" w:rsidRDefault="00B5079E" w:rsidP="00E4714B">
      <w:pPr>
        <w:jc w:val="both"/>
        <w:rPr>
          <w:rFonts w:eastAsia="Times New Roman" w:cs="Times New Roman"/>
          <w:iCs/>
          <w:sz w:val="20"/>
          <w:szCs w:val="20"/>
        </w:rPr>
      </w:pPr>
    </w:p>
    <w:p w14:paraId="27BD409F" w14:textId="57C1B724" w:rsidR="00B5079E" w:rsidRPr="00E4714B" w:rsidRDefault="00982798" w:rsidP="00E4714B">
      <w:pPr>
        <w:jc w:val="both"/>
        <w:rPr>
          <w:rFonts w:eastAsia="Times New Roman" w:cs="Times New Roman"/>
          <w:iCs/>
          <w:sz w:val="20"/>
          <w:szCs w:val="20"/>
        </w:rPr>
      </w:pPr>
      <w:r w:rsidRPr="00E4714B">
        <w:rPr>
          <w:rFonts w:eastAsia="Times New Roman" w:cs="Times New Roman"/>
          <w:iCs/>
          <w:sz w:val="20"/>
          <w:szCs w:val="20"/>
        </w:rPr>
        <w:t xml:space="preserve">In this study, additional control variables used in the system, excluding any constant term, may increase the number of variables to k. Consequently, there could be up to r linearly independent cointegrating relationships, where r ≤ k-1. To address this, the study complements the Engle-Granger cointegration test with </w:t>
      </w:r>
      <w:r w:rsidR="00E4714B" w:rsidRPr="00E4714B">
        <w:rPr>
          <w:rFonts w:eastAsia="Times New Roman" w:cs="Times New Roman"/>
          <w:iCs/>
          <w:sz w:val="20"/>
          <w:szCs w:val="20"/>
        </w:rPr>
        <w:t xml:space="preserve">the </w:t>
      </w:r>
      <w:r w:rsidRPr="00E4714B">
        <w:rPr>
          <w:rFonts w:eastAsia="Times New Roman" w:cs="Times New Roman"/>
          <w:iCs/>
          <w:sz w:val="20"/>
          <w:szCs w:val="20"/>
        </w:rPr>
        <w:t>Johansen cointegration test</w:t>
      </w:r>
      <w:r w:rsidR="001136E5" w:rsidRPr="00E4714B">
        <w:rPr>
          <w:rFonts w:eastAsia="Times New Roman" w:cs="Times New Roman"/>
          <w:iCs/>
          <w:sz w:val="20"/>
          <w:szCs w:val="20"/>
        </w:rPr>
        <w:t>.</w:t>
      </w:r>
    </w:p>
    <w:p w14:paraId="75AF7D7E" w14:textId="77777777" w:rsidR="00204963" w:rsidRPr="00E4714B" w:rsidRDefault="00204963" w:rsidP="00E4714B">
      <w:pPr>
        <w:jc w:val="both"/>
        <w:rPr>
          <w:rFonts w:eastAsia="Times New Roman" w:cs="Times New Roman"/>
          <w:iCs/>
          <w:sz w:val="20"/>
          <w:szCs w:val="20"/>
        </w:rPr>
      </w:pPr>
    </w:p>
    <w:p w14:paraId="3753FC05" w14:textId="4B5B11E1" w:rsidR="00204963" w:rsidRPr="00E4714B" w:rsidRDefault="00204963" w:rsidP="00E4714B">
      <w:pPr>
        <w:jc w:val="both"/>
        <w:rPr>
          <w:rFonts w:eastAsia="Times New Roman" w:cs="Times New Roman"/>
          <w:sz w:val="20"/>
          <w:szCs w:val="20"/>
        </w:rPr>
      </w:pPr>
      <w:r w:rsidRPr="00E4714B">
        <w:rPr>
          <w:rFonts w:eastAsia="Times New Roman" w:cs="Times New Roman"/>
          <w:b/>
          <w:bCs/>
          <w:sz w:val="20"/>
          <w:szCs w:val="20"/>
        </w:rPr>
        <w:t xml:space="preserve">Granger Causality Test: </w:t>
      </w:r>
      <w:r w:rsidR="006D52C9" w:rsidRPr="00E4714B">
        <w:rPr>
          <w:rFonts w:eastAsia="Times New Roman" w:cs="Times New Roman"/>
          <w:sz w:val="20"/>
          <w:szCs w:val="20"/>
        </w:rPr>
        <w:t>After establishing the long-run relationship between tourist arrivals and geopolitical and economic uncertainties, this study further investigates dynamic causality among TA, GPR, and EU. The causality analysis is based on the Vector Error Correction Model (VECM), and the Granger Causality Test is applied. Equation (</w:t>
      </w:r>
      <w:r w:rsidR="008128C3" w:rsidRPr="00E4714B">
        <w:rPr>
          <w:rFonts w:eastAsia="Times New Roman" w:cs="Times New Roman"/>
          <w:sz w:val="20"/>
          <w:szCs w:val="20"/>
        </w:rPr>
        <w:t>6</w:t>
      </w:r>
      <w:r w:rsidR="006D52C9" w:rsidRPr="00E4714B">
        <w:rPr>
          <w:rFonts w:eastAsia="Times New Roman" w:cs="Times New Roman"/>
          <w:sz w:val="20"/>
          <w:szCs w:val="20"/>
        </w:rPr>
        <w:t>) represents the VECM model.</w:t>
      </w:r>
    </w:p>
    <w:p w14:paraId="116D2712" w14:textId="77777777" w:rsidR="006D52C9" w:rsidRPr="00E4714B" w:rsidRDefault="006D52C9" w:rsidP="00E4714B">
      <w:pPr>
        <w:jc w:val="both"/>
        <w:rPr>
          <w:rFonts w:eastAsia="Times New Roman" w:cs="Times New Roman"/>
          <w:sz w:val="20"/>
          <w:szCs w:val="20"/>
        </w:rPr>
      </w:pPr>
    </w:p>
    <w:p w14:paraId="1790D7CD" w14:textId="77777777" w:rsidR="006D52C9" w:rsidRPr="00E4714B" w:rsidRDefault="006D52C9" w:rsidP="00E4714B">
      <w:pPr>
        <w:jc w:val="both"/>
        <w:rPr>
          <w:rFonts w:eastAsia="Times New Roman" w:cs="Times New Roman"/>
          <w:sz w:val="20"/>
          <w:szCs w:val="20"/>
        </w:rPr>
      </w:pPr>
    </w:p>
    <w:p w14:paraId="2BF82AC1" w14:textId="0FE01035" w:rsidR="00204963" w:rsidRPr="00E4714B" w:rsidRDefault="00204963" w:rsidP="00E4714B">
      <w:pPr>
        <w:jc w:val="both"/>
        <w:rPr>
          <w:rFonts w:eastAsia="Times New Roman" w:cs="Times New Roman"/>
          <w:iCs/>
          <w:sz w:val="20"/>
          <w:szCs w:val="20"/>
        </w:rPr>
      </w:pPr>
      <m:oMath>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TA</m:t>
                          </m:r>
                        </m:e>
                        <m:sub>
                          <m:r>
                            <w:rPr>
                              <w:rFonts w:ascii="Cambria Math" w:eastAsia="Times New Roman" w:hAnsi="Cambria Math" w:cs="Times New Roman"/>
                              <w:sz w:val="20"/>
                              <w:szCs w:val="20"/>
                            </w:rPr>
                            <m:t>t</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t</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EM</m:t>
                          </m:r>
                        </m:e>
                        <m:sub>
                          <m:r>
                            <w:rPr>
                              <w:rFonts w:ascii="Cambria Math" w:eastAsia="Times New Roman" w:hAnsi="Cambria Math" w:cs="Times New Roman"/>
                              <w:sz w:val="20"/>
                              <w:szCs w:val="20"/>
                            </w:rPr>
                            <m:t>t</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EX</m:t>
                    </m:r>
                  </m:e>
                  <m:sub>
                    <m:r>
                      <w:rPr>
                        <w:rFonts w:ascii="Cambria Math" w:eastAsia="Times New Roman" w:hAnsi="Cambria Math" w:cs="Times New Roman"/>
                        <w:sz w:val="20"/>
                        <w:szCs w:val="20"/>
                      </w:rPr>
                      <m:t>t</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IP</m:t>
                    </m:r>
                  </m:e>
                  <m:sub>
                    <m:r>
                      <w:rPr>
                        <w:rFonts w:ascii="Cambria Math" w:eastAsia="Cambria Math" w:hAnsi="Cambria Math" w:cs="Cambria Math"/>
                        <w:sz w:val="20"/>
                        <w:szCs w:val="20"/>
                      </w:rPr>
                      <m:t>t</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CPI</m:t>
                    </m:r>
                  </m:e>
                  <m:sub>
                    <m:r>
                      <w:rPr>
                        <w:rFonts w:ascii="Cambria Math" w:eastAsia="Cambria Math" w:hAnsi="Cambria Math" w:cs="Cambria Math"/>
                        <w:sz w:val="20"/>
                        <w:szCs w:val="20"/>
                      </w:rPr>
                      <m:t>t</m:t>
                    </m:r>
                  </m:sub>
                </m:sSub>
              </m:e>
            </m:eqArr>
          </m:e>
        </m:d>
        <m:r>
          <w:rPr>
            <w:rFonts w:ascii="Cambria Math" w:eastAsia="Times New Roman" w:hAnsi="Cambria Math" w:cs="Times New Roman"/>
            <w:sz w:val="20"/>
            <w:szCs w:val="20"/>
          </w:rPr>
          <m:t xml:space="preserve">= </m:t>
        </m:r>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γ</m:t>
                          </m:r>
                        </m:e>
                        <m:sub>
                          <m:r>
                            <w:rPr>
                              <w:rFonts w:ascii="Cambria Math" w:eastAsia="Times New Roman" w:hAnsi="Cambria Math" w:cs="Times New Roman"/>
                              <w:sz w:val="20"/>
                              <w:szCs w:val="20"/>
                            </w:rPr>
                            <m:t>1</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γ</m:t>
                          </m:r>
                        </m:e>
                        <m:sub>
                          <m:r>
                            <w:rPr>
                              <w:rFonts w:ascii="Cambria Math" w:eastAsia="Times New Roman" w:hAnsi="Cambria Math" w:cs="Times New Roman"/>
                              <w:sz w:val="20"/>
                              <w:szCs w:val="20"/>
                            </w:rPr>
                            <m:t>2</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γ</m:t>
                          </m:r>
                        </m:e>
                        <m:sub>
                          <m:r>
                            <w:rPr>
                              <w:rFonts w:ascii="Cambria Math" w:eastAsia="Times New Roman" w:hAnsi="Cambria Math" w:cs="Times New Roman"/>
                              <w:sz w:val="20"/>
                              <w:szCs w:val="20"/>
                            </w:rPr>
                            <m:t>3</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γ</m:t>
                    </m:r>
                  </m:e>
                  <m:sub>
                    <m:r>
                      <w:rPr>
                        <w:rFonts w:ascii="Cambria Math" w:eastAsia="Times New Roman" w:hAnsi="Cambria Math" w:cs="Times New Roman"/>
                        <w:sz w:val="20"/>
                        <w:szCs w:val="20"/>
                      </w:rPr>
                      <m:t>4</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γ</m:t>
                    </m:r>
                  </m:e>
                  <m:sub>
                    <m:r>
                      <w:rPr>
                        <w:rFonts w:ascii="Cambria Math" w:eastAsia="Cambria Math" w:hAnsi="Cambria Math" w:cs="Cambria Math"/>
                        <w:sz w:val="20"/>
                        <w:szCs w:val="20"/>
                      </w:rPr>
                      <m:t>5</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γ</m:t>
                    </m:r>
                  </m:e>
                  <m:sub>
                    <m:r>
                      <w:rPr>
                        <w:rFonts w:ascii="Cambria Math" w:eastAsia="Cambria Math" w:hAnsi="Cambria Math" w:cs="Cambria Math"/>
                        <w:sz w:val="20"/>
                        <w:szCs w:val="20"/>
                      </w:rPr>
                      <m:t>6</m:t>
                    </m:r>
                  </m:sub>
                </m:sSub>
              </m:e>
            </m:eqArr>
          </m:e>
        </m:d>
        <m:r>
          <w:rPr>
            <w:rFonts w:ascii="Cambria Math" w:eastAsia="Times New Roman" w:hAnsi="Cambria Math" w:cs="Times New Roman"/>
            <w:sz w:val="20"/>
            <w:szCs w:val="20"/>
          </w:rPr>
          <m:t>+</m:t>
        </m:r>
        <m:nary>
          <m:naryPr>
            <m:chr m:val="∑"/>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i=1</m:t>
            </m:r>
          </m:sub>
          <m:sup>
            <m:r>
              <w:rPr>
                <w:rFonts w:ascii="Cambria Math" w:eastAsia="Times New Roman" w:hAnsi="Cambria Math" w:cs="Times New Roman"/>
                <w:sz w:val="20"/>
                <w:szCs w:val="20"/>
              </w:rPr>
              <m:t>m</m:t>
            </m:r>
          </m:sup>
          <m:e>
            <m:r>
              <w:rPr>
                <w:rFonts w:ascii="Cambria Math" w:eastAsia="Times New Roman" w:hAnsi="Cambria Math" w:cs="Times New Roman"/>
                <w:sz w:val="20"/>
                <w:szCs w:val="20"/>
              </w:rPr>
              <m:t>∆</m:t>
            </m:r>
          </m:e>
        </m:nary>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11i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21i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31i</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41i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51i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61i</m:t>
                    </m:r>
                  </m:sub>
                </m:sSub>
              </m:e>
            </m:eqArr>
            <m:r>
              <w:rPr>
                <w:rFonts w:ascii="Cambria Math" w:eastAsia="Times New Roman" w:hAnsi="Cambria Math" w:cs="Times New Roman"/>
                <w:sz w:val="20"/>
                <w:szCs w:val="20"/>
              </w:rPr>
              <m:t xml:space="preserve">  </m:t>
            </m:r>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12i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22i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32i</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41i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51i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61i</m:t>
                    </m:r>
                  </m:sub>
                </m:sSub>
              </m:e>
            </m:eqArr>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13i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23i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θ</m:t>
                          </m:r>
                        </m:e>
                        <m:sub>
                          <m:r>
                            <w:rPr>
                              <w:rFonts w:ascii="Cambria Math" w:eastAsia="Times New Roman" w:hAnsi="Cambria Math" w:cs="Times New Roman"/>
                              <w:sz w:val="20"/>
                              <w:szCs w:val="20"/>
                            </w:rPr>
                            <m:t xml:space="preserve">33i   </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41i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51i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61i</m:t>
                    </m:r>
                  </m:sub>
                </m:sSub>
              </m:e>
            </m:eqArr>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14i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24i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 xml:space="preserve">34i   </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41i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51i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61i</m:t>
                    </m:r>
                  </m:sub>
                </m:sSub>
              </m:e>
            </m:eqArr>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15i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25i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 xml:space="preserve">35i   </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41i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51i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61i</m:t>
                    </m:r>
                  </m:sub>
                </m:sSub>
              </m:e>
            </m:eqArr>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16i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26i</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 xml:space="preserve">36i   </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41i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51i</m:t>
                    </m:r>
                  </m:sub>
                </m:sSub>
                <m:ctrlPr>
                  <w:rPr>
                    <w:rFonts w:ascii="Cambria Math" w:eastAsia="Cambria Math" w:hAnsi="Cambria Math" w:cs="Cambria Math"/>
                    <w:i/>
                    <w:sz w:val="20"/>
                    <w:szCs w:val="20"/>
                  </w:rPr>
                </m:ctrlPr>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θ</m:t>
                    </m:r>
                  </m:e>
                  <m:sub>
                    <m:r>
                      <w:rPr>
                        <w:rFonts w:ascii="Cambria Math" w:eastAsia="Times New Roman" w:hAnsi="Cambria Math" w:cs="Times New Roman"/>
                        <w:sz w:val="20"/>
                        <w:szCs w:val="20"/>
                      </w:rPr>
                      <m:t>61i</m:t>
                    </m:r>
                  </m:sub>
                </m:sSub>
              </m:e>
            </m:eqArr>
          </m:e>
        </m:d>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TA</m:t>
                          </m:r>
                        </m:e>
                        <m:sub>
                          <m:r>
                            <w:rPr>
                              <w:rFonts w:ascii="Cambria Math" w:eastAsia="Times New Roman" w:hAnsi="Cambria Math" w:cs="Times New Roman"/>
                              <w:sz w:val="20"/>
                              <w:szCs w:val="20"/>
                            </w:rPr>
                            <m:t>t-1</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GPR</m:t>
                          </m:r>
                        </m:e>
                        <m:sub>
                          <m:r>
                            <w:rPr>
                              <w:rFonts w:ascii="Cambria Math" w:eastAsia="Times New Roman" w:hAnsi="Cambria Math" w:cs="Times New Roman"/>
                              <w:sz w:val="20"/>
                              <w:szCs w:val="20"/>
                            </w:rPr>
                            <m:t>t-1</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EM</m:t>
                          </m:r>
                        </m:e>
                        <m:sub>
                          <m:r>
                            <w:rPr>
                              <w:rFonts w:ascii="Cambria Math" w:eastAsia="Times New Roman" w:hAnsi="Cambria Math" w:cs="Times New Roman"/>
                              <w:sz w:val="20"/>
                              <w:szCs w:val="20"/>
                            </w:rPr>
                            <m:t>t-1</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EX</m:t>
                    </m:r>
                  </m:e>
                  <m:sub>
                    <m:r>
                      <w:rPr>
                        <w:rFonts w:ascii="Cambria Math" w:eastAsia="Times New Roman" w:hAnsi="Cambria Math" w:cs="Times New Roman"/>
                        <w:sz w:val="20"/>
                        <w:szCs w:val="20"/>
                      </w:rPr>
                      <m:t>t-1</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IP</m:t>
                    </m:r>
                  </m:e>
                  <m:sub>
                    <m:r>
                      <w:rPr>
                        <w:rFonts w:ascii="Cambria Math" w:eastAsia="Cambria Math" w:hAnsi="Cambria Math" w:cs="Cambria Math"/>
                        <w:sz w:val="20"/>
                        <w:szCs w:val="20"/>
                      </w:rPr>
                      <m:t>t-1</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CPI</m:t>
                    </m:r>
                  </m:e>
                  <m:sub>
                    <m:r>
                      <w:rPr>
                        <w:rFonts w:ascii="Cambria Math" w:eastAsia="Cambria Math" w:hAnsi="Cambria Math" w:cs="Cambria Math"/>
                        <w:sz w:val="20"/>
                        <w:szCs w:val="20"/>
                      </w:rPr>
                      <m:t>t-1</m:t>
                    </m:r>
                  </m:sub>
                </m:sSub>
              </m:e>
            </m:eqArr>
          </m:e>
        </m:d>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δ</m:t>
                          </m:r>
                        </m:e>
                        <m:sub>
                          <m:r>
                            <w:rPr>
                              <w:rFonts w:ascii="Cambria Math" w:eastAsia="Times New Roman" w:hAnsi="Cambria Math" w:cs="Times New Roman"/>
                              <w:sz w:val="20"/>
                              <w:szCs w:val="20"/>
                            </w:rPr>
                            <m:t>1</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δ</m:t>
                          </m:r>
                        </m:e>
                        <m:sub>
                          <m:r>
                            <w:rPr>
                              <w:rFonts w:ascii="Cambria Math" w:eastAsia="Times New Roman" w:hAnsi="Cambria Math" w:cs="Times New Roman"/>
                              <w:sz w:val="20"/>
                              <w:szCs w:val="20"/>
                            </w:rPr>
                            <m:t>2</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δ</m:t>
                          </m:r>
                        </m:e>
                        <m:sub>
                          <m:r>
                            <w:rPr>
                              <w:rFonts w:ascii="Cambria Math" w:eastAsia="Times New Roman" w:hAnsi="Cambria Math" w:cs="Times New Roman"/>
                              <w:sz w:val="20"/>
                              <w:szCs w:val="20"/>
                            </w:rPr>
                            <m:t>3</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δ</m:t>
                    </m:r>
                  </m:e>
                  <m:sub>
                    <m:r>
                      <w:rPr>
                        <w:rFonts w:ascii="Cambria Math" w:eastAsia="Times New Roman" w:hAnsi="Cambria Math" w:cs="Times New Roman"/>
                        <w:sz w:val="20"/>
                        <w:szCs w:val="20"/>
                      </w:rPr>
                      <m:t>4</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δ</m:t>
                    </m:r>
                  </m:e>
                  <m:sub>
                    <m:r>
                      <w:rPr>
                        <w:rFonts w:ascii="Cambria Math" w:eastAsia="Cambria Math" w:hAnsi="Cambria Math" w:cs="Cambria Math"/>
                        <w:sz w:val="20"/>
                        <w:szCs w:val="20"/>
                      </w:rPr>
                      <m:t>5</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δ</m:t>
                    </m:r>
                  </m:e>
                  <m:sub>
                    <m:r>
                      <w:rPr>
                        <w:rFonts w:ascii="Cambria Math" w:eastAsia="Cambria Math" w:hAnsi="Cambria Math" w:cs="Cambria Math"/>
                        <w:sz w:val="20"/>
                        <w:szCs w:val="20"/>
                      </w:rPr>
                      <m:t>6</m:t>
                    </m:r>
                  </m:sub>
                </m:sSub>
              </m:e>
            </m:eqArr>
          </m:e>
        </m:d>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ECT</m:t>
            </m:r>
          </m:e>
          <m:sub>
            <m:r>
              <w:rPr>
                <w:rFonts w:ascii="Cambria Math" w:eastAsia="Times New Roman" w:hAnsi="Cambria Math" w:cs="Times New Roman"/>
                <w:sz w:val="20"/>
                <w:szCs w:val="20"/>
              </w:rPr>
              <m:t>t-1)</m:t>
            </m:r>
          </m:sub>
        </m:sSub>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eqArr>
              <m:eqArrPr>
                <m:ctrlPr>
                  <w:rPr>
                    <w:rFonts w:ascii="Cambria Math" w:eastAsia="Times New Roman" w:hAnsi="Cambria Math" w:cs="Times New Roman"/>
                    <w:i/>
                    <w:sz w:val="20"/>
                    <w:szCs w:val="20"/>
                  </w:rPr>
                </m:ctrlPr>
              </m:eqArrPr>
              <m:e>
                <m:m>
                  <m:mPr>
                    <m:mcs>
                      <m:mc>
                        <m:mcPr>
                          <m:count m:val="1"/>
                          <m:mcJc m:val="center"/>
                        </m:mcPr>
                      </m:mc>
                    </m:mcs>
                    <m:ctrlPr>
                      <w:rPr>
                        <w:rFonts w:ascii="Cambria Math" w:eastAsia="Times New Roman" w:hAnsi="Cambria Math" w:cs="Times New Roman"/>
                        <w:i/>
                        <w:sz w:val="20"/>
                        <w:szCs w:val="20"/>
                      </w:rPr>
                    </m:ctrlPr>
                  </m:mP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μ</m:t>
                          </m:r>
                        </m:e>
                        <m:sub>
                          <m:r>
                            <w:rPr>
                              <w:rFonts w:ascii="Cambria Math" w:eastAsia="Times New Roman" w:hAnsi="Cambria Math" w:cs="Times New Roman"/>
                              <w:sz w:val="20"/>
                              <w:szCs w:val="20"/>
                            </w:rPr>
                            <m:t>1t</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μ</m:t>
                          </m:r>
                        </m:e>
                        <m:sub>
                          <m:r>
                            <w:rPr>
                              <w:rFonts w:ascii="Cambria Math" w:eastAsia="Times New Roman" w:hAnsi="Cambria Math" w:cs="Times New Roman"/>
                              <w:sz w:val="20"/>
                              <w:szCs w:val="20"/>
                            </w:rPr>
                            <m:t>2t</m:t>
                          </m:r>
                        </m:sub>
                      </m:sSub>
                    </m:e>
                  </m:mr>
                  <m:m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μ</m:t>
                          </m:r>
                        </m:e>
                        <m:sub>
                          <m:r>
                            <w:rPr>
                              <w:rFonts w:ascii="Cambria Math" w:eastAsia="Times New Roman" w:hAnsi="Cambria Math" w:cs="Times New Roman"/>
                              <w:sz w:val="20"/>
                              <w:szCs w:val="20"/>
                            </w:rPr>
                            <m:t>3t</m:t>
                          </m:r>
                        </m:sub>
                      </m:sSub>
                    </m:e>
                  </m:mr>
                </m:m>
              </m:e>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μ</m:t>
                    </m:r>
                  </m:e>
                  <m:sub>
                    <m:r>
                      <w:rPr>
                        <w:rFonts w:ascii="Cambria Math" w:eastAsia="Times New Roman" w:hAnsi="Cambria Math" w:cs="Times New Roman"/>
                        <w:sz w:val="20"/>
                        <w:szCs w:val="20"/>
                      </w:rPr>
                      <m:t>4t</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μ</m:t>
                    </m:r>
                  </m:e>
                  <m:sub>
                    <m:r>
                      <w:rPr>
                        <w:rFonts w:ascii="Cambria Math" w:eastAsia="Cambria Math" w:hAnsi="Cambria Math" w:cs="Cambria Math"/>
                        <w:sz w:val="20"/>
                        <w:szCs w:val="20"/>
                      </w:rPr>
                      <m:t>6t</m:t>
                    </m:r>
                  </m:sub>
                </m:sSub>
                <m:ctrlPr>
                  <w:rPr>
                    <w:rFonts w:ascii="Cambria Math" w:eastAsia="Cambria Math" w:hAnsi="Cambria Math" w:cs="Cambria Math"/>
                    <w:i/>
                    <w:sz w:val="20"/>
                    <w:szCs w:val="20"/>
                  </w:rPr>
                </m:ctrlPr>
              </m:e>
              <m:e>
                <m:sSub>
                  <m:sSubPr>
                    <m:ctrlPr>
                      <w:rPr>
                        <w:rFonts w:ascii="Cambria Math" w:eastAsia="Cambria Math" w:hAnsi="Cambria Math" w:cs="Cambria Math"/>
                        <w:i/>
                        <w:sz w:val="20"/>
                        <w:szCs w:val="20"/>
                      </w:rPr>
                    </m:ctrlPr>
                  </m:sSubPr>
                  <m:e>
                    <m:r>
                      <w:rPr>
                        <w:rFonts w:ascii="Cambria Math" w:eastAsia="Cambria Math" w:hAnsi="Cambria Math" w:cs="Cambria Math"/>
                        <w:sz w:val="20"/>
                        <w:szCs w:val="20"/>
                      </w:rPr>
                      <m:t>μ</m:t>
                    </m:r>
                  </m:e>
                  <m:sub>
                    <m:r>
                      <w:rPr>
                        <w:rFonts w:ascii="Cambria Math" w:eastAsia="Cambria Math" w:hAnsi="Cambria Math" w:cs="Cambria Math"/>
                        <w:sz w:val="20"/>
                        <w:szCs w:val="20"/>
                      </w:rPr>
                      <m:t>7t</m:t>
                    </m:r>
                  </m:sub>
                </m:sSub>
              </m:e>
            </m:eqArr>
          </m:e>
        </m:d>
      </m:oMath>
      <w:r w:rsidRPr="00E4714B">
        <w:rPr>
          <w:rFonts w:eastAsia="Times New Roman" w:cs="Times New Roman"/>
          <w:iCs/>
          <w:sz w:val="20"/>
          <w:szCs w:val="20"/>
        </w:rPr>
        <w:t xml:space="preserve"> </w:t>
      </w:r>
      <w:r w:rsidR="00395218" w:rsidRPr="00E4714B">
        <w:rPr>
          <w:rFonts w:eastAsia="Times New Roman" w:cs="Times New Roman"/>
          <w:iCs/>
          <w:sz w:val="20"/>
          <w:szCs w:val="20"/>
        </w:rPr>
        <w:tab/>
      </w:r>
      <w:r w:rsidR="00395218" w:rsidRPr="00E4714B">
        <w:rPr>
          <w:rFonts w:eastAsia="Times New Roman" w:cs="Times New Roman"/>
          <w:iCs/>
          <w:sz w:val="20"/>
          <w:szCs w:val="20"/>
        </w:rPr>
        <w:tab/>
      </w:r>
      <w:r w:rsidR="00395218" w:rsidRPr="00E4714B">
        <w:rPr>
          <w:rFonts w:cs="Times New Roman"/>
          <w:sz w:val="20"/>
          <w:szCs w:val="20"/>
        </w:rPr>
        <w:t>(</w:t>
      </w:r>
      <w:r w:rsidR="008128C3" w:rsidRPr="00E4714B">
        <w:rPr>
          <w:rFonts w:cs="Times New Roman"/>
          <w:sz w:val="20"/>
          <w:szCs w:val="20"/>
        </w:rPr>
        <w:t>6</w:t>
      </w:r>
      <w:r w:rsidR="00395218" w:rsidRPr="00E4714B">
        <w:rPr>
          <w:rFonts w:cs="Times New Roman"/>
          <w:sz w:val="20"/>
          <w:szCs w:val="20"/>
        </w:rPr>
        <w:t>)</w:t>
      </w:r>
    </w:p>
    <w:p w14:paraId="6A8CE6E8" w14:textId="77777777" w:rsidR="00204963" w:rsidRPr="00E4714B" w:rsidRDefault="00204963" w:rsidP="00E4714B">
      <w:pPr>
        <w:jc w:val="both"/>
        <w:rPr>
          <w:rFonts w:eastAsia="Times New Roman" w:cs="Times New Roman"/>
          <w:iCs/>
          <w:sz w:val="20"/>
          <w:szCs w:val="20"/>
        </w:rPr>
      </w:pPr>
    </w:p>
    <w:p w14:paraId="3A834659" w14:textId="197A8695" w:rsidR="00204963" w:rsidRPr="00E4714B" w:rsidRDefault="00204963" w:rsidP="00E4714B">
      <w:pPr>
        <w:jc w:val="both"/>
        <w:rPr>
          <w:rFonts w:eastAsia="Times New Roman" w:cs="Times New Roman"/>
          <w:sz w:val="20"/>
          <w:szCs w:val="20"/>
        </w:rPr>
      </w:pPr>
      <w:r w:rsidRPr="00E4714B">
        <w:rPr>
          <w:rFonts w:eastAsia="Times New Roman" w:cs="Times New Roman"/>
          <w:iCs/>
          <w:sz w:val="20"/>
          <w:szCs w:val="20"/>
        </w:rPr>
        <w:t>Where Δ is the differences operator, ECT</w:t>
      </w:r>
      <w:r w:rsidRPr="00E4714B">
        <w:rPr>
          <w:rFonts w:eastAsia="Times New Roman" w:cs="Times New Roman"/>
          <w:iCs/>
          <w:sz w:val="20"/>
          <w:szCs w:val="20"/>
          <w:vertAlign w:val="subscript"/>
        </w:rPr>
        <w:t>t-1</w:t>
      </w:r>
      <w:r w:rsidRPr="00E4714B">
        <w:rPr>
          <w:rFonts w:eastAsia="Times New Roman" w:cs="Times New Roman"/>
          <w:iCs/>
          <w:sz w:val="20"/>
          <w:szCs w:val="20"/>
        </w:rPr>
        <w:t xml:space="preserve"> is the </w:t>
      </w:r>
      <w:r w:rsidR="00E4714B" w:rsidRPr="00E4714B">
        <w:rPr>
          <w:rFonts w:eastAsia="Times New Roman" w:cs="Times New Roman"/>
          <w:iCs/>
          <w:sz w:val="20"/>
          <w:szCs w:val="20"/>
        </w:rPr>
        <w:t>one-period</w:t>
      </w:r>
      <w:r w:rsidRPr="00E4714B">
        <w:rPr>
          <w:rFonts w:eastAsia="Times New Roman" w:cs="Times New Roman"/>
          <w:iCs/>
          <w:sz w:val="20"/>
          <w:szCs w:val="20"/>
        </w:rPr>
        <w:t xml:space="preserve"> lagged error correction term, derived from the cointegrating vector. Xt is the main regressor in this study which are GPR and EU,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μ</m:t>
            </m:r>
          </m:e>
          <m:sub>
            <m:r>
              <w:rPr>
                <w:rFonts w:ascii="Cambria Math" w:eastAsia="Times New Roman" w:hAnsi="Cambria Math" w:cs="Times New Roman"/>
                <w:sz w:val="20"/>
                <w:szCs w:val="20"/>
              </w:rPr>
              <m:t>1t</m:t>
            </m:r>
          </m:sub>
        </m:sSub>
        <m: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μ</m:t>
            </m:r>
          </m:e>
          <m:sub>
            <m:r>
              <w:rPr>
                <w:rFonts w:ascii="Cambria Math" w:eastAsia="Times New Roman" w:hAnsi="Cambria Math" w:cs="Times New Roman"/>
                <w:sz w:val="20"/>
                <w:szCs w:val="20"/>
              </w:rPr>
              <m:t>2t</m:t>
            </m:r>
          </m:sub>
        </m:sSub>
        <m:r>
          <w:rPr>
            <w:rFonts w:ascii="Cambria Math" w:eastAsia="Times New Roman" w:hAnsi="Cambria Math" w:cs="Times New Roman"/>
            <w:sz w:val="20"/>
            <w:szCs w:val="20"/>
          </w:rPr>
          <m:t xml:space="preserve">,  .  .  .  </m:t>
        </m:r>
      </m:oMath>
      <w:r w:rsidRPr="00E4714B">
        <w:rPr>
          <w:rFonts w:eastAsia="Times New Roman" w:cs="Times New Roman"/>
          <w:sz w:val="20"/>
          <w:szCs w:val="20"/>
        </w:rPr>
        <w:t xml:space="preserve">and </w:t>
      </w:r>
      <m:oMath>
        <m:r>
          <w:rPr>
            <w:rFonts w:ascii="Cambria Math" w:eastAsia="Times New Roman" w:hAnsi="Cambria Math" w:cs="Times New Roman"/>
            <w:sz w:val="20"/>
            <w:szCs w:val="20"/>
          </w:rPr>
          <m:t>represent</m:t>
        </m:r>
      </m:oMath>
      <w:r w:rsidRPr="00E4714B">
        <w:rPr>
          <w:rFonts w:eastAsia="Times New Roman" w:cs="Times New Roman"/>
          <w:sz w:val="20"/>
          <w:szCs w:val="20"/>
        </w:rPr>
        <w:t xml:space="preserve">present the residual terms. The above VAR contains six variables in the first differenced form of the left-hand side, and t-1 lags of the dependent variables in the right-hand side, each </w:t>
      </w:r>
      <w:r w:rsidR="00A33530" w:rsidRPr="00E4714B">
        <w:rPr>
          <w:rFonts w:eastAsia="Times New Roman" w:cs="Times New Roman"/>
          <w:sz w:val="20"/>
          <w:szCs w:val="20"/>
        </w:rPr>
        <w:t>with the coefficient matrix</w:t>
      </w:r>
      <w:r w:rsidRPr="00E4714B">
        <w:rPr>
          <w:rFonts w:eastAsia="Times New Roman" w:cs="Times New Roman"/>
          <w:sz w:val="20"/>
          <w:szCs w:val="20"/>
        </w:rPr>
        <w:t xml:space="preserve"> attached to it. The statistical significance of ECT</w:t>
      </w:r>
      <w:r w:rsidRPr="00E4714B">
        <w:rPr>
          <w:rFonts w:eastAsia="Times New Roman" w:cs="Times New Roman"/>
          <w:sz w:val="20"/>
          <w:szCs w:val="20"/>
          <w:vertAlign w:val="subscript"/>
        </w:rPr>
        <w:t>t-1</w:t>
      </w:r>
      <w:r w:rsidRPr="00E4714B">
        <w:rPr>
          <w:rFonts w:eastAsia="Times New Roman" w:cs="Times New Roman"/>
          <w:sz w:val="20"/>
          <w:szCs w:val="20"/>
        </w:rPr>
        <w:t xml:space="preserve"> explains the long-run Granger causality behavior, while Wald’s test statistics </w:t>
      </w:r>
      <w:r w:rsidR="00A33530" w:rsidRPr="00E4714B">
        <w:rPr>
          <w:rFonts w:eastAsia="Times New Roman" w:cs="Times New Roman"/>
          <w:sz w:val="20"/>
          <w:szCs w:val="20"/>
        </w:rPr>
        <w:t>demonstrate</w:t>
      </w:r>
      <w:r w:rsidRPr="00E4714B">
        <w:rPr>
          <w:rFonts w:eastAsia="Times New Roman" w:cs="Times New Roman"/>
          <w:sz w:val="20"/>
          <w:szCs w:val="20"/>
        </w:rPr>
        <w:t xml:space="preserve"> the short-run dynamics. As a robustness check, variance decompositions and impulse response functions (IRFs) results are also presented in this study. </w:t>
      </w:r>
    </w:p>
    <w:p w14:paraId="592E85AB" w14:textId="77777777" w:rsidR="00204963" w:rsidRPr="00E4714B" w:rsidRDefault="00204963" w:rsidP="00E4714B">
      <w:pPr>
        <w:jc w:val="both"/>
        <w:rPr>
          <w:rFonts w:eastAsia="Times New Roman" w:cs="Times New Roman"/>
          <w:sz w:val="20"/>
          <w:szCs w:val="20"/>
        </w:rPr>
      </w:pPr>
    </w:p>
    <w:p w14:paraId="0537D498" w14:textId="06746D79" w:rsidR="00092005" w:rsidRPr="00E4714B" w:rsidRDefault="00E4714B" w:rsidP="00E4714B">
      <w:pPr>
        <w:pStyle w:val="Heading1"/>
        <w:tabs>
          <w:tab w:val="left" w:pos="447"/>
        </w:tabs>
        <w:ind w:left="0"/>
      </w:pPr>
      <w:r>
        <w:t xml:space="preserve">4. </w:t>
      </w:r>
      <w:r w:rsidR="00000000" w:rsidRPr="00E4714B">
        <w:t>Results</w:t>
      </w:r>
      <w:r w:rsidR="003E66E1" w:rsidRPr="00E4714B">
        <w:t xml:space="preserve"> and Discussion</w:t>
      </w:r>
    </w:p>
    <w:p w14:paraId="49E3830A" w14:textId="77777777" w:rsidR="00092005" w:rsidRPr="00E4714B" w:rsidRDefault="00092005" w:rsidP="00E4714B">
      <w:pPr>
        <w:pBdr>
          <w:top w:val="nil"/>
          <w:left w:val="nil"/>
          <w:bottom w:val="nil"/>
          <w:right w:val="nil"/>
          <w:between w:val="nil"/>
        </w:pBdr>
        <w:rPr>
          <w:b/>
          <w:sz w:val="20"/>
          <w:szCs w:val="20"/>
        </w:rPr>
      </w:pPr>
    </w:p>
    <w:p w14:paraId="5FB6A0E8" w14:textId="5F4BEDC9" w:rsidR="00204963" w:rsidRPr="00E4714B" w:rsidRDefault="00204963" w:rsidP="00E4714B">
      <w:pPr>
        <w:pBdr>
          <w:top w:val="nil"/>
          <w:left w:val="nil"/>
          <w:bottom w:val="nil"/>
          <w:right w:val="nil"/>
          <w:between w:val="nil"/>
        </w:pBdr>
        <w:jc w:val="both"/>
        <w:rPr>
          <w:sz w:val="20"/>
          <w:szCs w:val="20"/>
        </w:rPr>
      </w:pPr>
      <w:r w:rsidRPr="00E4714B">
        <w:rPr>
          <w:b/>
          <w:bCs/>
          <w:sz w:val="20"/>
          <w:szCs w:val="20"/>
        </w:rPr>
        <w:t>Unit Root Test and Cointegration:</w:t>
      </w:r>
      <w:r w:rsidRPr="00E4714B">
        <w:rPr>
          <w:sz w:val="20"/>
          <w:szCs w:val="20"/>
        </w:rPr>
        <w:t xml:space="preserve"> </w:t>
      </w:r>
      <w:r w:rsidR="006D52C9" w:rsidRPr="00E4714B">
        <w:rPr>
          <w:sz w:val="20"/>
          <w:szCs w:val="20"/>
        </w:rPr>
        <w:t xml:space="preserve">In this section, this study analyzed and presented the empirical findings. The analysis began with stationarity tests on the identified series. The Augmented Dickey-Fuller (ADF), Phillips-Perron (PP), and Zivot-Andrews (ZA) unit root tests were employed for this purpose. The ZA unit root test was also used to account for the presence of a structural break in the TA series. The findings, as indicated in Tables 4 and </w:t>
      </w:r>
      <w:r w:rsidR="008128C3" w:rsidRPr="00E4714B">
        <w:rPr>
          <w:sz w:val="20"/>
          <w:szCs w:val="20"/>
        </w:rPr>
        <w:t xml:space="preserve">Table </w:t>
      </w:r>
      <w:r w:rsidR="006D52C9" w:rsidRPr="00E4714B">
        <w:rPr>
          <w:sz w:val="20"/>
          <w:szCs w:val="20"/>
        </w:rPr>
        <w:t xml:space="preserve">5, confirm that the variables display integration of order I(1). Since the variables are integrated at order </w:t>
      </w:r>
      <w:r w:rsidR="008128C3" w:rsidRPr="00E4714B">
        <w:rPr>
          <w:sz w:val="20"/>
          <w:szCs w:val="20"/>
        </w:rPr>
        <w:t>I (</w:t>
      </w:r>
      <w:r w:rsidR="006D52C9" w:rsidRPr="00E4714B">
        <w:rPr>
          <w:sz w:val="20"/>
          <w:szCs w:val="20"/>
        </w:rPr>
        <w:t>1), the cointegration test was performed.</w:t>
      </w:r>
    </w:p>
    <w:p w14:paraId="1982B595" w14:textId="77777777" w:rsidR="006D52C9" w:rsidRPr="00E4714B" w:rsidRDefault="006D52C9" w:rsidP="00E4714B">
      <w:pPr>
        <w:pBdr>
          <w:top w:val="nil"/>
          <w:left w:val="nil"/>
          <w:bottom w:val="nil"/>
          <w:right w:val="nil"/>
          <w:between w:val="nil"/>
        </w:pBdr>
        <w:jc w:val="both"/>
        <w:rPr>
          <w:color w:val="FF0000"/>
          <w:sz w:val="20"/>
          <w:szCs w:val="20"/>
        </w:rPr>
      </w:pPr>
    </w:p>
    <w:tbl>
      <w:tblPr>
        <w:tblW w:w="9270" w:type="dxa"/>
        <w:jc w:val="center"/>
        <w:tblLayout w:type="fixed"/>
        <w:tblLook w:val="04A0" w:firstRow="1" w:lastRow="0" w:firstColumn="1" w:lastColumn="0" w:noHBand="0" w:noVBand="1"/>
      </w:tblPr>
      <w:tblGrid>
        <w:gridCol w:w="1985"/>
        <w:gridCol w:w="1276"/>
        <w:gridCol w:w="708"/>
        <w:gridCol w:w="1527"/>
        <w:gridCol w:w="1308"/>
        <w:gridCol w:w="142"/>
        <w:gridCol w:w="2324"/>
      </w:tblGrid>
      <w:tr w:rsidR="00431CA1" w:rsidRPr="00E4714B" w14:paraId="246EB672" w14:textId="77777777" w:rsidTr="00E4714B">
        <w:trPr>
          <w:trHeight w:val="311"/>
          <w:jc w:val="center"/>
        </w:trPr>
        <w:tc>
          <w:tcPr>
            <w:tcW w:w="9270" w:type="dxa"/>
            <w:gridSpan w:val="7"/>
            <w:tcBorders>
              <w:bottom w:val="single" w:sz="4" w:space="0" w:color="auto"/>
            </w:tcBorders>
            <w:shd w:val="clear" w:color="auto" w:fill="auto"/>
            <w:noWrap/>
            <w:vAlign w:val="bottom"/>
            <w:hideMark/>
          </w:tcPr>
          <w:p w14:paraId="7F20B28D" w14:textId="4923E374" w:rsidR="00431CA1" w:rsidRPr="00E4714B" w:rsidRDefault="00431CA1" w:rsidP="00E4714B">
            <w:pPr>
              <w:rPr>
                <w:rFonts w:eastAsia="Times New Roman" w:cs="Times New Roman"/>
                <w:sz w:val="20"/>
                <w:szCs w:val="20"/>
                <w:lang w:val="en-MY"/>
              </w:rPr>
            </w:pPr>
            <w:r w:rsidRPr="00E4714B">
              <w:rPr>
                <w:rFonts w:eastAsia="Times New Roman" w:cs="Times New Roman"/>
                <w:b/>
                <w:bCs/>
                <w:sz w:val="20"/>
                <w:szCs w:val="20"/>
                <w:lang w:val="en-MY"/>
              </w:rPr>
              <w:lastRenderedPageBreak/>
              <w:t>Table 4:</w:t>
            </w:r>
            <w:r w:rsidRPr="00E4714B">
              <w:rPr>
                <w:rFonts w:eastAsia="Times New Roman" w:cs="Times New Roman"/>
                <w:sz w:val="20"/>
                <w:szCs w:val="20"/>
                <w:lang w:val="en-MY"/>
              </w:rPr>
              <w:t xml:space="preserve"> </w:t>
            </w:r>
            <w:r w:rsidRPr="00E4714B">
              <w:rPr>
                <w:b/>
                <w:bCs/>
                <w:sz w:val="20"/>
                <w:szCs w:val="20"/>
              </w:rPr>
              <w:t>Unit root test ADF and Phillips Perron (PP) tests</w:t>
            </w:r>
          </w:p>
        </w:tc>
      </w:tr>
      <w:tr w:rsidR="00431CA1" w:rsidRPr="00E4714B" w14:paraId="75428D8C" w14:textId="77777777" w:rsidTr="00E4714B">
        <w:trPr>
          <w:trHeight w:val="311"/>
          <w:jc w:val="center"/>
        </w:trPr>
        <w:tc>
          <w:tcPr>
            <w:tcW w:w="1985" w:type="dxa"/>
            <w:tcBorders>
              <w:top w:val="single" w:sz="4" w:space="0" w:color="auto"/>
              <w:bottom w:val="single" w:sz="4" w:space="0" w:color="auto"/>
            </w:tcBorders>
            <w:shd w:val="clear" w:color="auto" w:fill="auto"/>
            <w:vAlign w:val="bottom"/>
            <w:hideMark/>
          </w:tcPr>
          <w:p w14:paraId="465A0A8E" w14:textId="6AC076BA" w:rsidR="00431CA1" w:rsidRPr="00E4714B" w:rsidRDefault="00CC7A66" w:rsidP="00E4714B">
            <w:pPr>
              <w:rPr>
                <w:rFonts w:eastAsia="Times New Roman" w:cs="Times New Roman"/>
                <w:b/>
                <w:bCs/>
                <w:sz w:val="20"/>
                <w:szCs w:val="20"/>
                <w:lang w:val="en-MY"/>
              </w:rPr>
            </w:pPr>
            <w:r w:rsidRPr="00E4714B">
              <w:rPr>
                <w:rFonts w:eastAsia="Times New Roman" w:cs="Times New Roman"/>
                <w:b/>
                <w:bCs/>
                <w:sz w:val="20"/>
                <w:szCs w:val="20"/>
                <w:lang w:val="en-MY"/>
              </w:rPr>
              <w:t>At level</w:t>
            </w:r>
          </w:p>
        </w:tc>
        <w:tc>
          <w:tcPr>
            <w:tcW w:w="1276" w:type="dxa"/>
            <w:tcBorders>
              <w:top w:val="single" w:sz="4" w:space="0" w:color="auto"/>
              <w:bottom w:val="single" w:sz="4" w:space="0" w:color="auto"/>
            </w:tcBorders>
            <w:shd w:val="clear" w:color="auto" w:fill="auto"/>
            <w:noWrap/>
            <w:vAlign w:val="bottom"/>
            <w:hideMark/>
          </w:tcPr>
          <w:p w14:paraId="0753CCF2" w14:textId="1C126813" w:rsidR="00431CA1" w:rsidRPr="00E4714B" w:rsidRDefault="00431CA1" w:rsidP="00E4714B">
            <w:pPr>
              <w:rPr>
                <w:rFonts w:eastAsia="Times New Roman" w:cs="Times New Roman"/>
                <w:b/>
                <w:bCs/>
                <w:sz w:val="20"/>
                <w:szCs w:val="20"/>
                <w:lang w:val="en-MY"/>
              </w:rPr>
            </w:pPr>
            <w:r w:rsidRPr="00E4714B">
              <w:rPr>
                <w:rFonts w:eastAsia="Times New Roman" w:cs="Times New Roman"/>
                <w:b/>
                <w:bCs/>
                <w:sz w:val="20"/>
                <w:szCs w:val="20"/>
                <w:lang w:val="en-MY"/>
              </w:rPr>
              <w:t xml:space="preserve">ADF test </w:t>
            </w:r>
          </w:p>
        </w:tc>
        <w:tc>
          <w:tcPr>
            <w:tcW w:w="2235" w:type="dxa"/>
            <w:gridSpan w:val="2"/>
            <w:tcBorders>
              <w:top w:val="single" w:sz="4" w:space="0" w:color="auto"/>
              <w:bottom w:val="single" w:sz="4" w:space="0" w:color="auto"/>
            </w:tcBorders>
            <w:shd w:val="clear" w:color="auto" w:fill="auto"/>
            <w:noWrap/>
            <w:vAlign w:val="bottom"/>
            <w:hideMark/>
          </w:tcPr>
          <w:p w14:paraId="34EA0DD9" w14:textId="77777777" w:rsidR="00431CA1" w:rsidRPr="00E4714B" w:rsidRDefault="00431CA1" w:rsidP="00E4714B">
            <w:pPr>
              <w:rPr>
                <w:rFonts w:eastAsia="Times New Roman" w:cs="Times New Roman"/>
                <w:b/>
                <w:bCs/>
                <w:sz w:val="20"/>
                <w:szCs w:val="20"/>
                <w:lang w:val="en-MY"/>
              </w:rPr>
            </w:pPr>
            <w:r w:rsidRPr="00E4714B">
              <w:rPr>
                <w:rFonts w:eastAsia="Times New Roman" w:cs="Times New Roman"/>
                <w:b/>
                <w:bCs/>
                <w:sz w:val="20"/>
                <w:szCs w:val="20"/>
                <w:lang w:val="en-MY"/>
              </w:rPr>
              <w:t>Results</w:t>
            </w:r>
          </w:p>
        </w:tc>
        <w:tc>
          <w:tcPr>
            <w:tcW w:w="1450" w:type="dxa"/>
            <w:gridSpan w:val="2"/>
            <w:tcBorders>
              <w:top w:val="single" w:sz="4" w:space="0" w:color="auto"/>
              <w:bottom w:val="single" w:sz="4" w:space="0" w:color="auto"/>
            </w:tcBorders>
            <w:shd w:val="clear" w:color="auto" w:fill="auto"/>
            <w:noWrap/>
            <w:vAlign w:val="bottom"/>
            <w:hideMark/>
          </w:tcPr>
          <w:p w14:paraId="1221FE93" w14:textId="092F7427" w:rsidR="00431CA1" w:rsidRPr="00E4714B" w:rsidRDefault="00431CA1" w:rsidP="00E4714B">
            <w:pPr>
              <w:rPr>
                <w:rFonts w:eastAsia="Times New Roman" w:cs="Times New Roman"/>
                <w:b/>
                <w:bCs/>
                <w:sz w:val="20"/>
                <w:szCs w:val="20"/>
                <w:lang w:val="en-MY"/>
              </w:rPr>
            </w:pPr>
            <w:r w:rsidRPr="00E4714B">
              <w:rPr>
                <w:rFonts w:eastAsia="Times New Roman" w:cs="Times New Roman"/>
                <w:b/>
                <w:bCs/>
                <w:sz w:val="20"/>
                <w:szCs w:val="20"/>
                <w:lang w:val="en-MY"/>
              </w:rPr>
              <w:t xml:space="preserve">PP test </w:t>
            </w:r>
          </w:p>
        </w:tc>
        <w:tc>
          <w:tcPr>
            <w:tcW w:w="2324" w:type="dxa"/>
            <w:tcBorders>
              <w:top w:val="single" w:sz="4" w:space="0" w:color="auto"/>
              <w:bottom w:val="single" w:sz="4" w:space="0" w:color="auto"/>
            </w:tcBorders>
            <w:shd w:val="clear" w:color="auto" w:fill="auto"/>
            <w:noWrap/>
            <w:vAlign w:val="bottom"/>
            <w:hideMark/>
          </w:tcPr>
          <w:p w14:paraId="3D2FFE7B" w14:textId="77777777" w:rsidR="00431CA1" w:rsidRPr="00E4714B" w:rsidRDefault="00431CA1" w:rsidP="00E4714B">
            <w:pPr>
              <w:rPr>
                <w:rFonts w:eastAsia="Times New Roman" w:cs="Times New Roman"/>
                <w:b/>
                <w:bCs/>
                <w:sz w:val="20"/>
                <w:szCs w:val="20"/>
                <w:lang w:val="en-MY"/>
              </w:rPr>
            </w:pPr>
            <w:r w:rsidRPr="00E4714B">
              <w:rPr>
                <w:rFonts w:eastAsia="Times New Roman" w:cs="Times New Roman"/>
                <w:b/>
                <w:bCs/>
                <w:sz w:val="20"/>
                <w:szCs w:val="20"/>
                <w:lang w:val="en-MY"/>
              </w:rPr>
              <w:t>Results</w:t>
            </w:r>
          </w:p>
        </w:tc>
      </w:tr>
      <w:tr w:rsidR="00431CA1" w:rsidRPr="00E4714B" w14:paraId="4D50E8B1" w14:textId="77777777" w:rsidTr="00E4714B">
        <w:trPr>
          <w:trHeight w:val="311"/>
          <w:jc w:val="center"/>
        </w:trPr>
        <w:tc>
          <w:tcPr>
            <w:tcW w:w="1985" w:type="dxa"/>
            <w:tcBorders>
              <w:top w:val="single" w:sz="4" w:space="0" w:color="auto"/>
            </w:tcBorders>
            <w:shd w:val="clear" w:color="auto" w:fill="auto"/>
            <w:noWrap/>
            <w:vAlign w:val="bottom"/>
            <w:hideMark/>
          </w:tcPr>
          <w:p w14:paraId="153D1E09"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TA</w:t>
            </w:r>
          </w:p>
        </w:tc>
        <w:tc>
          <w:tcPr>
            <w:tcW w:w="1276" w:type="dxa"/>
            <w:tcBorders>
              <w:top w:val="single" w:sz="4" w:space="0" w:color="auto"/>
            </w:tcBorders>
            <w:shd w:val="clear" w:color="auto" w:fill="auto"/>
            <w:noWrap/>
            <w:vAlign w:val="bottom"/>
            <w:hideMark/>
          </w:tcPr>
          <w:p w14:paraId="64B60194"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-2.30</w:t>
            </w:r>
          </w:p>
        </w:tc>
        <w:tc>
          <w:tcPr>
            <w:tcW w:w="2235" w:type="dxa"/>
            <w:gridSpan w:val="2"/>
            <w:tcBorders>
              <w:top w:val="single" w:sz="4" w:space="0" w:color="auto"/>
            </w:tcBorders>
            <w:shd w:val="clear" w:color="auto" w:fill="auto"/>
            <w:noWrap/>
            <w:vAlign w:val="bottom"/>
            <w:hideMark/>
          </w:tcPr>
          <w:p w14:paraId="35678174"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Non-stationary</w:t>
            </w:r>
          </w:p>
        </w:tc>
        <w:tc>
          <w:tcPr>
            <w:tcW w:w="1450" w:type="dxa"/>
            <w:gridSpan w:val="2"/>
            <w:tcBorders>
              <w:top w:val="single" w:sz="4" w:space="0" w:color="auto"/>
            </w:tcBorders>
            <w:shd w:val="clear" w:color="auto" w:fill="auto"/>
            <w:noWrap/>
            <w:vAlign w:val="bottom"/>
            <w:hideMark/>
          </w:tcPr>
          <w:p w14:paraId="5EDE0E30"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-2.59</w:t>
            </w:r>
          </w:p>
        </w:tc>
        <w:tc>
          <w:tcPr>
            <w:tcW w:w="2324" w:type="dxa"/>
            <w:tcBorders>
              <w:top w:val="single" w:sz="4" w:space="0" w:color="auto"/>
            </w:tcBorders>
            <w:shd w:val="clear" w:color="auto" w:fill="auto"/>
            <w:noWrap/>
            <w:vAlign w:val="bottom"/>
            <w:hideMark/>
          </w:tcPr>
          <w:p w14:paraId="07D3397B"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5CCDFF64" w14:textId="77777777" w:rsidTr="00E4714B">
        <w:trPr>
          <w:trHeight w:val="311"/>
          <w:jc w:val="center"/>
        </w:trPr>
        <w:tc>
          <w:tcPr>
            <w:tcW w:w="1985" w:type="dxa"/>
            <w:tcBorders>
              <w:top w:val="nil"/>
            </w:tcBorders>
            <w:shd w:val="clear" w:color="auto" w:fill="auto"/>
            <w:noWrap/>
            <w:vAlign w:val="bottom"/>
            <w:hideMark/>
          </w:tcPr>
          <w:p w14:paraId="33FBB34E"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GPR</w:t>
            </w:r>
          </w:p>
        </w:tc>
        <w:tc>
          <w:tcPr>
            <w:tcW w:w="1276" w:type="dxa"/>
            <w:tcBorders>
              <w:top w:val="nil"/>
            </w:tcBorders>
            <w:shd w:val="clear" w:color="auto" w:fill="auto"/>
            <w:noWrap/>
            <w:vAlign w:val="bottom"/>
            <w:hideMark/>
          </w:tcPr>
          <w:p w14:paraId="5A1A8B7B"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-5.70***</w:t>
            </w:r>
          </w:p>
        </w:tc>
        <w:tc>
          <w:tcPr>
            <w:tcW w:w="2235" w:type="dxa"/>
            <w:gridSpan w:val="2"/>
            <w:tcBorders>
              <w:top w:val="nil"/>
            </w:tcBorders>
            <w:shd w:val="clear" w:color="auto" w:fill="auto"/>
            <w:noWrap/>
            <w:vAlign w:val="bottom"/>
            <w:hideMark/>
          </w:tcPr>
          <w:p w14:paraId="4765C6D9"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nil"/>
            </w:tcBorders>
            <w:shd w:val="clear" w:color="auto" w:fill="auto"/>
            <w:noWrap/>
            <w:vAlign w:val="bottom"/>
            <w:hideMark/>
          </w:tcPr>
          <w:p w14:paraId="268A5284"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-5.72***</w:t>
            </w:r>
          </w:p>
        </w:tc>
        <w:tc>
          <w:tcPr>
            <w:tcW w:w="2324" w:type="dxa"/>
            <w:tcBorders>
              <w:top w:val="nil"/>
            </w:tcBorders>
            <w:shd w:val="clear" w:color="auto" w:fill="auto"/>
            <w:noWrap/>
            <w:hideMark/>
          </w:tcPr>
          <w:p w14:paraId="238C6A12"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43D300B3" w14:textId="77777777" w:rsidTr="00E4714B">
        <w:trPr>
          <w:trHeight w:val="311"/>
          <w:jc w:val="center"/>
        </w:trPr>
        <w:tc>
          <w:tcPr>
            <w:tcW w:w="1985" w:type="dxa"/>
            <w:tcBorders>
              <w:top w:val="nil"/>
            </w:tcBorders>
            <w:shd w:val="clear" w:color="auto" w:fill="auto"/>
            <w:noWrap/>
            <w:vAlign w:val="bottom"/>
            <w:hideMark/>
          </w:tcPr>
          <w:p w14:paraId="65CB8AC6"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EU</w:t>
            </w:r>
          </w:p>
        </w:tc>
        <w:tc>
          <w:tcPr>
            <w:tcW w:w="1276" w:type="dxa"/>
            <w:tcBorders>
              <w:top w:val="nil"/>
            </w:tcBorders>
            <w:shd w:val="clear" w:color="auto" w:fill="auto"/>
            <w:noWrap/>
            <w:vAlign w:val="bottom"/>
            <w:hideMark/>
          </w:tcPr>
          <w:p w14:paraId="4C97B9E7"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-5.73***</w:t>
            </w:r>
          </w:p>
        </w:tc>
        <w:tc>
          <w:tcPr>
            <w:tcW w:w="2235" w:type="dxa"/>
            <w:gridSpan w:val="2"/>
            <w:tcBorders>
              <w:top w:val="nil"/>
            </w:tcBorders>
            <w:shd w:val="clear" w:color="auto" w:fill="auto"/>
            <w:noWrap/>
            <w:hideMark/>
          </w:tcPr>
          <w:p w14:paraId="73C3A2F0"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nil"/>
            </w:tcBorders>
            <w:shd w:val="clear" w:color="auto" w:fill="auto"/>
            <w:noWrap/>
            <w:vAlign w:val="bottom"/>
            <w:hideMark/>
          </w:tcPr>
          <w:p w14:paraId="334ED117"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-5.65***</w:t>
            </w:r>
          </w:p>
        </w:tc>
        <w:tc>
          <w:tcPr>
            <w:tcW w:w="2324" w:type="dxa"/>
            <w:tcBorders>
              <w:top w:val="nil"/>
            </w:tcBorders>
            <w:shd w:val="clear" w:color="auto" w:fill="auto"/>
            <w:noWrap/>
            <w:hideMark/>
          </w:tcPr>
          <w:p w14:paraId="71B83B97"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15756FDD" w14:textId="77777777" w:rsidTr="00E4714B">
        <w:trPr>
          <w:trHeight w:val="311"/>
          <w:jc w:val="center"/>
        </w:trPr>
        <w:tc>
          <w:tcPr>
            <w:tcW w:w="1985" w:type="dxa"/>
            <w:tcBorders>
              <w:top w:val="nil"/>
            </w:tcBorders>
            <w:shd w:val="clear" w:color="auto" w:fill="auto"/>
            <w:noWrap/>
            <w:vAlign w:val="bottom"/>
            <w:hideMark/>
          </w:tcPr>
          <w:p w14:paraId="10CE9BC9"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EM</w:t>
            </w:r>
          </w:p>
        </w:tc>
        <w:tc>
          <w:tcPr>
            <w:tcW w:w="1276" w:type="dxa"/>
            <w:tcBorders>
              <w:top w:val="nil"/>
            </w:tcBorders>
            <w:shd w:val="clear" w:color="auto" w:fill="auto"/>
            <w:noWrap/>
            <w:vAlign w:val="bottom"/>
            <w:hideMark/>
          </w:tcPr>
          <w:p w14:paraId="613B2FCE"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-3.99***</w:t>
            </w:r>
          </w:p>
        </w:tc>
        <w:tc>
          <w:tcPr>
            <w:tcW w:w="2235" w:type="dxa"/>
            <w:gridSpan w:val="2"/>
            <w:tcBorders>
              <w:top w:val="nil"/>
            </w:tcBorders>
            <w:shd w:val="clear" w:color="auto" w:fill="auto"/>
            <w:noWrap/>
            <w:hideMark/>
          </w:tcPr>
          <w:p w14:paraId="36A5DE1C"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nil"/>
            </w:tcBorders>
            <w:shd w:val="clear" w:color="auto" w:fill="auto"/>
            <w:noWrap/>
            <w:vAlign w:val="bottom"/>
            <w:hideMark/>
          </w:tcPr>
          <w:p w14:paraId="14469DB5"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-3.76***</w:t>
            </w:r>
          </w:p>
        </w:tc>
        <w:tc>
          <w:tcPr>
            <w:tcW w:w="2324" w:type="dxa"/>
            <w:tcBorders>
              <w:top w:val="nil"/>
            </w:tcBorders>
            <w:shd w:val="clear" w:color="auto" w:fill="auto"/>
            <w:noWrap/>
            <w:hideMark/>
          </w:tcPr>
          <w:p w14:paraId="741CF1CE"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5B3382E9" w14:textId="77777777" w:rsidTr="00E4714B">
        <w:trPr>
          <w:trHeight w:val="311"/>
          <w:jc w:val="center"/>
        </w:trPr>
        <w:tc>
          <w:tcPr>
            <w:tcW w:w="1985" w:type="dxa"/>
            <w:tcBorders>
              <w:top w:val="nil"/>
            </w:tcBorders>
            <w:shd w:val="clear" w:color="auto" w:fill="auto"/>
            <w:noWrap/>
            <w:vAlign w:val="bottom"/>
            <w:hideMark/>
          </w:tcPr>
          <w:p w14:paraId="555126DC"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EX</w:t>
            </w:r>
          </w:p>
        </w:tc>
        <w:tc>
          <w:tcPr>
            <w:tcW w:w="1276" w:type="dxa"/>
            <w:tcBorders>
              <w:top w:val="nil"/>
            </w:tcBorders>
            <w:shd w:val="clear" w:color="auto" w:fill="auto"/>
            <w:noWrap/>
            <w:vAlign w:val="bottom"/>
            <w:hideMark/>
          </w:tcPr>
          <w:p w14:paraId="254C9AE4"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-0.75</w:t>
            </w:r>
          </w:p>
        </w:tc>
        <w:tc>
          <w:tcPr>
            <w:tcW w:w="2235" w:type="dxa"/>
            <w:gridSpan w:val="2"/>
            <w:tcBorders>
              <w:top w:val="nil"/>
            </w:tcBorders>
            <w:shd w:val="clear" w:color="auto" w:fill="auto"/>
            <w:noWrap/>
            <w:vAlign w:val="bottom"/>
            <w:hideMark/>
          </w:tcPr>
          <w:p w14:paraId="06DEF5EC"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Non-stationary</w:t>
            </w:r>
          </w:p>
        </w:tc>
        <w:tc>
          <w:tcPr>
            <w:tcW w:w="1450" w:type="dxa"/>
            <w:gridSpan w:val="2"/>
            <w:tcBorders>
              <w:top w:val="nil"/>
            </w:tcBorders>
            <w:shd w:val="clear" w:color="auto" w:fill="auto"/>
            <w:noWrap/>
            <w:vAlign w:val="bottom"/>
            <w:hideMark/>
          </w:tcPr>
          <w:p w14:paraId="328D1116"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-0.89</w:t>
            </w:r>
          </w:p>
        </w:tc>
        <w:tc>
          <w:tcPr>
            <w:tcW w:w="2324" w:type="dxa"/>
            <w:tcBorders>
              <w:top w:val="nil"/>
            </w:tcBorders>
            <w:shd w:val="clear" w:color="auto" w:fill="auto"/>
            <w:noWrap/>
            <w:vAlign w:val="bottom"/>
            <w:hideMark/>
          </w:tcPr>
          <w:p w14:paraId="68D5553A"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3175516C" w14:textId="77777777" w:rsidTr="00E4714B">
        <w:trPr>
          <w:trHeight w:val="311"/>
          <w:jc w:val="center"/>
        </w:trPr>
        <w:tc>
          <w:tcPr>
            <w:tcW w:w="1985" w:type="dxa"/>
            <w:tcBorders>
              <w:top w:val="nil"/>
            </w:tcBorders>
            <w:shd w:val="clear" w:color="auto" w:fill="auto"/>
            <w:noWrap/>
            <w:vAlign w:val="bottom"/>
            <w:hideMark/>
          </w:tcPr>
          <w:p w14:paraId="6232139D"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IP</w:t>
            </w:r>
          </w:p>
        </w:tc>
        <w:tc>
          <w:tcPr>
            <w:tcW w:w="1276" w:type="dxa"/>
            <w:tcBorders>
              <w:top w:val="nil"/>
            </w:tcBorders>
            <w:shd w:val="clear" w:color="auto" w:fill="auto"/>
            <w:noWrap/>
            <w:vAlign w:val="bottom"/>
            <w:hideMark/>
          </w:tcPr>
          <w:p w14:paraId="36274840"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-1.35</w:t>
            </w:r>
          </w:p>
        </w:tc>
        <w:tc>
          <w:tcPr>
            <w:tcW w:w="2235" w:type="dxa"/>
            <w:gridSpan w:val="2"/>
            <w:tcBorders>
              <w:top w:val="nil"/>
            </w:tcBorders>
            <w:shd w:val="clear" w:color="auto" w:fill="auto"/>
            <w:noWrap/>
            <w:vAlign w:val="bottom"/>
            <w:hideMark/>
          </w:tcPr>
          <w:p w14:paraId="1C0B8D67"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Non-stationary</w:t>
            </w:r>
          </w:p>
        </w:tc>
        <w:tc>
          <w:tcPr>
            <w:tcW w:w="1450" w:type="dxa"/>
            <w:gridSpan w:val="2"/>
            <w:tcBorders>
              <w:top w:val="nil"/>
            </w:tcBorders>
            <w:shd w:val="clear" w:color="auto" w:fill="auto"/>
            <w:noWrap/>
            <w:vAlign w:val="bottom"/>
            <w:hideMark/>
          </w:tcPr>
          <w:p w14:paraId="023C6D35"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-1.13</w:t>
            </w:r>
          </w:p>
        </w:tc>
        <w:tc>
          <w:tcPr>
            <w:tcW w:w="2324" w:type="dxa"/>
            <w:tcBorders>
              <w:top w:val="nil"/>
            </w:tcBorders>
            <w:shd w:val="clear" w:color="auto" w:fill="auto"/>
            <w:noWrap/>
            <w:vAlign w:val="bottom"/>
            <w:hideMark/>
          </w:tcPr>
          <w:p w14:paraId="633633FD"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42E8AF39" w14:textId="77777777" w:rsidTr="00E4714B">
        <w:trPr>
          <w:trHeight w:val="311"/>
          <w:jc w:val="center"/>
        </w:trPr>
        <w:tc>
          <w:tcPr>
            <w:tcW w:w="1985" w:type="dxa"/>
            <w:tcBorders>
              <w:top w:val="nil"/>
              <w:bottom w:val="single" w:sz="4" w:space="0" w:color="auto"/>
            </w:tcBorders>
            <w:shd w:val="clear" w:color="auto" w:fill="auto"/>
            <w:noWrap/>
            <w:vAlign w:val="bottom"/>
            <w:hideMark/>
          </w:tcPr>
          <w:p w14:paraId="7CC164E9"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CPI</w:t>
            </w:r>
          </w:p>
        </w:tc>
        <w:tc>
          <w:tcPr>
            <w:tcW w:w="1276" w:type="dxa"/>
            <w:tcBorders>
              <w:top w:val="nil"/>
              <w:bottom w:val="single" w:sz="4" w:space="0" w:color="auto"/>
            </w:tcBorders>
            <w:shd w:val="clear" w:color="auto" w:fill="auto"/>
            <w:noWrap/>
            <w:vAlign w:val="bottom"/>
            <w:hideMark/>
          </w:tcPr>
          <w:p w14:paraId="22494631"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-0.34</w:t>
            </w:r>
          </w:p>
        </w:tc>
        <w:tc>
          <w:tcPr>
            <w:tcW w:w="2235" w:type="dxa"/>
            <w:gridSpan w:val="2"/>
            <w:tcBorders>
              <w:top w:val="nil"/>
              <w:bottom w:val="single" w:sz="4" w:space="0" w:color="auto"/>
            </w:tcBorders>
            <w:shd w:val="clear" w:color="auto" w:fill="auto"/>
            <w:noWrap/>
            <w:vAlign w:val="bottom"/>
            <w:hideMark/>
          </w:tcPr>
          <w:p w14:paraId="70168FE7"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Non-stationary</w:t>
            </w:r>
          </w:p>
        </w:tc>
        <w:tc>
          <w:tcPr>
            <w:tcW w:w="1450" w:type="dxa"/>
            <w:gridSpan w:val="2"/>
            <w:tcBorders>
              <w:top w:val="nil"/>
              <w:bottom w:val="single" w:sz="4" w:space="0" w:color="auto"/>
            </w:tcBorders>
            <w:shd w:val="clear" w:color="auto" w:fill="auto"/>
            <w:noWrap/>
            <w:vAlign w:val="bottom"/>
            <w:hideMark/>
          </w:tcPr>
          <w:p w14:paraId="2C9B8369"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-0.35</w:t>
            </w:r>
          </w:p>
        </w:tc>
        <w:tc>
          <w:tcPr>
            <w:tcW w:w="2324" w:type="dxa"/>
            <w:tcBorders>
              <w:top w:val="nil"/>
              <w:bottom w:val="single" w:sz="4" w:space="0" w:color="auto"/>
            </w:tcBorders>
            <w:shd w:val="clear" w:color="auto" w:fill="auto"/>
            <w:noWrap/>
            <w:vAlign w:val="bottom"/>
            <w:hideMark/>
          </w:tcPr>
          <w:p w14:paraId="650D1B99"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0A6B2812" w14:textId="77777777" w:rsidTr="00E4714B">
        <w:trPr>
          <w:trHeight w:val="259"/>
          <w:jc w:val="center"/>
        </w:trPr>
        <w:tc>
          <w:tcPr>
            <w:tcW w:w="1985" w:type="dxa"/>
            <w:tcBorders>
              <w:top w:val="single" w:sz="4" w:space="0" w:color="auto"/>
              <w:bottom w:val="single" w:sz="4" w:space="0" w:color="auto"/>
            </w:tcBorders>
            <w:shd w:val="clear" w:color="auto" w:fill="auto"/>
            <w:vAlign w:val="bottom"/>
            <w:hideMark/>
          </w:tcPr>
          <w:p w14:paraId="7396F419" w14:textId="1E96ABE9" w:rsidR="00431CA1" w:rsidRPr="00E4714B" w:rsidRDefault="00CC7A66" w:rsidP="00E4714B">
            <w:pPr>
              <w:rPr>
                <w:rFonts w:eastAsia="Times New Roman" w:cs="Times New Roman"/>
                <w:b/>
                <w:bCs/>
                <w:sz w:val="20"/>
                <w:szCs w:val="20"/>
                <w:lang w:val="en-MY"/>
              </w:rPr>
            </w:pPr>
            <w:r w:rsidRPr="00E4714B">
              <w:rPr>
                <w:rFonts w:eastAsia="Times New Roman" w:cs="Times New Roman"/>
                <w:b/>
                <w:bCs/>
                <w:sz w:val="20"/>
                <w:szCs w:val="20"/>
                <w:lang w:val="en-MY"/>
              </w:rPr>
              <w:t>First difference</w:t>
            </w:r>
          </w:p>
        </w:tc>
        <w:tc>
          <w:tcPr>
            <w:tcW w:w="1276" w:type="dxa"/>
            <w:tcBorders>
              <w:top w:val="single" w:sz="4" w:space="0" w:color="auto"/>
              <w:bottom w:val="single" w:sz="4" w:space="0" w:color="auto"/>
            </w:tcBorders>
            <w:shd w:val="clear" w:color="auto" w:fill="auto"/>
            <w:noWrap/>
            <w:vAlign w:val="bottom"/>
            <w:hideMark/>
          </w:tcPr>
          <w:p w14:paraId="011F4D7C" w14:textId="7C87A813" w:rsidR="00431CA1" w:rsidRPr="00E4714B" w:rsidRDefault="00431CA1" w:rsidP="00E4714B">
            <w:pPr>
              <w:rPr>
                <w:rFonts w:eastAsia="Times New Roman" w:cs="Times New Roman"/>
                <w:b/>
                <w:bCs/>
                <w:sz w:val="20"/>
                <w:szCs w:val="20"/>
                <w:lang w:val="en-MY"/>
              </w:rPr>
            </w:pPr>
            <w:r w:rsidRPr="00E4714B">
              <w:rPr>
                <w:rFonts w:eastAsia="Times New Roman" w:cs="Times New Roman"/>
                <w:b/>
                <w:bCs/>
                <w:sz w:val="20"/>
                <w:szCs w:val="20"/>
                <w:lang w:val="en-MY"/>
              </w:rPr>
              <w:t xml:space="preserve">ADF test </w:t>
            </w:r>
          </w:p>
        </w:tc>
        <w:tc>
          <w:tcPr>
            <w:tcW w:w="2235" w:type="dxa"/>
            <w:gridSpan w:val="2"/>
            <w:tcBorders>
              <w:top w:val="single" w:sz="4" w:space="0" w:color="auto"/>
              <w:bottom w:val="single" w:sz="4" w:space="0" w:color="auto"/>
            </w:tcBorders>
            <w:shd w:val="clear" w:color="auto" w:fill="auto"/>
            <w:noWrap/>
            <w:vAlign w:val="bottom"/>
            <w:hideMark/>
          </w:tcPr>
          <w:p w14:paraId="28EC3ED4" w14:textId="77777777" w:rsidR="00431CA1" w:rsidRPr="00E4714B" w:rsidRDefault="00431CA1" w:rsidP="00E4714B">
            <w:pPr>
              <w:rPr>
                <w:rFonts w:eastAsia="Times New Roman" w:cs="Times New Roman"/>
                <w:b/>
                <w:bCs/>
                <w:sz w:val="20"/>
                <w:szCs w:val="20"/>
                <w:lang w:val="en-MY"/>
              </w:rPr>
            </w:pPr>
            <w:r w:rsidRPr="00E4714B">
              <w:rPr>
                <w:rFonts w:eastAsia="Times New Roman" w:cs="Times New Roman"/>
                <w:b/>
                <w:bCs/>
                <w:sz w:val="20"/>
                <w:szCs w:val="20"/>
                <w:lang w:val="en-MY"/>
              </w:rPr>
              <w:t>Results</w:t>
            </w:r>
          </w:p>
        </w:tc>
        <w:tc>
          <w:tcPr>
            <w:tcW w:w="1450" w:type="dxa"/>
            <w:gridSpan w:val="2"/>
            <w:tcBorders>
              <w:top w:val="single" w:sz="4" w:space="0" w:color="auto"/>
              <w:bottom w:val="single" w:sz="4" w:space="0" w:color="auto"/>
            </w:tcBorders>
            <w:shd w:val="clear" w:color="auto" w:fill="auto"/>
            <w:noWrap/>
            <w:vAlign w:val="bottom"/>
            <w:hideMark/>
          </w:tcPr>
          <w:p w14:paraId="0A330803" w14:textId="7B47CBAC" w:rsidR="00431CA1" w:rsidRPr="00E4714B" w:rsidRDefault="00431CA1" w:rsidP="00E4714B">
            <w:pPr>
              <w:rPr>
                <w:rFonts w:eastAsia="Times New Roman" w:cs="Times New Roman"/>
                <w:b/>
                <w:bCs/>
                <w:sz w:val="20"/>
                <w:szCs w:val="20"/>
                <w:lang w:val="en-MY"/>
              </w:rPr>
            </w:pPr>
            <w:r w:rsidRPr="00E4714B">
              <w:rPr>
                <w:rFonts w:eastAsia="Times New Roman" w:cs="Times New Roman"/>
                <w:b/>
                <w:bCs/>
                <w:sz w:val="20"/>
                <w:szCs w:val="20"/>
                <w:lang w:val="en-MY"/>
              </w:rPr>
              <w:t xml:space="preserve">PP test </w:t>
            </w:r>
          </w:p>
        </w:tc>
        <w:tc>
          <w:tcPr>
            <w:tcW w:w="2324" w:type="dxa"/>
            <w:tcBorders>
              <w:top w:val="single" w:sz="4" w:space="0" w:color="auto"/>
              <w:bottom w:val="single" w:sz="4" w:space="0" w:color="auto"/>
            </w:tcBorders>
            <w:shd w:val="clear" w:color="auto" w:fill="auto"/>
            <w:noWrap/>
            <w:vAlign w:val="bottom"/>
            <w:hideMark/>
          </w:tcPr>
          <w:p w14:paraId="62C71485" w14:textId="17B7AF68" w:rsidR="00431CA1" w:rsidRPr="00E4714B" w:rsidRDefault="00431CA1" w:rsidP="00E4714B">
            <w:pPr>
              <w:rPr>
                <w:rFonts w:eastAsia="Times New Roman" w:cs="Times New Roman"/>
                <w:b/>
                <w:bCs/>
                <w:sz w:val="20"/>
                <w:szCs w:val="20"/>
                <w:lang w:val="en-MY"/>
              </w:rPr>
            </w:pPr>
            <w:r w:rsidRPr="00E4714B">
              <w:rPr>
                <w:rFonts w:eastAsia="Times New Roman" w:cs="Times New Roman"/>
                <w:b/>
                <w:bCs/>
                <w:sz w:val="20"/>
                <w:szCs w:val="20"/>
                <w:lang w:val="en-MY"/>
              </w:rPr>
              <w:t>Results </w:t>
            </w:r>
          </w:p>
        </w:tc>
      </w:tr>
      <w:tr w:rsidR="00431CA1" w:rsidRPr="00E4714B" w14:paraId="4E6E303C" w14:textId="77777777" w:rsidTr="00E4714B">
        <w:trPr>
          <w:trHeight w:val="311"/>
          <w:jc w:val="center"/>
        </w:trPr>
        <w:tc>
          <w:tcPr>
            <w:tcW w:w="1985" w:type="dxa"/>
            <w:tcBorders>
              <w:top w:val="single" w:sz="4" w:space="0" w:color="auto"/>
            </w:tcBorders>
            <w:shd w:val="clear" w:color="auto" w:fill="auto"/>
            <w:noWrap/>
            <w:vAlign w:val="bottom"/>
            <w:hideMark/>
          </w:tcPr>
          <w:p w14:paraId="4BECEBFE"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ΔTA</w:t>
            </w:r>
          </w:p>
        </w:tc>
        <w:tc>
          <w:tcPr>
            <w:tcW w:w="1276" w:type="dxa"/>
            <w:tcBorders>
              <w:top w:val="single" w:sz="4" w:space="0" w:color="auto"/>
            </w:tcBorders>
            <w:shd w:val="clear" w:color="auto" w:fill="auto"/>
            <w:noWrap/>
            <w:vAlign w:val="bottom"/>
            <w:hideMark/>
          </w:tcPr>
          <w:p w14:paraId="5B26449E"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-9.29***</w:t>
            </w:r>
          </w:p>
        </w:tc>
        <w:tc>
          <w:tcPr>
            <w:tcW w:w="2235" w:type="dxa"/>
            <w:gridSpan w:val="2"/>
            <w:tcBorders>
              <w:top w:val="single" w:sz="4" w:space="0" w:color="auto"/>
            </w:tcBorders>
            <w:shd w:val="clear" w:color="auto" w:fill="auto"/>
            <w:noWrap/>
            <w:hideMark/>
          </w:tcPr>
          <w:p w14:paraId="662336F7"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single" w:sz="4" w:space="0" w:color="auto"/>
            </w:tcBorders>
            <w:shd w:val="clear" w:color="auto" w:fill="auto"/>
            <w:noWrap/>
            <w:vAlign w:val="bottom"/>
            <w:hideMark/>
          </w:tcPr>
          <w:p w14:paraId="70008C33"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-9.33***</w:t>
            </w:r>
          </w:p>
        </w:tc>
        <w:tc>
          <w:tcPr>
            <w:tcW w:w="2324" w:type="dxa"/>
            <w:tcBorders>
              <w:top w:val="single" w:sz="4" w:space="0" w:color="auto"/>
            </w:tcBorders>
            <w:shd w:val="clear" w:color="auto" w:fill="auto"/>
            <w:noWrap/>
            <w:hideMark/>
          </w:tcPr>
          <w:p w14:paraId="600F8500"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7C7FAC74" w14:textId="77777777" w:rsidTr="00E4714B">
        <w:trPr>
          <w:trHeight w:val="311"/>
          <w:jc w:val="center"/>
        </w:trPr>
        <w:tc>
          <w:tcPr>
            <w:tcW w:w="1985" w:type="dxa"/>
            <w:tcBorders>
              <w:top w:val="nil"/>
            </w:tcBorders>
            <w:shd w:val="clear" w:color="auto" w:fill="auto"/>
            <w:noWrap/>
            <w:vAlign w:val="bottom"/>
            <w:hideMark/>
          </w:tcPr>
          <w:p w14:paraId="743D4277"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ΔGPR</w:t>
            </w:r>
          </w:p>
        </w:tc>
        <w:tc>
          <w:tcPr>
            <w:tcW w:w="1276" w:type="dxa"/>
            <w:tcBorders>
              <w:top w:val="nil"/>
            </w:tcBorders>
            <w:shd w:val="clear" w:color="auto" w:fill="auto"/>
            <w:noWrap/>
            <w:vAlign w:val="bottom"/>
            <w:hideMark/>
          </w:tcPr>
          <w:p w14:paraId="6D2BB2CF"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-12.97***</w:t>
            </w:r>
          </w:p>
        </w:tc>
        <w:tc>
          <w:tcPr>
            <w:tcW w:w="2235" w:type="dxa"/>
            <w:gridSpan w:val="2"/>
            <w:tcBorders>
              <w:top w:val="nil"/>
            </w:tcBorders>
            <w:shd w:val="clear" w:color="auto" w:fill="auto"/>
            <w:noWrap/>
            <w:hideMark/>
          </w:tcPr>
          <w:p w14:paraId="40779879"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nil"/>
            </w:tcBorders>
            <w:shd w:val="clear" w:color="auto" w:fill="auto"/>
            <w:noWrap/>
            <w:vAlign w:val="bottom"/>
            <w:hideMark/>
          </w:tcPr>
          <w:p w14:paraId="47213BBD"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-15.59***</w:t>
            </w:r>
          </w:p>
        </w:tc>
        <w:tc>
          <w:tcPr>
            <w:tcW w:w="2324" w:type="dxa"/>
            <w:tcBorders>
              <w:top w:val="nil"/>
            </w:tcBorders>
            <w:shd w:val="clear" w:color="auto" w:fill="auto"/>
            <w:noWrap/>
            <w:hideMark/>
          </w:tcPr>
          <w:p w14:paraId="60FD9D12"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07454D08" w14:textId="77777777" w:rsidTr="00E4714B">
        <w:trPr>
          <w:trHeight w:val="311"/>
          <w:jc w:val="center"/>
        </w:trPr>
        <w:tc>
          <w:tcPr>
            <w:tcW w:w="1985" w:type="dxa"/>
            <w:tcBorders>
              <w:top w:val="nil"/>
            </w:tcBorders>
            <w:shd w:val="clear" w:color="auto" w:fill="auto"/>
            <w:noWrap/>
            <w:vAlign w:val="bottom"/>
            <w:hideMark/>
          </w:tcPr>
          <w:p w14:paraId="4907D414"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ΔEU</w:t>
            </w:r>
          </w:p>
        </w:tc>
        <w:tc>
          <w:tcPr>
            <w:tcW w:w="1276" w:type="dxa"/>
            <w:tcBorders>
              <w:top w:val="nil"/>
            </w:tcBorders>
            <w:shd w:val="clear" w:color="auto" w:fill="auto"/>
            <w:noWrap/>
            <w:vAlign w:val="bottom"/>
            <w:hideMark/>
          </w:tcPr>
          <w:p w14:paraId="4C5FD982"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-11.76***</w:t>
            </w:r>
          </w:p>
        </w:tc>
        <w:tc>
          <w:tcPr>
            <w:tcW w:w="2235" w:type="dxa"/>
            <w:gridSpan w:val="2"/>
            <w:tcBorders>
              <w:top w:val="nil"/>
            </w:tcBorders>
            <w:shd w:val="clear" w:color="auto" w:fill="auto"/>
            <w:noWrap/>
            <w:hideMark/>
          </w:tcPr>
          <w:p w14:paraId="14282CB1"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nil"/>
            </w:tcBorders>
            <w:shd w:val="clear" w:color="auto" w:fill="auto"/>
            <w:noWrap/>
            <w:vAlign w:val="bottom"/>
            <w:hideMark/>
          </w:tcPr>
          <w:p w14:paraId="64473B52"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-13.03***</w:t>
            </w:r>
          </w:p>
        </w:tc>
        <w:tc>
          <w:tcPr>
            <w:tcW w:w="2324" w:type="dxa"/>
            <w:tcBorders>
              <w:top w:val="nil"/>
            </w:tcBorders>
            <w:shd w:val="clear" w:color="auto" w:fill="auto"/>
            <w:noWrap/>
            <w:hideMark/>
          </w:tcPr>
          <w:p w14:paraId="1BBB9B66"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6A3CF727" w14:textId="77777777" w:rsidTr="00E4714B">
        <w:trPr>
          <w:trHeight w:val="311"/>
          <w:jc w:val="center"/>
        </w:trPr>
        <w:tc>
          <w:tcPr>
            <w:tcW w:w="1985" w:type="dxa"/>
            <w:tcBorders>
              <w:top w:val="nil"/>
            </w:tcBorders>
            <w:shd w:val="clear" w:color="auto" w:fill="auto"/>
            <w:noWrap/>
            <w:vAlign w:val="bottom"/>
            <w:hideMark/>
          </w:tcPr>
          <w:p w14:paraId="08A8EF7F"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ΔEM</w:t>
            </w:r>
          </w:p>
        </w:tc>
        <w:tc>
          <w:tcPr>
            <w:tcW w:w="1276" w:type="dxa"/>
            <w:tcBorders>
              <w:top w:val="nil"/>
            </w:tcBorders>
            <w:shd w:val="clear" w:color="auto" w:fill="auto"/>
            <w:noWrap/>
            <w:vAlign w:val="bottom"/>
            <w:hideMark/>
          </w:tcPr>
          <w:p w14:paraId="53F88878"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-11.75***</w:t>
            </w:r>
          </w:p>
        </w:tc>
        <w:tc>
          <w:tcPr>
            <w:tcW w:w="2235" w:type="dxa"/>
            <w:gridSpan w:val="2"/>
            <w:tcBorders>
              <w:top w:val="nil"/>
            </w:tcBorders>
            <w:shd w:val="clear" w:color="auto" w:fill="auto"/>
            <w:noWrap/>
            <w:hideMark/>
          </w:tcPr>
          <w:p w14:paraId="00983951"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nil"/>
            </w:tcBorders>
            <w:shd w:val="clear" w:color="auto" w:fill="auto"/>
            <w:noWrap/>
            <w:vAlign w:val="bottom"/>
            <w:hideMark/>
          </w:tcPr>
          <w:p w14:paraId="6ADB841B"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-13.35***</w:t>
            </w:r>
          </w:p>
        </w:tc>
        <w:tc>
          <w:tcPr>
            <w:tcW w:w="2324" w:type="dxa"/>
            <w:tcBorders>
              <w:top w:val="nil"/>
            </w:tcBorders>
            <w:shd w:val="clear" w:color="auto" w:fill="auto"/>
            <w:noWrap/>
            <w:hideMark/>
          </w:tcPr>
          <w:p w14:paraId="0267FC0C"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025E95D7" w14:textId="77777777" w:rsidTr="00E4714B">
        <w:trPr>
          <w:trHeight w:val="311"/>
          <w:jc w:val="center"/>
        </w:trPr>
        <w:tc>
          <w:tcPr>
            <w:tcW w:w="1985" w:type="dxa"/>
            <w:tcBorders>
              <w:top w:val="nil"/>
            </w:tcBorders>
            <w:shd w:val="clear" w:color="auto" w:fill="auto"/>
            <w:noWrap/>
            <w:vAlign w:val="bottom"/>
            <w:hideMark/>
          </w:tcPr>
          <w:p w14:paraId="3FE2861C"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ΔEX</w:t>
            </w:r>
          </w:p>
        </w:tc>
        <w:tc>
          <w:tcPr>
            <w:tcW w:w="1276" w:type="dxa"/>
            <w:tcBorders>
              <w:top w:val="nil"/>
            </w:tcBorders>
            <w:shd w:val="clear" w:color="auto" w:fill="auto"/>
            <w:noWrap/>
            <w:vAlign w:val="bottom"/>
            <w:hideMark/>
          </w:tcPr>
          <w:p w14:paraId="703FC313"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-8.47***</w:t>
            </w:r>
          </w:p>
        </w:tc>
        <w:tc>
          <w:tcPr>
            <w:tcW w:w="2235" w:type="dxa"/>
            <w:gridSpan w:val="2"/>
            <w:tcBorders>
              <w:top w:val="nil"/>
            </w:tcBorders>
            <w:shd w:val="clear" w:color="auto" w:fill="auto"/>
            <w:noWrap/>
            <w:hideMark/>
          </w:tcPr>
          <w:p w14:paraId="592BA71D"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nil"/>
            </w:tcBorders>
            <w:shd w:val="clear" w:color="auto" w:fill="auto"/>
            <w:noWrap/>
            <w:vAlign w:val="bottom"/>
            <w:hideMark/>
          </w:tcPr>
          <w:p w14:paraId="7AB6DD12"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-8.44***</w:t>
            </w:r>
          </w:p>
        </w:tc>
        <w:tc>
          <w:tcPr>
            <w:tcW w:w="2324" w:type="dxa"/>
            <w:tcBorders>
              <w:top w:val="nil"/>
            </w:tcBorders>
            <w:shd w:val="clear" w:color="auto" w:fill="auto"/>
            <w:noWrap/>
            <w:hideMark/>
          </w:tcPr>
          <w:p w14:paraId="544BFE10"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04E6F087" w14:textId="77777777" w:rsidTr="00E4714B">
        <w:trPr>
          <w:trHeight w:val="311"/>
          <w:jc w:val="center"/>
        </w:trPr>
        <w:tc>
          <w:tcPr>
            <w:tcW w:w="1985" w:type="dxa"/>
            <w:tcBorders>
              <w:top w:val="nil"/>
            </w:tcBorders>
            <w:shd w:val="clear" w:color="auto" w:fill="auto"/>
            <w:noWrap/>
            <w:vAlign w:val="bottom"/>
            <w:hideMark/>
          </w:tcPr>
          <w:p w14:paraId="01A70D69"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ΔIP</w:t>
            </w:r>
          </w:p>
        </w:tc>
        <w:tc>
          <w:tcPr>
            <w:tcW w:w="1276" w:type="dxa"/>
            <w:tcBorders>
              <w:top w:val="nil"/>
            </w:tcBorders>
            <w:shd w:val="clear" w:color="auto" w:fill="auto"/>
            <w:noWrap/>
            <w:vAlign w:val="bottom"/>
            <w:hideMark/>
          </w:tcPr>
          <w:p w14:paraId="00BA2062"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-12.49***</w:t>
            </w:r>
          </w:p>
        </w:tc>
        <w:tc>
          <w:tcPr>
            <w:tcW w:w="2235" w:type="dxa"/>
            <w:gridSpan w:val="2"/>
            <w:tcBorders>
              <w:top w:val="nil"/>
            </w:tcBorders>
            <w:shd w:val="clear" w:color="auto" w:fill="auto"/>
            <w:noWrap/>
            <w:hideMark/>
          </w:tcPr>
          <w:p w14:paraId="7F7912A7"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nil"/>
            </w:tcBorders>
            <w:shd w:val="clear" w:color="auto" w:fill="auto"/>
            <w:noWrap/>
            <w:vAlign w:val="bottom"/>
            <w:hideMark/>
          </w:tcPr>
          <w:p w14:paraId="62CD938C"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-13.87***</w:t>
            </w:r>
          </w:p>
        </w:tc>
        <w:tc>
          <w:tcPr>
            <w:tcW w:w="2324" w:type="dxa"/>
            <w:tcBorders>
              <w:top w:val="nil"/>
            </w:tcBorders>
            <w:shd w:val="clear" w:color="auto" w:fill="auto"/>
            <w:noWrap/>
            <w:hideMark/>
          </w:tcPr>
          <w:p w14:paraId="03A25015"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7BD316A2" w14:textId="77777777" w:rsidTr="00E4714B">
        <w:trPr>
          <w:trHeight w:val="311"/>
          <w:jc w:val="center"/>
        </w:trPr>
        <w:tc>
          <w:tcPr>
            <w:tcW w:w="1985" w:type="dxa"/>
            <w:tcBorders>
              <w:top w:val="nil"/>
              <w:bottom w:val="single" w:sz="4" w:space="0" w:color="auto"/>
            </w:tcBorders>
            <w:shd w:val="clear" w:color="auto" w:fill="auto"/>
            <w:noWrap/>
            <w:vAlign w:val="bottom"/>
            <w:hideMark/>
          </w:tcPr>
          <w:p w14:paraId="2AA615AE"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ΔCPI</w:t>
            </w:r>
          </w:p>
        </w:tc>
        <w:tc>
          <w:tcPr>
            <w:tcW w:w="1276" w:type="dxa"/>
            <w:tcBorders>
              <w:top w:val="nil"/>
              <w:bottom w:val="single" w:sz="4" w:space="0" w:color="auto"/>
            </w:tcBorders>
            <w:shd w:val="clear" w:color="auto" w:fill="auto"/>
            <w:noWrap/>
            <w:vAlign w:val="bottom"/>
            <w:hideMark/>
          </w:tcPr>
          <w:p w14:paraId="409A7540"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-8.79***</w:t>
            </w:r>
          </w:p>
        </w:tc>
        <w:tc>
          <w:tcPr>
            <w:tcW w:w="2235" w:type="dxa"/>
            <w:gridSpan w:val="2"/>
            <w:tcBorders>
              <w:top w:val="nil"/>
              <w:bottom w:val="single" w:sz="4" w:space="0" w:color="auto"/>
            </w:tcBorders>
            <w:shd w:val="clear" w:color="auto" w:fill="auto"/>
            <w:noWrap/>
            <w:hideMark/>
          </w:tcPr>
          <w:p w14:paraId="0090E535"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c>
          <w:tcPr>
            <w:tcW w:w="1450" w:type="dxa"/>
            <w:gridSpan w:val="2"/>
            <w:tcBorders>
              <w:top w:val="nil"/>
              <w:bottom w:val="single" w:sz="4" w:space="0" w:color="auto"/>
            </w:tcBorders>
            <w:shd w:val="clear" w:color="auto" w:fill="auto"/>
            <w:noWrap/>
            <w:vAlign w:val="bottom"/>
            <w:hideMark/>
          </w:tcPr>
          <w:p w14:paraId="51B5C445"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-8.77***</w:t>
            </w:r>
          </w:p>
        </w:tc>
        <w:tc>
          <w:tcPr>
            <w:tcW w:w="2324" w:type="dxa"/>
            <w:tcBorders>
              <w:top w:val="nil"/>
              <w:bottom w:val="single" w:sz="4" w:space="0" w:color="auto"/>
            </w:tcBorders>
            <w:shd w:val="clear" w:color="auto" w:fill="auto"/>
            <w:noWrap/>
            <w:hideMark/>
          </w:tcPr>
          <w:p w14:paraId="453776BD"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 Stationary</w:t>
            </w:r>
          </w:p>
        </w:tc>
      </w:tr>
      <w:tr w:rsidR="00431CA1" w:rsidRPr="00E4714B" w14:paraId="5F4B3106" w14:textId="77777777" w:rsidTr="00E4714B">
        <w:trPr>
          <w:trHeight w:val="311"/>
          <w:jc w:val="center"/>
        </w:trPr>
        <w:tc>
          <w:tcPr>
            <w:tcW w:w="9270" w:type="dxa"/>
            <w:gridSpan w:val="7"/>
            <w:tcBorders>
              <w:top w:val="single" w:sz="4" w:space="0" w:color="auto"/>
            </w:tcBorders>
            <w:shd w:val="clear" w:color="auto" w:fill="auto"/>
            <w:noWrap/>
            <w:vAlign w:val="bottom"/>
          </w:tcPr>
          <w:p w14:paraId="6C184D38" w14:textId="6887F1D4" w:rsidR="00431CA1" w:rsidRPr="00E4714B" w:rsidRDefault="00431CA1" w:rsidP="00E4714B">
            <w:pPr>
              <w:pStyle w:val="BodyText"/>
              <w:ind w:left="0"/>
              <w:contextualSpacing/>
              <w:rPr>
                <w:bCs/>
              </w:rPr>
            </w:pPr>
            <w:r w:rsidRPr="00E4714B">
              <w:rPr>
                <w:bCs/>
              </w:rPr>
              <w:t>Note: *** and ** indicate that the finding is significant at 1% and 5% level, respectively.</w:t>
            </w:r>
          </w:p>
          <w:p w14:paraId="7B574DA8" w14:textId="77777777" w:rsidR="00431CA1" w:rsidRPr="00E4714B" w:rsidRDefault="00431CA1" w:rsidP="00E4714B">
            <w:pPr>
              <w:contextualSpacing/>
              <w:jc w:val="both"/>
              <w:rPr>
                <w:rFonts w:eastAsia="Times New Roman" w:cs="Times New Roman"/>
                <w:sz w:val="20"/>
                <w:szCs w:val="20"/>
                <w:lang w:val="en-MY"/>
              </w:rPr>
            </w:pPr>
          </w:p>
        </w:tc>
      </w:tr>
      <w:tr w:rsidR="00431CA1" w:rsidRPr="00E4714B" w14:paraId="052B61DD" w14:textId="77777777" w:rsidTr="00E4714B">
        <w:trPr>
          <w:trHeight w:val="311"/>
          <w:jc w:val="center"/>
        </w:trPr>
        <w:tc>
          <w:tcPr>
            <w:tcW w:w="9270" w:type="dxa"/>
            <w:gridSpan w:val="7"/>
            <w:tcBorders>
              <w:bottom w:val="single" w:sz="4" w:space="0" w:color="auto"/>
            </w:tcBorders>
            <w:shd w:val="clear" w:color="auto" w:fill="auto"/>
            <w:noWrap/>
            <w:vAlign w:val="bottom"/>
            <w:hideMark/>
          </w:tcPr>
          <w:p w14:paraId="5D724E1C" w14:textId="50AF0E2F" w:rsidR="00431CA1" w:rsidRPr="00E4714B" w:rsidRDefault="00431CA1" w:rsidP="00E4714B">
            <w:pPr>
              <w:rPr>
                <w:rFonts w:eastAsia="Times New Roman" w:cs="Times New Roman"/>
                <w:sz w:val="20"/>
                <w:szCs w:val="20"/>
                <w:lang w:val="en-MY"/>
              </w:rPr>
            </w:pPr>
            <w:r w:rsidRPr="00E4714B">
              <w:rPr>
                <w:rFonts w:eastAsia="Times New Roman" w:cs="Times New Roman"/>
                <w:b/>
                <w:bCs/>
                <w:sz w:val="20"/>
                <w:szCs w:val="20"/>
                <w:lang w:val="en-MY"/>
              </w:rPr>
              <w:t>Table 5:</w:t>
            </w:r>
            <w:r w:rsidRPr="00E4714B">
              <w:rPr>
                <w:rFonts w:eastAsia="Times New Roman" w:cs="Times New Roman"/>
                <w:sz w:val="20"/>
                <w:szCs w:val="20"/>
                <w:lang w:val="en-MY"/>
              </w:rPr>
              <w:t xml:space="preserve"> </w:t>
            </w:r>
            <w:r w:rsidRPr="00E4714B">
              <w:rPr>
                <w:rFonts w:eastAsia="Times New Roman" w:cs="Times New Roman"/>
                <w:b/>
                <w:bCs/>
                <w:sz w:val="20"/>
                <w:szCs w:val="20"/>
                <w:lang w:val="en-MY"/>
              </w:rPr>
              <w:t>Zivot-Andrews Test Results</w:t>
            </w:r>
          </w:p>
        </w:tc>
      </w:tr>
      <w:tr w:rsidR="00431CA1" w:rsidRPr="00E4714B" w14:paraId="4963DA6F" w14:textId="77777777" w:rsidTr="00E4714B">
        <w:trPr>
          <w:trHeight w:val="311"/>
          <w:jc w:val="center"/>
        </w:trPr>
        <w:tc>
          <w:tcPr>
            <w:tcW w:w="1985" w:type="dxa"/>
            <w:tcBorders>
              <w:top w:val="single" w:sz="4" w:space="0" w:color="auto"/>
              <w:bottom w:val="single" w:sz="4" w:space="0" w:color="auto"/>
            </w:tcBorders>
            <w:shd w:val="clear" w:color="auto" w:fill="auto"/>
            <w:vAlign w:val="bottom"/>
            <w:hideMark/>
          </w:tcPr>
          <w:p w14:paraId="6C561F05" w14:textId="5FCE5C88" w:rsidR="00431CA1" w:rsidRPr="00E4714B" w:rsidRDefault="00CC7A66" w:rsidP="00E4714B">
            <w:pPr>
              <w:rPr>
                <w:rFonts w:eastAsia="Times New Roman" w:cs="Times New Roman"/>
                <w:b/>
                <w:bCs/>
                <w:sz w:val="20"/>
                <w:szCs w:val="20"/>
                <w:lang w:val="en-MY"/>
              </w:rPr>
            </w:pPr>
            <w:r w:rsidRPr="00E4714B">
              <w:rPr>
                <w:rFonts w:eastAsia="Times New Roman" w:cs="Times New Roman"/>
                <w:b/>
                <w:bCs/>
                <w:sz w:val="20"/>
                <w:szCs w:val="20"/>
                <w:lang w:val="en-MY"/>
              </w:rPr>
              <w:t>At level</w:t>
            </w:r>
          </w:p>
        </w:tc>
        <w:tc>
          <w:tcPr>
            <w:tcW w:w="1984" w:type="dxa"/>
            <w:gridSpan w:val="2"/>
            <w:tcBorders>
              <w:top w:val="single" w:sz="4" w:space="0" w:color="auto"/>
              <w:bottom w:val="single" w:sz="4" w:space="0" w:color="auto"/>
            </w:tcBorders>
            <w:shd w:val="clear" w:color="auto" w:fill="auto"/>
            <w:noWrap/>
            <w:vAlign w:val="bottom"/>
            <w:hideMark/>
          </w:tcPr>
          <w:p w14:paraId="3EF0E473" w14:textId="77777777" w:rsidR="00431CA1" w:rsidRPr="00E4714B" w:rsidRDefault="00431CA1"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Break date (TB)</w:t>
            </w:r>
          </w:p>
        </w:tc>
        <w:tc>
          <w:tcPr>
            <w:tcW w:w="1527" w:type="dxa"/>
            <w:tcBorders>
              <w:top w:val="single" w:sz="4" w:space="0" w:color="auto"/>
              <w:bottom w:val="single" w:sz="4" w:space="0" w:color="auto"/>
            </w:tcBorders>
            <w:shd w:val="clear" w:color="auto" w:fill="auto"/>
            <w:noWrap/>
            <w:vAlign w:val="bottom"/>
            <w:hideMark/>
          </w:tcPr>
          <w:p w14:paraId="3A78DD54" w14:textId="77777777" w:rsidR="00431CA1" w:rsidRPr="00E4714B" w:rsidRDefault="00431CA1"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k</w:t>
            </w:r>
          </w:p>
        </w:tc>
        <w:tc>
          <w:tcPr>
            <w:tcW w:w="1308" w:type="dxa"/>
            <w:tcBorders>
              <w:top w:val="single" w:sz="4" w:space="0" w:color="auto"/>
              <w:bottom w:val="single" w:sz="4" w:space="0" w:color="auto"/>
            </w:tcBorders>
            <w:shd w:val="clear" w:color="auto" w:fill="auto"/>
            <w:noWrap/>
            <w:vAlign w:val="bottom"/>
            <w:hideMark/>
          </w:tcPr>
          <w:p w14:paraId="49CFB948" w14:textId="77777777" w:rsidR="00431CA1" w:rsidRPr="00E4714B" w:rsidRDefault="00431CA1"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t</w:t>
            </w:r>
          </w:p>
        </w:tc>
        <w:tc>
          <w:tcPr>
            <w:tcW w:w="2466" w:type="dxa"/>
            <w:gridSpan w:val="2"/>
            <w:tcBorders>
              <w:top w:val="single" w:sz="4" w:space="0" w:color="auto"/>
              <w:bottom w:val="single" w:sz="4" w:space="0" w:color="auto"/>
            </w:tcBorders>
            <w:shd w:val="clear" w:color="auto" w:fill="auto"/>
            <w:noWrap/>
            <w:vAlign w:val="bottom"/>
            <w:hideMark/>
          </w:tcPr>
          <w:p w14:paraId="4103C9DC" w14:textId="77777777" w:rsidR="00431CA1" w:rsidRPr="00E4714B" w:rsidRDefault="00431CA1"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Inference</w:t>
            </w:r>
          </w:p>
        </w:tc>
      </w:tr>
      <w:tr w:rsidR="00431CA1" w:rsidRPr="00E4714B" w14:paraId="7B5938EE" w14:textId="77777777" w:rsidTr="00E4714B">
        <w:trPr>
          <w:trHeight w:val="311"/>
          <w:jc w:val="center"/>
        </w:trPr>
        <w:tc>
          <w:tcPr>
            <w:tcW w:w="1985" w:type="dxa"/>
            <w:tcBorders>
              <w:top w:val="single" w:sz="4" w:space="0" w:color="auto"/>
            </w:tcBorders>
            <w:shd w:val="clear" w:color="auto" w:fill="auto"/>
            <w:noWrap/>
            <w:vAlign w:val="bottom"/>
            <w:hideMark/>
          </w:tcPr>
          <w:p w14:paraId="16BFA22D"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TA</w:t>
            </w:r>
          </w:p>
        </w:tc>
        <w:tc>
          <w:tcPr>
            <w:tcW w:w="1984" w:type="dxa"/>
            <w:gridSpan w:val="2"/>
            <w:tcBorders>
              <w:top w:val="single" w:sz="4" w:space="0" w:color="auto"/>
            </w:tcBorders>
            <w:shd w:val="clear" w:color="auto" w:fill="auto"/>
            <w:noWrap/>
            <w:vAlign w:val="bottom"/>
          </w:tcPr>
          <w:p w14:paraId="50BD679F"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2016q4</w:t>
            </w:r>
          </w:p>
        </w:tc>
        <w:tc>
          <w:tcPr>
            <w:tcW w:w="1527" w:type="dxa"/>
            <w:tcBorders>
              <w:top w:val="single" w:sz="4" w:space="0" w:color="auto"/>
            </w:tcBorders>
            <w:shd w:val="clear" w:color="auto" w:fill="auto"/>
            <w:noWrap/>
            <w:vAlign w:val="bottom"/>
          </w:tcPr>
          <w:p w14:paraId="0D3D1F59"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w:t>
            </w:r>
          </w:p>
        </w:tc>
        <w:tc>
          <w:tcPr>
            <w:tcW w:w="1308" w:type="dxa"/>
            <w:tcBorders>
              <w:top w:val="single" w:sz="4" w:space="0" w:color="auto"/>
            </w:tcBorders>
            <w:shd w:val="clear" w:color="auto" w:fill="auto"/>
            <w:noWrap/>
            <w:vAlign w:val="bottom"/>
          </w:tcPr>
          <w:p w14:paraId="7CE851F9"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-3.66</w:t>
            </w:r>
          </w:p>
        </w:tc>
        <w:tc>
          <w:tcPr>
            <w:tcW w:w="2466" w:type="dxa"/>
            <w:gridSpan w:val="2"/>
            <w:tcBorders>
              <w:top w:val="single" w:sz="4" w:space="0" w:color="auto"/>
            </w:tcBorders>
            <w:shd w:val="clear" w:color="auto" w:fill="auto"/>
            <w:noWrap/>
            <w:vAlign w:val="bottom"/>
          </w:tcPr>
          <w:p w14:paraId="779DC9F2"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1D0E8517" w14:textId="77777777" w:rsidTr="00E4714B">
        <w:trPr>
          <w:trHeight w:val="311"/>
          <w:jc w:val="center"/>
        </w:trPr>
        <w:tc>
          <w:tcPr>
            <w:tcW w:w="1985" w:type="dxa"/>
            <w:shd w:val="clear" w:color="auto" w:fill="auto"/>
            <w:noWrap/>
            <w:vAlign w:val="bottom"/>
            <w:hideMark/>
          </w:tcPr>
          <w:p w14:paraId="28E9F195"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GPR</w:t>
            </w:r>
          </w:p>
        </w:tc>
        <w:tc>
          <w:tcPr>
            <w:tcW w:w="1984" w:type="dxa"/>
            <w:gridSpan w:val="2"/>
            <w:shd w:val="clear" w:color="auto" w:fill="auto"/>
            <w:noWrap/>
            <w:vAlign w:val="bottom"/>
          </w:tcPr>
          <w:p w14:paraId="31E5A2FE"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2008q1</w:t>
            </w:r>
          </w:p>
        </w:tc>
        <w:tc>
          <w:tcPr>
            <w:tcW w:w="1527" w:type="dxa"/>
            <w:shd w:val="clear" w:color="auto" w:fill="auto"/>
            <w:noWrap/>
            <w:vAlign w:val="bottom"/>
          </w:tcPr>
          <w:p w14:paraId="51AAB726"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w:t>
            </w:r>
          </w:p>
        </w:tc>
        <w:tc>
          <w:tcPr>
            <w:tcW w:w="1308" w:type="dxa"/>
            <w:shd w:val="clear" w:color="auto" w:fill="auto"/>
            <w:noWrap/>
            <w:vAlign w:val="bottom"/>
          </w:tcPr>
          <w:p w14:paraId="1D411495"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-3.80</w:t>
            </w:r>
          </w:p>
        </w:tc>
        <w:tc>
          <w:tcPr>
            <w:tcW w:w="2466" w:type="dxa"/>
            <w:gridSpan w:val="2"/>
            <w:shd w:val="clear" w:color="auto" w:fill="auto"/>
            <w:noWrap/>
            <w:vAlign w:val="bottom"/>
          </w:tcPr>
          <w:p w14:paraId="64BF618F"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2F672097" w14:textId="77777777" w:rsidTr="00E4714B">
        <w:trPr>
          <w:trHeight w:val="311"/>
          <w:jc w:val="center"/>
        </w:trPr>
        <w:tc>
          <w:tcPr>
            <w:tcW w:w="1985" w:type="dxa"/>
            <w:shd w:val="clear" w:color="auto" w:fill="auto"/>
            <w:noWrap/>
            <w:vAlign w:val="bottom"/>
            <w:hideMark/>
          </w:tcPr>
          <w:p w14:paraId="51148A89"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EU</w:t>
            </w:r>
          </w:p>
        </w:tc>
        <w:tc>
          <w:tcPr>
            <w:tcW w:w="1984" w:type="dxa"/>
            <w:gridSpan w:val="2"/>
            <w:shd w:val="clear" w:color="auto" w:fill="auto"/>
            <w:noWrap/>
            <w:vAlign w:val="bottom"/>
          </w:tcPr>
          <w:p w14:paraId="1C13990A"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2019q2</w:t>
            </w:r>
          </w:p>
        </w:tc>
        <w:tc>
          <w:tcPr>
            <w:tcW w:w="1527" w:type="dxa"/>
            <w:shd w:val="clear" w:color="auto" w:fill="auto"/>
            <w:noWrap/>
          </w:tcPr>
          <w:p w14:paraId="36E2E45B"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0</w:t>
            </w:r>
          </w:p>
        </w:tc>
        <w:tc>
          <w:tcPr>
            <w:tcW w:w="1308" w:type="dxa"/>
            <w:shd w:val="clear" w:color="auto" w:fill="auto"/>
            <w:noWrap/>
            <w:vAlign w:val="bottom"/>
          </w:tcPr>
          <w:p w14:paraId="395F5B17"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-5.99</w:t>
            </w:r>
          </w:p>
        </w:tc>
        <w:tc>
          <w:tcPr>
            <w:tcW w:w="2466" w:type="dxa"/>
            <w:gridSpan w:val="2"/>
            <w:shd w:val="clear" w:color="auto" w:fill="auto"/>
            <w:noWrap/>
          </w:tcPr>
          <w:p w14:paraId="1A3647A4"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Stationary</w:t>
            </w:r>
          </w:p>
        </w:tc>
      </w:tr>
      <w:tr w:rsidR="00431CA1" w:rsidRPr="00E4714B" w14:paraId="371B9D5C" w14:textId="77777777" w:rsidTr="00E4714B">
        <w:trPr>
          <w:trHeight w:val="311"/>
          <w:jc w:val="center"/>
        </w:trPr>
        <w:tc>
          <w:tcPr>
            <w:tcW w:w="1985" w:type="dxa"/>
            <w:shd w:val="clear" w:color="auto" w:fill="auto"/>
            <w:noWrap/>
            <w:vAlign w:val="bottom"/>
            <w:hideMark/>
          </w:tcPr>
          <w:p w14:paraId="225A1BAC"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EM</w:t>
            </w:r>
          </w:p>
        </w:tc>
        <w:tc>
          <w:tcPr>
            <w:tcW w:w="1984" w:type="dxa"/>
            <w:gridSpan w:val="2"/>
            <w:shd w:val="clear" w:color="auto" w:fill="auto"/>
            <w:noWrap/>
            <w:vAlign w:val="bottom"/>
          </w:tcPr>
          <w:p w14:paraId="75E44EA7"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2016q4</w:t>
            </w:r>
          </w:p>
        </w:tc>
        <w:tc>
          <w:tcPr>
            <w:tcW w:w="1527" w:type="dxa"/>
            <w:shd w:val="clear" w:color="auto" w:fill="auto"/>
            <w:noWrap/>
          </w:tcPr>
          <w:p w14:paraId="52AA4D36"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w:t>
            </w:r>
          </w:p>
        </w:tc>
        <w:tc>
          <w:tcPr>
            <w:tcW w:w="1308" w:type="dxa"/>
            <w:shd w:val="clear" w:color="auto" w:fill="auto"/>
            <w:noWrap/>
            <w:vAlign w:val="bottom"/>
          </w:tcPr>
          <w:p w14:paraId="6A60E3DC"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-3.10</w:t>
            </w:r>
          </w:p>
        </w:tc>
        <w:tc>
          <w:tcPr>
            <w:tcW w:w="2466" w:type="dxa"/>
            <w:gridSpan w:val="2"/>
            <w:shd w:val="clear" w:color="auto" w:fill="auto"/>
            <w:noWrap/>
            <w:vAlign w:val="bottom"/>
          </w:tcPr>
          <w:p w14:paraId="2212678F"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688EF1CC" w14:textId="77777777" w:rsidTr="00E4714B">
        <w:trPr>
          <w:trHeight w:val="311"/>
          <w:jc w:val="center"/>
        </w:trPr>
        <w:tc>
          <w:tcPr>
            <w:tcW w:w="1985" w:type="dxa"/>
            <w:shd w:val="clear" w:color="auto" w:fill="auto"/>
            <w:noWrap/>
            <w:vAlign w:val="bottom"/>
            <w:hideMark/>
          </w:tcPr>
          <w:p w14:paraId="3970A60B"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EX</w:t>
            </w:r>
          </w:p>
        </w:tc>
        <w:tc>
          <w:tcPr>
            <w:tcW w:w="1984" w:type="dxa"/>
            <w:gridSpan w:val="2"/>
            <w:shd w:val="clear" w:color="auto" w:fill="auto"/>
            <w:noWrap/>
            <w:vAlign w:val="bottom"/>
          </w:tcPr>
          <w:p w14:paraId="319EC2BF"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2012q2</w:t>
            </w:r>
          </w:p>
        </w:tc>
        <w:tc>
          <w:tcPr>
            <w:tcW w:w="1527" w:type="dxa"/>
            <w:shd w:val="clear" w:color="auto" w:fill="auto"/>
            <w:noWrap/>
            <w:vAlign w:val="bottom"/>
          </w:tcPr>
          <w:p w14:paraId="32A1EF8E"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0</w:t>
            </w:r>
          </w:p>
        </w:tc>
        <w:tc>
          <w:tcPr>
            <w:tcW w:w="1308" w:type="dxa"/>
            <w:shd w:val="clear" w:color="auto" w:fill="auto"/>
            <w:noWrap/>
            <w:vAlign w:val="bottom"/>
          </w:tcPr>
          <w:p w14:paraId="096FF015"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-2.83</w:t>
            </w:r>
          </w:p>
        </w:tc>
        <w:tc>
          <w:tcPr>
            <w:tcW w:w="2466" w:type="dxa"/>
            <w:gridSpan w:val="2"/>
            <w:shd w:val="clear" w:color="auto" w:fill="auto"/>
            <w:noWrap/>
            <w:vAlign w:val="bottom"/>
          </w:tcPr>
          <w:p w14:paraId="265A12C6"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7B8864B3" w14:textId="77777777" w:rsidTr="00E4714B">
        <w:trPr>
          <w:trHeight w:val="311"/>
          <w:jc w:val="center"/>
        </w:trPr>
        <w:tc>
          <w:tcPr>
            <w:tcW w:w="1985" w:type="dxa"/>
            <w:shd w:val="clear" w:color="auto" w:fill="auto"/>
            <w:noWrap/>
            <w:vAlign w:val="bottom"/>
            <w:hideMark/>
          </w:tcPr>
          <w:p w14:paraId="4EDEFDF8"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IP</w:t>
            </w:r>
          </w:p>
        </w:tc>
        <w:tc>
          <w:tcPr>
            <w:tcW w:w="1984" w:type="dxa"/>
            <w:gridSpan w:val="2"/>
            <w:shd w:val="clear" w:color="auto" w:fill="auto"/>
            <w:noWrap/>
            <w:vAlign w:val="bottom"/>
          </w:tcPr>
          <w:p w14:paraId="5BC1EB48"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2017q4</w:t>
            </w:r>
          </w:p>
        </w:tc>
        <w:tc>
          <w:tcPr>
            <w:tcW w:w="1527" w:type="dxa"/>
            <w:shd w:val="clear" w:color="auto" w:fill="auto"/>
            <w:noWrap/>
            <w:vAlign w:val="bottom"/>
          </w:tcPr>
          <w:p w14:paraId="396C2158"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0</w:t>
            </w:r>
          </w:p>
        </w:tc>
        <w:tc>
          <w:tcPr>
            <w:tcW w:w="1308" w:type="dxa"/>
            <w:shd w:val="clear" w:color="auto" w:fill="auto"/>
            <w:noWrap/>
            <w:vAlign w:val="bottom"/>
          </w:tcPr>
          <w:p w14:paraId="0447EDF0"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-5.73</w:t>
            </w:r>
          </w:p>
        </w:tc>
        <w:tc>
          <w:tcPr>
            <w:tcW w:w="2466" w:type="dxa"/>
            <w:gridSpan w:val="2"/>
            <w:shd w:val="clear" w:color="auto" w:fill="auto"/>
            <w:noWrap/>
            <w:vAlign w:val="bottom"/>
          </w:tcPr>
          <w:p w14:paraId="567FAFCE"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3B92AFBB" w14:textId="77777777" w:rsidTr="00E4714B">
        <w:trPr>
          <w:trHeight w:val="311"/>
          <w:jc w:val="center"/>
        </w:trPr>
        <w:tc>
          <w:tcPr>
            <w:tcW w:w="1985" w:type="dxa"/>
            <w:tcBorders>
              <w:bottom w:val="single" w:sz="4" w:space="0" w:color="auto"/>
            </w:tcBorders>
            <w:shd w:val="clear" w:color="auto" w:fill="auto"/>
            <w:noWrap/>
            <w:vAlign w:val="bottom"/>
            <w:hideMark/>
          </w:tcPr>
          <w:p w14:paraId="3A8C1253"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CPI</w:t>
            </w:r>
          </w:p>
        </w:tc>
        <w:tc>
          <w:tcPr>
            <w:tcW w:w="1984" w:type="dxa"/>
            <w:gridSpan w:val="2"/>
            <w:tcBorders>
              <w:bottom w:val="single" w:sz="4" w:space="0" w:color="auto"/>
            </w:tcBorders>
            <w:shd w:val="clear" w:color="auto" w:fill="auto"/>
            <w:noWrap/>
            <w:vAlign w:val="bottom"/>
          </w:tcPr>
          <w:p w14:paraId="2AA7D830"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2017q1</w:t>
            </w:r>
          </w:p>
        </w:tc>
        <w:tc>
          <w:tcPr>
            <w:tcW w:w="1527" w:type="dxa"/>
            <w:tcBorders>
              <w:bottom w:val="single" w:sz="4" w:space="0" w:color="auto"/>
            </w:tcBorders>
            <w:shd w:val="clear" w:color="auto" w:fill="auto"/>
            <w:noWrap/>
            <w:vAlign w:val="bottom"/>
          </w:tcPr>
          <w:p w14:paraId="041D81B5"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0</w:t>
            </w:r>
          </w:p>
        </w:tc>
        <w:tc>
          <w:tcPr>
            <w:tcW w:w="1308" w:type="dxa"/>
            <w:tcBorders>
              <w:bottom w:val="single" w:sz="4" w:space="0" w:color="auto"/>
            </w:tcBorders>
            <w:shd w:val="clear" w:color="auto" w:fill="auto"/>
            <w:noWrap/>
            <w:vAlign w:val="bottom"/>
          </w:tcPr>
          <w:p w14:paraId="7B05AF2D"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-3.27</w:t>
            </w:r>
          </w:p>
        </w:tc>
        <w:tc>
          <w:tcPr>
            <w:tcW w:w="2466" w:type="dxa"/>
            <w:gridSpan w:val="2"/>
            <w:tcBorders>
              <w:bottom w:val="single" w:sz="4" w:space="0" w:color="auto"/>
            </w:tcBorders>
            <w:shd w:val="clear" w:color="auto" w:fill="auto"/>
            <w:noWrap/>
            <w:vAlign w:val="bottom"/>
          </w:tcPr>
          <w:p w14:paraId="241E5AEB"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 Non-stationary</w:t>
            </w:r>
          </w:p>
        </w:tc>
      </w:tr>
      <w:tr w:rsidR="00431CA1" w:rsidRPr="00E4714B" w14:paraId="2DBED05D" w14:textId="77777777" w:rsidTr="00E4714B">
        <w:trPr>
          <w:trHeight w:val="276"/>
          <w:jc w:val="center"/>
        </w:trPr>
        <w:tc>
          <w:tcPr>
            <w:tcW w:w="1985" w:type="dxa"/>
            <w:tcBorders>
              <w:top w:val="single" w:sz="4" w:space="0" w:color="auto"/>
              <w:bottom w:val="single" w:sz="4" w:space="0" w:color="auto"/>
            </w:tcBorders>
            <w:shd w:val="clear" w:color="auto" w:fill="auto"/>
            <w:vAlign w:val="bottom"/>
            <w:hideMark/>
          </w:tcPr>
          <w:p w14:paraId="056C61EB" w14:textId="154DC763" w:rsidR="00431CA1" w:rsidRPr="00E4714B" w:rsidRDefault="00CC7A66" w:rsidP="00E4714B">
            <w:pPr>
              <w:rPr>
                <w:rFonts w:eastAsia="Times New Roman" w:cs="Times New Roman"/>
                <w:b/>
                <w:bCs/>
                <w:sz w:val="20"/>
                <w:szCs w:val="20"/>
                <w:lang w:val="en-MY"/>
              </w:rPr>
            </w:pPr>
            <w:r w:rsidRPr="00E4714B">
              <w:rPr>
                <w:rFonts w:eastAsia="Times New Roman" w:cs="Times New Roman"/>
                <w:b/>
                <w:bCs/>
                <w:sz w:val="20"/>
                <w:szCs w:val="20"/>
                <w:lang w:val="en-MY"/>
              </w:rPr>
              <w:t>First difference</w:t>
            </w:r>
          </w:p>
        </w:tc>
        <w:tc>
          <w:tcPr>
            <w:tcW w:w="1984" w:type="dxa"/>
            <w:gridSpan w:val="2"/>
            <w:tcBorders>
              <w:top w:val="single" w:sz="4" w:space="0" w:color="auto"/>
              <w:bottom w:val="single" w:sz="4" w:space="0" w:color="auto"/>
            </w:tcBorders>
            <w:shd w:val="clear" w:color="auto" w:fill="auto"/>
            <w:noWrap/>
            <w:vAlign w:val="bottom"/>
            <w:hideMark/>
          </w:tcPr>
          <w:p w14:paraId="29F524B4" w14:textId="77777777" w:rsidR="00431CA1" w:rsidRPr="00E4714B" w:rsidRDefault="00431CA1"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Break date (TB)</w:t>
            </w:r>
          </w:p>
        </w:tc>
        <w:tc>
          <w:tcPr>
            <w:tcW w:w="1527" w:type="dxa"/>
            <w:tcBorders>
              <w:top w:val="single" w:sz="4" w:space="0" w:color="auto"/>
              <w:bottom w:val="single" w:sz="4" w:space="0" w:color="auto"/>
            </w:tcBorders>
            <w:shd w:val="clear" w:color="auto" w:fill="auto"/>
            <w:noWrap/>
            <w:vAlign w:val="bottom"/>
            <w:hideMark/>
          </w:tcPr>
          <w:p w14:paraId="3C8DC6F0" w14:textId="77777777" w:rsidR="00431CA1" w:rsidRPr="00E4714B" w:rsidRDefault="00431CA1"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k</w:t>
            </w:r>
          </w:p>
        </w:tc>
        <w:tc>
          <w:tcPr>
            <w:tcW w:w="1308" w:type="dxa"/>
            <w:tcBorders>
              <w:top w:val="single" w:sz="4" w:space="0" w:color="auto"/>
              <w:bottom w:val="single" w:sz="4" w:space="0" w:color="auto"/>
            </w:tcBorders>
            <w:shd w:val="clear" w:color="auto" w:fill="auto"/>
            <w:noWrap/>
            <w:vAlign w:val="bottom"/>
            <w:hideMark/>
          </w:tcPr>
          <w:p w14:paraId="2615ABD9" w14:textId="77777777" w:rsidR="00431CA1" w:rsidRPr="00E4714B" w:rsidRDefault="00431CA1"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t</w:t>
            </w:r>
          </w:p>
        </w:tc>
        <w:tc>
          <w:tcPr>
            <w:tcW w:w="2466" w:type="dxa"/>
            <w:gridSpan w:val="2"/>
            <w:tcBorders>
              <w:top w:val="single" w:sz="4" w:space="0" w:color="auto"/>
              <w:bottom w:val="single" w:sz="4" w:space="0" w:color="auto"/>
            </w:tcBorders>
            <w:shd w:val="clear" w:color="auto" w:fill="auto"/>
            <w:noWrap/>
            <w:vAlign w:val="bottom"/>
            <w:hideMark/>
          </w:tcPr>
          <w:p w14:paraId="286E6253" w14:textId="77777777" w:rsidR="00431CA1" w:rsidRPr="00E4714B" w:rsidRDefault="00431CA1" w:rsidP="00E4714B">
            <w:pPr>
              <w:jc w:val="center"/>
              <w:rPr>
                <w:rFonts w:eastAsia="Times New Roman" w:cs="Times New Roman"/>
                <w:b/>
                <w:bCs/>
                <w:sz w:val="20"/>
                <w:szCs w:val="20"/>
                <w:lang w:val="en-MY"/>
              </w:rPr>
            </w:pPr>
            <w:r w:rsidRPr="00E4714B">
              <w:rPr>
                <w:rFonts w:eastAsia="Times New Roman" w:cs="Times New Roman"/>
                <w:b/>
                <w:bCs/>
                <w:sz w:val="20"/>
                <w:szCs w:val="20"/>
                <w:lang w:val="en-MY"/>
              </w:rPr>
              <w:t>Inference</w:t>
            </w:r>
          </w:p>
        </w:tc>
      </w:tr>
      <w:tr w:rsidR="00431CA1" w:rsidRPr="00E4714B" w14:paraId="206F0396" w14:textId="77777777" w:rsidTr="00E4714B">
        <w:trPr>
          <w:trHeight w:val="311"/>
          <w:jc w:val="center"/>
        </w:trPr>
        <w:tc>
          <w:tcPr>
            <w:tcW w:w="1985" w:type="dxa"/>
            <w:tcBorders>
              <w:top w:val="single" w:sz="4" w:space="0" w:color="auto"/>
            </w:tcBorders>
            <w:shd w:val="clear" w:color="auto" w:fill="auto"/>
            <w:noWrap/>
            <w:vAlign w:val="bottom"/>
            <w:hideMark/>
          </w:tcPr>
          <w:p w14:paraId="0C4C3AD5"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ΔTA</w:t>
            </w:r>
          </w:p>
        </w:tc>
        <w:tc>
          <w:tcPr>
            <w:tcW w:w="1984" w:type="dxa"/>
            <w:gridSpan w:val="2"/>
            <w:tcBorders>
              <w:top w:val="single" w:sz="4" w:space="0" w:color="auto"/>
            </w:tcBorders>
            <w:shd w:val="clear" w:color="auto" w:fill="auto"/>
            <w:noWrap/>
            <w:vAlign w:val="bottom"/>
          </w:tcPr>
          <w:p w14:paraId="6379B5F3"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2019q2</w:t>
            </w:r>
          </w:p>
        </w:tc>
        <w:tc>
          <w:tcPr>
            <w:tcW w:w="1527" w:type="dxa"/>
            <w:tcBorders>
              <w:top w:val="single" w:sz="4" w:space="0" w:color="auto"/>
            </w:tcBorders>
            <w:shd w:val="clear" w:color="auto" w:fill="auto"/>
            <w:noWrap/>
          </w:tcPr>
          <w:p w14:paraId="4F460A70"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0</w:t>
            </w:r>
          </w:p>
        </w:tc>
        <w:tc>
          <w:tcPr>
            <w:tcW w:w="1308" w:type="dxa"/>
            <w:tcBorders>
              <w:top w:val="single" w:sz="4" w:space="0" w:color="auto"/>
            </w:tcBorders>
            <w:shd w:val="clear" w:color="auto" w:fill="auto"/>
            <w:noWrap/>
            <w:vAlign w:val="bottom"/>
          </w:tcPr>
          <w:p w14:paraId="4D0B3863"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-9.63</w:t>
            </w:r>
          </w:p>
        </w:tc>
        <w:tc>
          <w:tcPr>
            <w:tcW w:w="2466" w:type="dxa"/>
            <w:gridSpan w:val="2"/>
            <w:tcBorders>
              <w:top w:val="single" w:sz="4" w:space="0" w:color="auto"/>
            </w:tcBorders>
            <w:shd w:val="clear" w:color="auto" w:fill="auto"/>
            <w:noWrap/>
          </w:tcPr>
          <w:p w14:paraId="427F15AA"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Stationary</w:t>
            </w:r>
          </w:p>
        </w:tc>
      </w:tr>
      <w:tr w:rsidR="00431CA1" w:rsidRPr="00E4714B" w14:paraId="25186595" w14:textId="77777777" w:rsidTr="00E4714B">
        <w:trPr>
          <w:trHeight w:val="311"/>
          <w:jc w:val="center"/>
        </w:trPr>
        <w:tc>
          <w:tcPr>
            <w:tcW w:w="1985" w:type="dxa"/>
            <w:shd w:val="clear" w:color="auto" w:fill="auto"/>
            <w:noWrap/>
            <w:vAlign w:val="bottom"/>
            <w:hideMark/>
          </w:tcPr>
          <w:p w14:paraId="5DE94963"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ΔGPR</w:t>
            </w:r>
          </w:p>
        </w:tc>
        <w:tc>
          <w:tcPr>
            <w:tcW w:w="1984" w:type="dxa"/>
            <w:gridSpan w:val="2"/>
            <w:shd w:val="clear" w:color="auto" w:fill="auto"/>
            <w:noWrap/>
            <w:vAlign w:val="bottom"/>
          </w:tcPr>
          <w:p w14:paraId="59B14822"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2004q3</w:t>
            </w:r>
          </w:p>
        </w:tc>
        <w:tc>
          <w:tcPr>
            <w:tcW w:w="1527" w:type="dxa"/>
            <w:shd w:val="clear" w:color="auto" w:fill="auto"/>
            <w:noWrap/>
          </w:tcPr>
          <w:p w14:paraId="01293325"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3</w:t>
            </w:r>
          </w:p>
        </w:tc>
        <w:tc>
          <w:tcPr>
            <w:tcW w:w="1308" w:type="dxa"/>
            <w:shd w:val="clear" w:color="auto" w:fill="auto"/>
            <w:noWrap/>
            <w:vAlign w:val="bottom"/>
          </w:tcPr>
          <w:p w14:paraId="249BD069"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-8.21</w:t>
            </w:r>
          </w:p>
        </w:tc>
        <w:tc>
          <w:tcPr>
            <w:tcW w:w="2466" w:type="dxa"/>
            <w:gridSpan w:val="2"/>
            <w:shd w:val="clear" w:color="auto" w:fill="auto"/>
            <w:noWrap/>
          </w:tcPr>
          <w:p w14:paraId="089707F1"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Stationary</w:t>
            </w:r>
          </w:p>
        </w:tc>
      </w:tr>
      <w:tr w:rsidR="00431CA1" w:rsidRPr="00E4714B" w14:paraId="4672689F" w14:textId="77777777" w:rsidTr="00E4714B">
        <w:trPr>
          <w:trHeight w:val="311"/>
          <w:jc w:val="center"/>
        </w:trPr>
        <w:tc>
          <w:tcPr>
            <w:tcW w:w="1985" w:type="dxa"/>
            <w:shd w:val="clear" w:color="auto" w:fill="auto"/>
            <w:noWrap/>
            <w:vAlign w:val="bottom"/>
            <w:hideMark/>
          </w:tcPr>
          <w:p w14:paraId="33FDC9BA"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ΔEU</w:t>
            </w:r>
          </w:p>
        </w:tc>
        <w:tc>
          <w:tcPr>
            <w:tcW w:w="1984" w:type="dxa"/>
            <w:gridSpan w:val="2"/>
            <w:shd w:val="clear" w:color="auto" w:fill="auto"/>
            <w:noWrap/>
            <w:vAlign w:val="bottom"/>
          </w:tcPr>
          <w:p w14:paraId="2A30B66E"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2004q3</w:t>
            </w:r>
          </w:p>
        </w:tc>
        <w:tc>
          <w:tcPr>
            <w:tcW w:w="1527" w:type="dxa"/>
            <w:shd w:val="clear" w:color="auto" w:fill="auto"/>
            <w:noWrap/>
          </w:tcPr>
          <w:p w14:paraId="29D37197"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w:t>
            </w:r>
          </w:p>
        </w:tc>
        <w:tc>
          <w:tcPr>
            <w:tcW w:w="1308" w:type="dxa"/>
            <w:shd w:val="clear" w:color="auto" w:fill="auto"/>
            <w:noWrap/>
            <w:vAlign w:val="bottom"/>
          </w:tcPr>
          <w:p w14:paraId="2FB984F6"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-8.40</w:t>
            </w:r>
          </w:p>
        </w:tc>
        <w:tc>
          <w:tcPr>
            <w:tcW w:w="2466" w:type="dxa"/>
            <w:gridSpan w:val="2"/>
            <w:shd w:val="clear" w:color="auto" w:fill="auto"/>
            <w:noWrap/>
          </w:tcPr>
          <w:p w14:paraId="7B2E9E0E"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Stationary</w:t>
            </w:r>
          </w:p>
        </w:tc>
      </w:tr>
      <w:tr w:rsidR="00431CA1" w:rsidRPr="00E4714B" w14:paraId="2A73EC1C" w14:textId="77777777" w:rsidTr="00E4714B">
        <w:trPr>
          <w:trHeight w:val="311"/>
          <w:jc w:val="center"/>
        </w:trPr>
        <w:tc>
          <w:tcPr>
            <w:tcW w:w="1985" w:type="dxa"/>
            <w:shd w:val="clear" w:color="auto" w:fill="auto"/>
            <w:noWrap/>
            <w:vAlign w:val="bottom"/>
            <w:hideMark/>
          </w:tcPr>
          <w:p w14:paraId="2E2482CA"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ΔEM</w:t>
            </w:r>
          </w:p>
        </w:tc>
        <w:tc>
          <w:tcPr>
            <w:tcW w:w="1984" w:type="dxa"/>
            <w:gridSpan w:val="2"/>
            <w:shd w:val="clear" w:color="auto" w:fill="auto"/>
            <w:noWrap/>
            <w:vAlign w:val="bottom"/>
          </w:tcPr>
          <w:p w14:paraId="49BA4FDB"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2012q3</w:t>
            </w:r>
          </w:p>
        </w:tc>
        <w:tc>
          <w:tcPr>
            <w:tcW w:w="1527" w:type="dxa"/>
            <w:shd w:val="clear" w:color="auto" w:fill="auto"/>
            <w:noWrap/>
          </w:tcPr>
          <w:p w14:paraId="0B96618C"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w:t>
            </w:r>
          </w:p>
        </w:tc>
        <w:tc>
          <w:tcPr>
            <w:tcW w:w="1308" w:type="dxa"/>
            <w:shd w:val="clear" w:color="auto" w:fill="auto"/>
            <w:noWrap/>
            <w:vAlign w:val="bottom"/>
          </w:tcPr>
          <w:p w14:paraId="2328FB4C"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-8.273</w:t>
            </w:r>
          </w:p>
        </w:tc>
        <w:tc>
          <w:tcPr>
            <w:tcW w:w="2466" w:type="dxa"/>
            <w:gridSpan w:val="2"/>
            <w:shd w:val="clear" w:color="auto" w:fill="auto"/>
            <w:noWrap/>
          </w:tcPr>
          <w:p w14:paraId="763D585D"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Stationary</w:t>
            </w:r>
          </w:p>
        </w:tc>
      </w:tr>
      <w:tr w:rsidR="00431CA1" w:rsidRPr="00E4714B" w14:paraId="109B7828" w14:textId="77777777" w:rsidTr="00E4714B">
        <w:trPr>
          <w:trHeight w:val="311"/>
          <w:jc w:val="center"/>
        </w:trPr>
        <w:tc>
          <w:tcPr>
            <w:tcW w:w="1985" w:type="dxa"/>
            <w:shd w:val="clear" w:color="auto" w:fill="auto"/>
            <w:noWrap/>
            <w:vAlign w:val="bottom"/>
            <w:hideMark/>
          </w:tcPr>
          <w:p w14:paraId="3C35BF9F"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ΔEX</w:t>
            </w:r>
          </w:p>
        </w:tc>
        <w:tc>
          <w:tcPr>
            <w:tcW w:w="1984" w:type="dxa"/>
            <w:gridSpan w:val="2"/>
            <w:shd w:val="clear" w:color="auto" w:fill="auto"/>
            <w:noWrap/>
            <w:vAlign w:val="bottom"/>
          </w:tcPr>
          <w:p w14:paraId="7504FB3E"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2003q4</w:t>
            </w:r>
          </w:p>
        </w:tc>
        <w:tc>
          <w:tcPr>
            <w:tcW w:w="1527" w:type="dxa"/>
            <w:shd w:val="clear" w:color="auto" w:fill="auto"/>
            <w:noWrap/>
          </w:tcPr>
          <w:p w14:paraId="5B277A79"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0</w:t>
            </w:r>
          </w:p>
        </w:tc>
        <w:tc>
          <w:tcPr>
            <w:tcW w:w="1308" w:type="dxa"/>
            <w:shd w:val="clear" w:color="auto" w:fill="auto"/>
            <w:noWrap/>
            <w:vAlign w:val="bottom"/>
          </w:tcPr>
          <w:p w14:paraId="14926507"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-8.559</w:t>
            </w:r>
          </w:p>
        </w:tc>
        <w:tc>
          <w:tcPr>
            <w:tcW w:w="2466" w:type="dxa"/>
            <w:gridSpan w:val="2"/>
            <w:shd w:val="clear" w:color="auto" w:fill="auto"/>
            <w:noWrap/>
          </w:tcPr>
          <w:p w14:paraId="4F3A74B1"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Stationary</w:t>
            </w:r>
          </w:p>
        </w:tc>
      </w:tr>
      <w:tr w:rsidR="00431CA1" w:rsidRPr="00E4714B" w14:paraId="101C170D" w14:textId="77777777" w:rsidTr="00E4714B">
        <w:trPr>
          <w:trHeight w:val="311"/>
          <w:jc w:val="center"/>
        </w:trPr>
        <w:tc>
          <w:tcPr>
            <w:tcW w:w="1985" w:type="dxa"/>
            <w:shd w:val="clear" w:color="auto" w:fill="auto"/>
            <w:noWrap/>
            <w:vAlign w:val="bottom"/>
            <w:hideMark/>
          </w:tcPr>
          <w:p w14:paraId="375D3F71"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ΔIP</w:t>
            </w:r>
          </w:p>
        </w:tc>
        <w:tc>
          <w:tcPr>
            <w:tcW w:w="1984" w:type="dxa"/>
            <w:gridSpan w:val="2"/>
            <w:shd w:val="clear" w:color="auto" w:fill="auto"/>
            <w:noWrap/>
            <w:vAlign w:val="bottom"/>
          </w:tcPr>
          <w:p w14:paraId="0F57B2A3"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2020q3</w:t>
            </w:r>
          </w:p>
        </w:tc>
        <w:tc>
          <w:tcPr>
            <w:tcW w:w="1527" w:type="dxa"/>
            <w:shd w:val="clear" w:color="auto" w:fill="auto"/>
            <w:noWrap/>
          </w:tcPr>
          <w:p w14:paraId="326CCFDD"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0</w:t>
            </w:r>
          </w:p>
        </w:tc>
        <w:tc>
          <w:tcPr>
            <w:tcW w:w="1308" w:type="dxa"/>
            <w:shd w:val="clear" w:color="auto" w:fill="auto"/>
            <w:noWrap/>
            <w:vAlign w:val="bottom"/>
          </w:tcPr>
          <w:p w14:paraId="136F110D"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12.529</w:t>
            </w:r>
          </w:p>
        </w:tc>
        <w:tc>
          <w:tcPr>
            <w:tcW w:w="2466" w:type="dxa"/>
            <w:gridSpan w:val="2"/>
            <w:shd w:val="clear" w:color="auto" w:fill="auto"/>
            <w:noWrap/>
          </w:tcPr>
          <w:p w14:paraId="26EDE94E"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Stationary</w:t>
            </w:r>
          </w:p>
        </w:tc>
      </w:tr>
      <w:tr w:rsidR="00431CA1" w:rsidRPr="00E4714B" w14:paraId="332F81E8" w14:textId="77777777" w:rsidTr="00E4714B">
        <w:trPr>
          <w:trHeight w:val="311"/>
          <w:jc w:val="center"/>
        </w:trPr>
        <w:tc>
          <w:tcPr>
            <w:tcW w:w="1985" w:type="dxa"/>
            <w:tcBorders>
              <w:bottom w:val="single" w:sz="4" w:space="0" w:color="auto"/>
            </w:tcBorders>
            <w:shd w:val="clear" w:color="auto" w:fill="auto"/>
            <w:noWrap/>
            <w:vAlign w:val="bottom"/>
            <w:hideMark/>
          </w:tcPr>
          <w:p w14:paraId="20AD0CAA" w14:textId="77777777" w:rsidR="00431CA1" w:rsidRPr="00E4714B" w:rsidRDefault="00431CA1" w:rsidP="00E4714B">
            <w:pPr>
              <w:rPr>
                <w:rFonts w:eastAsia="Times New Roman" w:cs="Times New Roman"/>
                <w:sz w:val="20"/>
                <w:szCs w:val="20"/>
                <w:lang w:val="en-MY"/>
              </w:rPr>
            </w:pPr>
            <w:r w:rsidRPr="00E4714B">
              <w:rPr>
                <w:rFonts w:eastAsia="Times New Roman" w:cs="Times New Roman"/>
                <w:sz w:val="20"/>
                <w:szCs w:val="20"/>
                <w:lang w:val="en-MY"/>
              </w:rPr>
              <w:t>ΔCPI</w:t>
            </w:r>
          </w:p>
        </w:tc>
        <w:tc>
          <w:tcPr>
            <w:tcW w:w="1984" w:type="dxa"/>
            <w:gridSpan w:val="2"/>
            <w:tcBorders>
              <w:bottom w:val="single" w:sz="4" w:space="0" w:color="auto"/>
            </w:tcBorders>
            <w:shd w:val="clear" w:color="auto" w:fill="auto"/>
            <w:noWrap/>
            <w:vAlign w:val="bottom"/>
          </w:tcPr>
          <w:p w14:paraId="29CB9F6A"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2006q2</w:t>
            </w:r>
          </w:p>
        </w:tc>
        <w:tc>
          <w:tcPr>
            <w:tcW w:w="1527" w:type="dxa"/>
            <w:tcBorders>
              <w:bottom w:val="single" w:sz="4" w:space="0" w:color="auto"/>
            </w:tcBorders>
            <w:shd w:val="clear" w:color="auto" w:fill="auto"/>
            <w:noWrap/>
          </w:tcPr>
          <w:p w14:paraId="03AF6E31"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3</w:t>
            </w:r>
          </w:p>
        </w:tc>
        <w:tc>
          <w:tcPr>
            <w:tcW w:w="1308" w:type="dxa"/>
            <w:tcBorders>
              <w:bottom w:val="single" w:sz="4" w:space="0" w:color="auto"/>
            </w:tcBorders>
            <w:shd w:val="clear" w:color="auto" w:fill="auto"/>
            <w:noWrap/>
            <w:vAlign w:val="bottom"/>
          </w:tcPr>
          <w:p w14:paraId="7C23089E"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-6.562</w:t>
            </w:r>
          </w:p>
        </w:tc>
        <w:tc>
          <w:tcPr>
            <w:tcW w:w="2466" w:type="dxa"/>
            <w:gridSpan w:val="2"/>
            <w:tcBorders>
              <w:bottom w:val="single" w:sz="4" w:space="0" w:color="auto"/>
            </w:tcBorders>
            <w:shd w:val="clear" w:color="auto" w:fill="auto"/>
            <w:noWrap/>
          </w:tcPr>
          <w:p w14:paraId="670E85CA" w14:textId="77777777" w:rsidR="00431CA1" w:rsidRPr="00E4714B" w:rsidRDefault="00431CA1" w:rsidP="00E4714B">
            <w:pPr>
              <w:jc w:val="center"/>
              <w:rPr>
                <w:rFonts w:eastAsia="Times New Roman" w:cs="Times New Roman"/>
                <w:sz w:val="20"/>
                <w:szCs w:val="20"/>
                <w:lang w:val="en-MY"/>
              </w:rPr>
            </w:pPr>
            <w:r w:rsidRPr="00E4714B">
              <w:rPr>
                <w:rFonts w:eastAsia="Times New Roman" w:cs="Times New Roman"/>
                <w:sz w:val="20"/>
                <w:szCs w:val="20"/>
                <w:lang w:val="en-MY"/>
              </w:rPr>
              <w:t>Stationary</w:t>
            </w:r>
          </w:p>
        </w:tc>
      </w:tr>
      <w:tr w:rsidR="00431CA1" w:rsidRPr="00E4714B" w14:paraId="14B463B2" w14:textId="77777777" w:rsidTr="00E4714B">
        <w:trPr>
          <w:trHeight w:val="311"/>
          <w:jc w:val="center"/>
        </w:trPr>
        <w:tc>
          <w:tcPr>
            <w:tcW w:w="9270" w:type="dxa"/>
            <w:gridSpan w:val="7"/>
            <w:tcBorders>
              <w:top w:val="single" w:sz="4" w:space="0" w:color="auto"/>
            </w:tcBorders>
            <w:shd w:val="clear" w:color="auto" w:fill="auto"/>
            <w:noWrap/>
            <w:vAlign w:val="bottom"/>
          </w:tcPr>
          <w:p w14:paraId="40976DDC" w14:textId="77777777" w:rsidR="00431CA1" w:rsidRPr="00E4714B" w:rsidRDefault="00431CA1" w:rsidP="00E4714B">
            <w:pPr>
              <w:pStyle w:val="BodyText"/>
              <w:ind w:left="0"/>
              <w:contextualSpacing/>
              <w:rPr>
                <w:bCs/>
              </w:rPr>
            </w:pPr>
            <w:r w:rsidRPr="00E4714B">
              <w:rPr>
                <w:bCs/>
              </w:rPr>
              <w:t>Notes:</w:t>
            </w:r>
          </w:p>
          <w:p w14:paraId="0C5E5CD4" w14:textId="77777777" w:rsidR="00431CA1" w:rsidRPr="00E4714B" w:rsidRDefault="00431CA1" w:rsidP="00E4714B">
            <w:pPr>
              <w:pStyle w:val="BodyText"/>
              <w:numPr>
                <w:ilvl w:val="0"/>
                <w:numId w:val="2"/>
              </w:numPr>
              <w:autoSpaceDE w:val="0"/>
              <w:autoSpaceDN w:val="0"/>
              <w:ind w:left="0" w:firstLine="0"/>
              <w:contextualSpacing/>
              <w:rPr>
                <w:bCs/>
              </w:rPr>
            </w:pPr>
            <w:r w:rsidRPr="00E4714B">
              <w:rPr>
                <w:bCs/>
              </w:rPr>
              <w:t>Critical values: 1%: -4.93; 5%: -4.42; 10%: -4.11</w:t>
            </w:r>
          </w:p>
          <w:p w14:paraId="1B1BE492" w14:textId="056C4E5D" w:rsidR="00431CA1" w:rsidRPr="00E4714B" w:rsidRDefault="00431CA1" w:rsidP="00E4714B">
            <w:pPr>
              <w:pStyle w:val="BodyText"/>
              <w:numPr>
                <w:ilvl w:val="0"/>
                <w:numId w:val="2"/>
              </w:numPr>
              <w:autoSpaceDE w:val="0"/>
              <w:autoSpaceDN w:val="0"/>
              <w:ind w:left="0" w:firstLine="0"/>
              <w:contextualSpacing/>
              <w:rPr>
                <w:bCs/>
              </w:rPr>
            </w:pPr>
            <w:r w:rsidRPr="00E4714B">
              <w:rPr>
                <w:bCs/>
              </w:rPr>
              <w:t xml:space="preserve">The null hypothesis for Zivot-Andrews’s test is the series has a unit root with </w:t>
            </w:r>
            <w:r w:rsidR="00A33530" w:rsidRPr="00E4714B">
              <w:rPr>
                <w:bCs/>
              </w:rPr>
              <w:t xml:space="preserve">a </w:t>
            </w:r>
            <w:r w:rsidRPr="00E4714B">
              <w:rPr>
                <w:bCs/>
              </w:rPr>
              <w:t>structural break.</w:t>
            </w:r>
          </w:p>
          <w:p w14:paraId="181C6752" w14:textId="77777777" w:rsidR="00431CA1" w:rsidRPr="00E4714B" w:rsidRDefault="00431CA1" w:rsidP="00E4714B">
            <w:pPr>
              <w:pStyle w:val="BodyText"/>
              <w:ind w:left="0"/>
              <w:contextualSpacing/>
              <w:rPr>
                <w:rFonts w:eastAsia="Times New Roman" w:cs="Times New Roman"/>
                <w:lang w:val="en-MY"/>
              </w:rPr>
            </w:pPr>
          </w:p>
        </w:tc>
      </w:tr>
    </w:tbl>
    <w:p w14:paraId="206962F0" w14:textId="21075C05" w:rsidR="00431CA1" w:rsidRPr="00E4714B" w:rsidRDefault="006D52C9" w:rsidP="00E4714B">
      <w:pPr>
        <w:jc w:val="both"/>
        <w:rPr>
          <w:rFonts w:eastAsia="Times New Roman" w:cs="Times New Roman"/>
          <w:iCs/>
          <w:sz w:val="20"/>
          <w:szCs w:val="20"/>
        </w:rPr>
      </w:pPr>
      <w:r w:rsidRPr="00E4714B">
        <w:rPr>
          <w:rFonts w:eastAsia="Times New Roman" w:cs="Times New Roman"/>
          <w:iCs/>
          <w:sz w:val="20"/>
          <w:szCs w:val="20"/>
        </w:rPr>
        <w:t>The results of the Engle-Granger cointegration test are displayed in Table 6. The null hypothesis of no cointegration is rejected based on the lower test statistic values compared to the critical value at the 5% level. Tourist arrivals are found to be cointegrated with GPR and EU. In the case where there are only two variables in the equation, y</w:t>
      </w:r>
      <w:r w:rsidRPr="00E4714B">
        <w:rPr>
          <w:rFonts w:eastAsia="Times New Roman" w:cs="Times New Roman"/>
          <w:iCs/>
          <w:sz w:val="20"/>
          <w:szCs w:val="20"/>
          <w:vertAlign w:val="subscript"/>
        </w:rPr>
        <w:t>t</w:t>
      </w:r>
      <w:r w:rsidRPr="00E4714B">
        <w:rPr>
          <w:rFonts w:eastAsia="Times New Roman" w:cs="Times New Roman"/>
          <w:iCs/>
          <w:sz w:val="20"/>
          <w:szCs w:val="20"/>
        </w:rPr>
        <w:t xml:space="preserve"> and x</w:t>
      </w:r>
      <w:r w:rsidRPr="00E4714B">
        <w:rPr>
          <w:rFonts w:eastAsia="Times New Roman" w:cs="Times New Roman"/>
          <w:iCs/>
          <w:sz w:val="20"/>
          <w:szCs w:val="20"/>
          <w:vertAlign w:val="subscript"/>
        </w:rPr>
        <w:t>t</w:t>
      </w:r>
      <w:r w:rsidRPr="00E4714B">
        <w:rPr>
          <w:rFonts w:eastAsia="Times New Roman" w:cs="Times New Roman"/>
          <w:iCs/>
          <w:sz w:val="20"/>
          <w:szCs w:val="20"/>
        </w:rPr>
        <w:t xml:space="preserve">, there can be at most only one linear combination of the independent and dependent </w:t>
      </w:r>
      <w:r w:rsidRPr="00E4714B">
        <w:rPr>
          <w:rFonts w:eastAsia="Times New Roman" w:cs="Times New Roman"/>
          <w:iCs/>
          <w:sz w:val="20"/>
          <w:szCs w:val="20"/>
        </w:rPr>
        <w:lastRenderedPageBreak/>
        <w:t>variables (given the direction of the relationship is from x</w:t>
      </w:r>
      <w:r w:rsidRPr="00E4714B">
        <w:rPr>
          <w:rFonts w:eastAsia="Times New Roman" w:cs="Times New Roman"/>
          <w:iCs/>
          <w:sz w:val="20"/>
          <w:szCs w:val="20"/>
          <w:vertAlign w:val="subscript"/>
        </w:rPr>
        <w:t>t</w:t>
      </w:r>
      <w:r w:rsidRPr="00E4714B">
        <w:rPr>
          <w:rFonts w:eastAsia="Times New Roman" w:cs="Times New Roman"/>
          <w:iCs/>
          <w:sz w:val="20"/>
          <w:szCs w:val="20"/>
        </w:rPr>
        <w:t xml:space="preserve"> to y</w:t>
      </w:r>
      <w:r w:rsidRPr="00E4714B">
        <w:rPr>
          <w:rFonts w:eastAsia="Times New Roman" w:cs="Times New Roman"/>
          <w:iCs/>
          <w:sz w:val="20"/>
          <w:szCs w:val="20"/>
          <w:vertAlign w:val="subscript"/>
        </w:rPr>
        <w:t>t</w:t>
      </w:r>
      <w:r w:rsidRPr="00E4714B">
        <w:rPr>
          <w:rFonts w:eastAsia="Times New Roman" w:cs="Times New Roman"/>
          <w:iCs/>
          <w:sz w:val="20"/>
          <w:szCs w:val="20"/>
        </w:rPr>
        <w:t>). However, in this study, we have other control variables in the system (ignoring any constant term) that may increase the number of variables to k. In this case, there may be up to r linearly independent cointegrating relationships (where r ≤ k-1). To address this, we supplement the Engle-Granger cointegration test findings with Johansen cointegration test results.</w:t>
      </w:r>
    </w:p>
    <w:p w14:paraId="74ADF924" w14:textId="77777777" w:rsidR="006D52C9" w:rsidRPr="00E4714B" w:rsidRDefault="006D52C9" w:rsidP="00E4714B">
      <w:pPr>
        <w:jc w:val="both"/>
        <w:rPr>
          <w:rFonts w:eastAsia="Times New Roman" w:cs="Times New Roman"/>
          <w:iCs/>
          <w:sz w:val="20"/>
          <w:szCs w:val="20"/>
        </w:rPr>
      </w:pPr>
    </w:p>
    <w:p w14:paraId="06054890" w14:textId="2F473A81" w:rsidR="00431CA1" w:rsidRPr="00E4714B" w:rsidRDefault="00431CA1" w:rsidP="00E4714B">
      <w:pPr>
        <w:jc w:val="both"/>
        <w:rPr>
          <w:rFonts w:eastAsia="Times New Roman" w:cs="Times New Roman"/>
          <w:iCs/>
          <w:sz w:val="20"/>
          <w:szCs w:val="20"/>
        </w:rPr>
      </w:pPr>
      <w:r w:rsidRPr="00E4714B">
        <w:rPr>
          <w:rFonts w:eastAsia="Times New Roman" w:cs="Times New Roman"/>
          <w:b/>
          <w:bCs/>
          <w:iCs/>
          <w:sz w:val="20"/>
          <w:szCs w:val="20"/>
        </w:rPr>
        <w:t xml:space="preserve">Table 6: Engle-Granger </w:t>
      </w:r>
      <w:r w:rsidR="000D30AC" w:rsidRPr="00E4714B">
        <w:rPr>
          <w:rFonts w:eastAsia="Times New Roman" w:cs="Times New Roman"/>
          <w:b/>
          <w:bCs/>
          <w:iCs/>
          <w:sz w:val="20"/>
          <w:szCs w:val="20"/>
        </w:rPr>
        <w:t>C</w:t>
      </w:r>
      <w:r w:rsidRPr="00E4714B">
        <w:rPr>
          <w:rFonts w:eastAsia="Times New Roman" w:cs="Times New Roman"/>
          <w:b/>
          <w:bCs/>
          <w:iCs/>
          <w:sz w:val="20"/>
          <w:szCs w:val="20"/>
        </w:rPr>
        <w:t xml:space="preserve">ointegration </w:t>
      </w:r>
      <w:r w:rsidR="000D30AC" w:rsidRPr="00E4714B">
        <w:rPr>
          <w:rFonts w:eastAsia="Times New Roman" w:cs="Times New Roman"/>
          <w:b/>
          <w:bCs/>
          <w:iCs/>
          <w:sz w:val="20"/>
          <w:szCs w:val="20"/>
        </w:rPr>
        <w:t>T</w:t>
      </w:r>
      <w:r w:rsidRPr="00E4714B">
        <w:rPr>
          <w:rFonts w:eastAsia="Times New Roman" w:cs="Times New Roman"/>
          <w:b/>
          <w:bCs/>
          <w:iCs/>
          <w:sz w:val="20"/>
          <w:szCs w:val="20"/>
        </w:rPr>
        <w:t>est</w:t>
      </w:r>
    </w:p>
    <w:tbl>
      <w:tblPr>
        <w:tblStyle w:val="TableGrid"/>
        <w:tblW w:w="9534"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605"/>
        <w:gridCol w:w="1790"/>
        <w:gridCol w:w="1275"/>
        <w:gridCol w:w="2305"/>
      </w:tblGrid>
      <w:tr w:rsidR="00431CA1" w:rsidRPr="00E4714B" w14:paraId="2EA9E4E1" w14:textId="77777777" w:rsidTr="001510EA">
        <w:trPr>
          <w:trHeight w:val="274"/>
          <w:jc w:val="center"/>
        </w:trPr>
        <w:tc>
          <w:tcPr>
            <w:tcW w:w="1559" w:type="dxa"/>
            <w:tcBorders>
              <w:top w:val="single" w:sz="4" w:space="0" w:color="auto"/>
              <w:bottom w:val="single" w:sz="4" w:space="0" w:color="auto"/>
            </w:tcBorders>
          </w:tcPr>
          <w:p w14:paraId="13BD78B5" w14:textId="77777777" w:rsidR="00431CA1" w:rsidRPr="00E4714B" w:rsidRDefault="00431CA1" w:rsidP="00E4714B">
            <w:pP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Dependent</w:t>
            </w:r>
          </w:p>
        </w:tc>
        <w:tc>
          <w:tcPr>
            <w:tcW w:w="2605" w:type="dxa"/>
            <w:tcBorders>
              <w:top w:val="single" w:sz="4" w:space="0" w:color="auto"/>
              <w:bottom w:val="single" w:sz="4" w:space="0" w:color="auto"/>
            </w:tcBorders>
          </w:tcPr>
          <w:p w14:paraId="66CC7AAA"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Independent variable</w:t>
            </w:r>
          </w:p>
        </w:tc>
        <w:tc>
          <w:tcPr>
            <w:tcW w:w="1790" w:type="dxa"/>
            <w:tcBorders>
              <w:top w:val="single" w:sz="4" w:space="0" w:color="auto"/>
              <w:bottom w:val="single" w:sz="4" w:space="0" w:color="auto"/>
            </w:tcBorders>
          </w:tcPr>
          <w:p w14:paraId="4D8AAD77"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Test statistic</w:t>
            </w:r>
          </w:p>
        </w:tc>
        <w:tc>
          <w:tcPr>
            <w:tcW w:w="1275" w:type="dxa"/>
            <w:tcBorders>
              <w:top w:val="single" w:sz="4" w:space="0" w:color="auto"/>
              <w:bottom w:val="single" w:sz="4" w:space="0" w:color="auto"/>
            </w:tcBorders>
          </w:tcPr>
          <w:p w14:paraId="5C2D82AC"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Critical value at 5% level</w:t>
            </w:r>
          </w:p>
        </w:tc>
        <w:tc>
          <w:tcPr>
            <w:tcW w:w="2305" w:type="dxa"/>
            <w:tcBorders>
              <w:top w:val="single" w:sz="4" w:space="0" w:color="auto"/>
              <w:bottom w:val="single" w:sz="4" w:space="0" w:color="auto"/>
            </w:tcBorders>
          </w:tcPr>
          <w:p w14:paraId="58FAF585"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Inference</w:t>
            </w:r>
          </w:p>
        </w:tc>
      </w:tr>
      <w:tr w:rsidR="00431CA1" w:rsidRPr="00E4714B" w14:paraId="739DE64C" w14:textId="77777777" w:rsidTr="001510EA">
        <w:trPr>
          <w:trHeight w:val="274"/>
          <w:jc w:val="center"/>
        </w:trPr>
        <w:tc>
          <w:tcPr>
            <w:tcW w:w="1559" w:type="dxa"/>
            <w:tcBorders>
              <w:top w:val="single" w:sz="4" w:space="0" w:color="auto"/>
            </w:tcBorders>
          </w:tcPr>
          <w:p w14:paraId="46BE655A"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TA</w:t>
            </w:r>
          </w:p>
        </w:tc>
        <w:tc>
          <w:tcPr>
            <w:tcW w:w="2605" w:type="dxa"/>
            <w:tcBorders>
              <w:top w:val="single" w:sz="4" w:space="0" w:color="auto"/>
            </w:tcBorders>
          </w:tcPr>
          <w:p w14:paraId="114310D4"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GPR</w:t>
            </w:r>
          </w:p>
        </w:tc>
        <w:tc>
          <w:tcPr>
            <w:tcW w:w="1790" w:type="dxa"/>
            <w:tcBorders>
              <w:top w:val="single" w:sz="4" w:space="0" w:color="auto"/>
            </w:tcBorders>
          </w:tcPr>
          <w:p w14:paraId="54E95467"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-2.327</w:t>
            </w:r>
          </w:p>
        </w:tc>
        <w:tc>
          <w:tcPr>
            <w:tcW w:w="1275" w:type="dxa"/>
            <w:tcBorders>
              <w:top w:val="single" w:sz="4" w:space="0" w:color="auto"/>
            </w:tcBorders>
          </w:tcPr>
          <w:p w14:paraId="1657E6E3"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 xml:space="preserve">-3.404 </w:t>
            </w:r>
          </w:p>
        </w:tc>
        <w:tc>
          <w:tcPr>
            <w:tcW w:w="2305" w:type="dxa"/>
            <w:tcBorders>
              <w:top w:val="single" w:sz="4" w:space="0" w:color="auto"/>
            </w:tcBorders>
          </w:tcPr>
          <w:p w14:paraId="4541426B" w14:textId="77777777" w:rsidR="00431CA1" w:rsidRPr="00E4714B" w:rsidRDefault="00431CA1" w:rsidP="00E4714B">
            <w:pPr>
              <w:jc w:val="center"/>
              <w:rPr>
                <w:rFonts w:ascii="Cambria" w:hAnsi="Cambria" w:cs="Times New Roman"/>
                <w:sz w:val="20"/>
                <w:szCs w:val="20"/>
              </w:rPr>
            </w:pPr>
            <w:r w:rsidRPr="00E4714B">
              <w:rPr>
                <w:rFonts w:ascii="Cambria" w:hAnsi="Cambria" w:cs="Times New Roman"/>
                <w:sz w:val="20"/>
                <w:szCs w:val="20"/>
              </w:rPr>
              <w:t>No cointegration</w:t>
            </w:r>
          </w:p>
        </w:tc>
      </w:tr>
      <w:tr w:rsidR="00431CA1" w:rsidRPr="00E4714B" w14:paraId="03C13888" w14:textId="77777777" w:rsidTr="001510EA">
        <w:trPr>
          <w:trHeight w:val="288"/>
          <w:jc w:val="center"/>
        </w:trPr>
        <w:tc>
          <w:tcPr>
            <w:tcW w:w="1559" w:type="dxa"/>
          </w:tcPr>
          <w:p w14:paraId="0B98F33D"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TA</w:t>
            </w:r>
          </w:p>
        </w:tc>
        <w:tc>
          <w:tcPr>
            <w:tcW w:w="2605" w:type="dxa"/>
          </w:tcPr>
          <w:p w14:paraId="05B827EE"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EU</w:t>
            </w:r>
          </w:p>
        </w:tc>
        <w:tc>
          <w:tcPr>
            <w:tcW w:w="1790" w:type="dxa"/>
          </w:tcPr>
          <w:p w14:paraId="04E094DB"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-2.944</w:t>
            </w:r>
          </w:p>
        </w:tc>
        <w:tc>
          <w:tcPr>
            <w:tcW w:w="1275" w:type="dxa"/>
          </w:tcPr>
          <w:p w14:paraId="36BB3C4C"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 xml:space="preserve">-3.404 </w:t>
            </w:r>
          </w:p>
        </w:tc>
        <w:tc>
          <w:tcPr>
            <w:tcW w:w="2305" w:type="dxa"/>
          </w:tcPr>
          <w:p w14:paraId="480505ED" w14:textId="77777777" w:rsidR="00431CA1" w:rsidRPr="00E4714B" w:rsidRDefault="00431CA1" w:rsidP="00E4714B">
            <w:pPr>
              <w:jc w:val="center"/>
              <w:rPr>
                <w:rFonts w:ascii="Cambria" w:hAnsi="Cambria" w:cs="Times New Roman"/>
                <w:sz w:val="20"/>
                <w:szCs w:val="20"/>
              </w:rPr>
            </w:pPr>
            <w:r w:rsidRPr="00E4714B">
              <w:rPr>
                <w:rFonts w:ascii="Cambria" w:hAnsi="Cambria" w:cs="Times New Roman"/>
                <w:sz w:val="20"/>
                <w:szCs w:val="20"/>
              </w:rPr>
              <w:t>No cointegration</w:t>
            </w:r>
          </w:p>
        </w:tc>
      </w:tr>
      <w:tr w:rsidR="00431CA1" w:rsidRPr="00E4714B" w14:paraId="2CE69153" w14:textId="77777777" w:rsidTr="001510EA">
        <w:trPr>
          <w:trHeight w:val="288"/>
          <w:jc w:val="center"/>
        </w:trPr>
        <w:tc>
          <w:tcPr>
            <w:tcW w:w="1559" w:type="dxa"/>
          </w:tcPr>
          <w:p w14:paraId="26A26E4F"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TA</w:t>
            </w:r>
          </w:p>
        </w:tc>
        <w:tc>
          <w:tcPr>
            <w:tcW w:w="2605" w:type="dxa"/>
          </w:tcPr>
          <w:p w14:paraId="406E8951"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EM</w:t>
            </w:r>
          </w:p>
        </w:tc>
        <w:tc>
          <w:tcPr>
            <w:tcW w:w="1790" w:type="dxa"/>
          </w:tcPr>
          <w:p w14:paraId="6B96C03D"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-2.911</w:t>
            </w:r>
          </w:p>
        </w:tc>
        <w:tc>
          <w:tcPr>
            <w:tcW w:w="1275" w:type="dxa"/>
          </w:tcPr>
          <w:p w14:paraId="1159DFDF"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 xml:space="preserve">-3.404 </w:t>
            </w:r>
          </w:p>
        </w:tc>
        <w:tc>
          <w:tcPr>
            <w:tcW w:w="2305" w:type="dxa"/>
          </w:tcPr>
          <w:p w14:paraId="3FEE1D4B" w14:textId="77777777" w:rsidR="00431CA1" w:rsidRPr="00E4714B" w:rsidRDefault="00431CA1" w:rsidP="00E4714B">
            <w:pPr>
              <w:jc w:val="center"/>
              <w:rPr>
                <w:rFonts w:ascii="Cambria" w:hAnsi="Cambria" w:cs="Times New Roman"/>
                <w:sz w:val="20"/>
                <w:szCs w:val="20"/>
              </w:rPr>
            </w:pPr>
            <w:r w:rsidRPr="00E4714B">
              <w:rPr>
                <w:rFonts w:ascii="Cambria" w:hAnsi="Cambria" w:cs="Times New Roman"/>
                <w:sz w:val="20"/>
                <w:szCs w:val="20"/>
              </w:rPr>
              <w:t>No cointegration</w:t>
            </w:r>
          </w:p>
        </w:tc>
      </w:tr>
      <w:tr w:rsidR="00431CA1" w:rsidRPr="00E4714B" w14:paraId="6CE0ABF7" w14:textId="77777777" w:rsidTr="001510EA">
        <w:trPr>
          <w:trHeight w:val="274"/>
          <w:jc w:val="center"/>
        </w:trPr>
        <w:tc>
          <w:tcPr>
            <w:tcW w:w="1559" w:type="dxa"/>
          </w:tcPr>
          <w:p w14:paraId="2461F725"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TA</w:t>
            </w:r>
          </w:p>
        </w:tc>
        <w:tc>
          <w:tcPr>
            <w:tcW w:w="2605" w:type="dxa"/>
          </w:tcPr>
          <w:p w14:paraId="5D52FFAF"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EX</w:t>
            </w:r>
          </w:p>
        </w:tc>
        <w:tc>
          <w:tcPr>
            <w:tcW w:w="1790" w:type="dxa"/>
          </w:tcPr>
          <w:p w14:paraId="5427D415"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-2.460</w:t>
            </w:r>
          </w:p>
        </w:tc>
        <w:tc>
          <w:tcPr>
            <w:tcW w:w="1275" w:type="dxa"/>
          </w:tcPr>
          <w:p w14:paraId="17001EF8"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 xml:space="preserve">-3.404 </w:t>
            </w:r>
          </w:p>
        </w:tc>
        <w:tc>
          <w:tcPr>
            <w:tcW w:w="2305" w:type="dxa"/>
          </w:tcPr>
          <w:p w14:paraId="7AB0D4CD" w14:textId="77777777" w:rsidR="00431CA1" w:rsidRPr="00E4714B" w:rsidRDefault="00431CA1" w:rsidP="00E4714B">
            <w:pPr>
              <w:jc w:val="center"/>
              <w:rPr>
                <w:rFonts w:ascii="Cambria" w:hAnsi="Cambria" w:cs="Times New Roman"/>
                <w:sz w:val="20"/>
                <w:szCs w:val="20"/>
              </w:rPr>
            </w:pPr>
            <w:r w:rsidRPr="00E4714B">
              <w:rPr>
                <w:rFonts w:ascii="Cambria" w:hAnsi="Cambria" w:cs="Times New Roman"/>
                <w:sz w:val="20"/>
                <w:szCs w:val="20"/>
              </w:rPr>
              <w:t>No cointegration</w:t>
            </w:r>
          </w:p>
        </w:tc>
      </w:tr>
      <w:tr w:rsidR="00431CA1" w:rsidRPr="00E4714B" w14:paraId="56F1767F" w14:textId="77777777" w:rsidTr="001510EA">
        <w:trPr>
          <w:trHeight w:val="274"/>
          <w:jc w:val="center"/>
        </w:trPr>
        <w:tc>
          <w:tcPr>
            <w:tcW w:w="1559" w:type="dxa"/>
          </w:tcPr>
          <w:p w14:paraId="0232075D"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TA</w:t>
            </w:r>
          </w:p>
        </w:tc>
        <w:tc>
          <w:tcPr>
            <w:tcW w:w="2605" w:type="dxa"/>
          </w:tcPr>
          <w:p w14:paraId="54512C29"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IP</w:t>
            </w:r>
          </w:p>
        </w:tc>
        <w:tc>
          <w:tcPr>
            <w:tcW w:w="1790" w:type="dxa"/>
          </w:tcPr>
          <w:p w14:paraId="491815A3"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-2.290</w:t>
            </w:r>
          </w:p>
        </w:tc>
        <w:tc>
          <w:tcPr>
            <w:tcW w:w="1275" w:type="dxa"/>
          </w:tcPr>
          <w:p w14:paraId="3C02D88B"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 xml:space="preserve">-3.404 </w:t>
            </w:r>
          </w:p>
        </w:tc>
        <w:tc>
          <w:tcPr>
            <w:tcW w:w="2305" w:type="dxa"/>
          </w:tcPr>
          <w:p w14:paraId="543A2D87" w14:textId="77777777" w:rsidR="00431CA1" w:rsidRPr="00E4714B" w:rsidRDefault="00431CA1" w:rsidP="00E4714B">
            <w:pPr>
              <w:jc w:val="center"/>
              <w:rPr>
                <w:rFonts w:ascii="Cambria" w:hAnsi="Cambria" w:cs="Times New Roman"/>
                <w:sz w:val="20"/>
                <w:szCs w:val="20"/>
              </w:rPr>
            </w:pPr>
            <w:r w:rsidRPr="00E4714B">
              <w:rPr>
                <w:rFonts w:ascii="Cambria" w:hAnsi="Cambria" w:cs="Times New Roman"/>
                <w:sz w:val="20"/>
                <w:szCs w:val="20"/>
              </w:rPr>
              <w:t>No cointegration</w:t>
            </w:r>
          </w:p>
        </w:tc>
      </w:tr>
      <w:tr w:rsidR="00431CA1" w:rsidRPr="00E4714B" w14:paraId="4B6AB514" w14:textId="77777777" w:rsidTr="001510EA">
        <w:trPr>
          <w:trHeight w:val="274"/>
          <w:jc w:val="center"/>
        </w:trPr>
        <w:tc>
          <w:tcPr>
            <w:tcW w:w="1559" w:type="dxa"/>
          </w:tcPr>
          <w:p w14:paraId="085BD9E8"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GPR</w:t>
            </w:r>
          </w:p>
        </w:tc>
        <w:tc>
          <w:tcPr>
            <w:tcW w:w="2605" w:type="dxa"/>
          </w:tcPr>
          <w:p w14:paraId="46C33EBF"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TA</w:t>
            </w:r>
          </w:p>
        </w:tc>
        <w:tc>
          <w:tcPr>
            <w:tcW w:w="1790" w:type="dxa"/>
          </w:tcPr>
          <w:p w14:paraId="4B4AF855"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-5.745*</w:t>
            </w:r>
          </w:p>
        </w:tc>
        <w:tc>
          <w:tcPr>
            <w:tcW w:w="1275" w:type="dxa"/>
          </w:tcPr>
          <w:p w14:paraId="1625B1A5"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 xml:space="preserve">-3.404 </w:t>
            </w:r>
          </w:p>
        </w:tc>
        <w:tc>
          <w:tcPr>
            <w:tcW w:w="2305" w:type="dxa"/>
          </w:tcPr>
          <w:p w14:paraId="3F1CB579" w14:textId="77777777" w:rsidR="00431CA1" w:rsidRPr="00E4714B" w:rsidRDefault="00431CA1" w:rsidP="00E4714B">
            <w:pPr>
              <w:jc w:val="center"/>
              <w:rPr>
                <w:rFonts w:ascii="Cambria" w:hAnsi="Cambria" w:cs="Times New Roman"/>
                <w:sz w:val="20"/>
                <w:szCs w:val="20"/>
              </w:rPr>
            </w:pPr>
            <w:r w:rsidRPr="00E4714B">
              <w:rPr>
                <w:rFonts w:ascii="Cambria" w:hAnsi="Cambria" w:cs="Times New Roman"/>
                <w:sz w:val="20"/>
                <w:szCs w:val="20"/>
              </w:rPr>
              <w:t>Cointegration</w:t>
            </w:r>
          </w:p>
        </w:tc>
      </w:tr>
      <w:tr w:rsidR="00431CA1" w:rsidRPr="00E4714B" w14:paraId="6347E842" w14:textId="77777777" w:rsidTr="001510EA">
        <w:trPr>
          <w:trHeight w:val="274"/>
          <w:jc w:val="center"/>
        </w:trPr>
        <w:tc>
          <w:tcPr>
            <w:tcW w:w="1559" w:type="dxa"/>
          </w:tcPr>
          <w:p w14:paraId="57B19D1A"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EU</w:t>
            </w:r>
          </w:p>
        </w:tc>
        <w:tc>
          <w:tcPr>
            <w:tcW w:w="2605" w:type="dxa"/>
          </w:tcPr>
          <w:p w14:paraId="53E4CA4E"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TA</w:t>
            </w:r>
          </w:p>
        </w:tc>
        <w:tc>
          <w:tcPr>
            <w:tcW w:w="1790" w:type="dxa"/>
          </w:tcPr>
          <w:p w14:paraId="0B3206B4"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-6.243 *</w:t>
            </w:r>
          </w:p>
        </w:tc>
        <w:tc>
          <w:tcPr>
            <w:tcW w:w="1275" w:type="dxa"/>
          </w:tcPr>
          <w:p w14:paraId="1937DE3E"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eastAsia="Times New Roman" w:hAnsi="Cambria" w:cs="Times New Roman"/>
                <w:iCs/>
                <w:sz w:val="20"/>
                <w:szCs w:val="20"/>
              </w:rPr>
              <w:t xml:space="preserve">-3.404 </w:t>
            </w:r>
          </w:p>
        </w:tc>
        <w:tc>
          <w:tcPr>
            <w:tcW w:w="2305" w:type="dxa"/>
          </w:tcPr>
          <w:p w14:paraId="0F55A281" w14:textId="77777777" w:rsidR="00431CA1" w:rsidRPr="00E4714B" w:rsidRDefault="00431CA1" w:rsidP="00E4714B">
            <w:pPr>
              <w:jc w:val="center"/>
              <w:rPr>
                <w:rFonts w:ascii="Cambria" w:hAnsi="Cambria" w:cs="Times New Roman"/>
                <w:sz w:val="20"/>
                <w:szCs w:val="20"/>
              </w:rPr>
            </w:pPr>
            <w:r w:rsidRPr="00E4714B">
              <w:rPr>
                <w:rFonts w:ascii="Cambria" w:hAnsi="Cambria" w:cs="Times New Roman"/>
                <w:sz w:val="20"/>
                <w:szCs w:val="20"/>
              </w:rPr>
              <w:t>Cointegration</w:t>
            </w:r>
          </w:p>
        </w:tc>
      </w:tr>
      <w:tr w:rsidR="00431CA1" w:rsidRPr="00E4714B" w14:paraId="75032B8B" w14:textId="77777777" w:rsidTr="001510EA">
        <w:trPr>
          <w:trHeight w:val="288"/>
          <w:jc w:val="center"/>
        </w:trPr>
        <w:tc>
          <w:tcPr>
            <w:tcW w:w="9534" w:type="dxa"/>
            <w:gridSpan w:val="5"/>
          </w:tcPr>
          <w:p w14:paraId="58A60B0F" w14:textId="2706F67E" w:rsidR="00431CA1" w:rsidRPr="00E4714B" w:rsidRDefault="00431CA1" w:rsidP="00E4714B">
            <w:pPr>
              <w:jc w:val="both"/>
              <w:rPr>
                <w:rFonts w:ascii="Cambria" w:hAnsi="Cambria" w:cs="Times New Roman"/>
                <w:sz w:val="20"/>
                <w:szCs w:val="20"/>
              </w:rPr>
            </w:pPr>
            <w:r w:rsidRPr="00E4714B">
              <w:rPr>
                <w:rFonts w:ascii="Cambria" w:hAnsi="Cambria" w:cs="Times New Roman"/>
                <w:sz w:val="20"/>
                <w:szCs w:val="20"/>
              </w:rPr>
              <w:t xml:space="preserve">Note: (*) shows rejection of the null hypothesis of no cointegration at </w:t>
            </w:r>
            <w:r w:rsidR="00A33530" w:rsidRPr="00E4714B">
              <w:rPr>
                <w:rFonts w:ascii="Cambria" w:hAnsi="Cambria" w:cs="Times New Roman"/>
                <w:sz w:val="20"/>
                <w:szCs w:val="20"/>
              </w:rPr>
              <w:t xml:space="preserve">a </w:t>
            </w:r>
            <w:r w:rsidRPr="00E4714B">
              <w:rPr>
                <w:rFonts w:ascii="Cambria" w:hAnsi="Cambria" w:cs="Times New Roman"/>
                <w:sz w:val="20"/>
                <w:szCs w:val="20"/>
              </w:rPr>
              <w:t>5% level of significance.</w:t>
            </w:r>
          </w:p>
        </w:tc>
      </w:tr>
    </w:tbl>
    <w:p w14:paraId="15AA5F52" w14:textId="77777777" w:rsidR="00431CA1" w:rsidRPr="00E4714B" w:rsidRDefault="00431CA1" w:rsidP="00E4714B">
      <w:pPr>
        <w:jc w:val="both"/>
        <w:rPr>
          <w:rFonts w:eastAsia="Times New Roman" w:cs="Times New Roman"/>
          <w:iCs/>
          <w:sz w:val="20"/>
          <w:szCs w:val="20"/>
        </w:rPr>
      </w:pPr>
    </w:p>
    <w:p w14:paraId="44178EF3" w14:textId="283DDA68" w:rsidR="00431CA1" w:rsidRPr="00E4714B" w:rsidRDefault="00431CA1" w:rsidP="00E4714B">
      <w:pPr>
        <w:jc w:val="both"/>
        <w:rPr>
          <w:rFonts w:eastAsia="Times New Roman" w:cs="Times New Roman"/>
          <w:iCs/>
          <w:sz w:val="20"/>
          <w:szCs w:val="20"/>
        </w:rPr>
      </w:pPr>
      <w:r w:rsidRPr="00E4714B">
        <w:rPr>
          <w:rFonts w:eastAsia="Times New Roman" w:cs="Times New Roman"/>
          <w:iCs/>
          <w:sz w:val="20"/>
          <w:szCs w:val="20"/>
        </w:rPr>
        <w:t xml:space="preserve">The results </w:t>
      </w:r>
      <w:r w:rsidR="00A33530" w:rsidRPr="00E4714B">
        <w:rPr>
          <w:rFonts w:eastAsia="Times New Roman" w:cs="Times New Roman"/>
          <w:iCs/>
          <w:sz w:val="20"/>
          <w:szCs w:val="20"/>
        </w:rPr>
        <w:t>of</w:t>
      </w:r>
      <w:r w:rsidRPr="00E4714B">
        <w:rPr>
          <w:rFonts w:eastAsia="Times New Roman" w:cs="Times New Roman"/>
          <w:iCs/>
          <w:sz w:val="20"/>
          <w:szCs w:val="20"/>
        </w:rPr>
        <w:t xml:space="preserve"> </w:t>
      </w:r>
      <w:r w:rsidR="00A33530" w:rsidRPr="00E4714B">
        <w:rPr>
          <w:rFonts w:eastAsia="Times New Roman" w:cs="Times New Roman"/>
          <w:iCs/>
          <w:sz w:val="20"/>
          <w:szCs w:val="20"/>
        </w:rPr>
        <w:t xml:space="preserve">the </w:t>
      </w:r>
      <w:r w:rsidRPr="00E4714B">
        <w:rPr>
          <w:rFonts w:eastAsia="Times New Roman" w:cs="Times New Roman"/>
          <w:iCs/>
          <w:sz w:val="20"/>
          <w:szCs w:val="20"/>
        </w:rPr>
        <w:t xml:space="preserve">Johansen cointegration test are presented in Table </w:t>
      </w:r>
      <w:r w:rsidR="00395218" w:rsidRPr="00E4714B">
        <w:rPr>
          <w:rFonts w:eastAsia="Times New Roman" w:cs="Times New Roman"/>
          <w:iCs/>
          <w:sz w:val="20"/>
          <w:szCs w:val="20"/>
        </w:rPr>
        <w:t>7</w:t>
      </w:r>
      <w:r w:rsidRPr="00E4714B">
        <w:rPr>
          <w:rFonts w:eastAsia="Times New Roman" w:cs="Times New Roman"/>
          <w:iCs/>
          <w:sz w:val="20"/>
          <w:szCs w:val="20"/>
        </w:rPr>
        <w:t xml:space="preserve">. For Model 1 and Model 2 results, it can be seen that the test statistic is smaller than the critical value for maximum rank 1. This indicates that we can reject the null hypothesis of no cointegration. In other words, we accept the null hypothesis that there is one cointegrating equation in both Model 1 and Model 2. Thus, we confirm the long-run cointegrating relationship across tourist arrivals, geopolitical risk, economic uncertainty, trade openness, exchange rate and economic growth. </w:t>
      </w:r>
    </w:p>
    <w:p w14:paraId="296976FF" w14:textId="77777777" w:rsidR="000B5392" w:rsidRPr="00E4714B" w:rsidRDefault="000B5392" w:rsidP="00E4714B">
      <w:pPr>
        <w:jc w:val="both"/>
        <w:rPr>
          <w:rFonts w:eastAsia="Times New Roman" w:cs="Times New Roman"/>
          <w:iCs/>
          <w:sz w:val="20"/>
          <w:szCs w:val="20"/>
        </w:rPr>
      </w:pPr>
    </w:p>
    <w:p w14:paraId="755144AB" w14:textId="304B9A37" w:rsidR="00431CA1" w:rsidRPr="00E4714B" w:rsidRDefault="00431CA1" w:rsidP="00E4714B">
      <w:pPr>
        <w:jc w:val="both"/>
        <w:rPr>
          <w:rFonts w:eastAsia="Times New Roman" w:cs="Times New Roman"/>
          <w:iCs/>
          <w:sz w:val="20"/>
          <w:szCs w:val="20"/>
        </w:rPr>
      </w:pPr>
      <w:r w:rsidRPr="00E4714B">
        <w:rPr>
          <w:rFonts w:eastAsia="Times New Roman" w:cs="Times New Roman"/>
          <w:b/>
          <w:bCs/>
          <w:iCs/>
          <w:sz w:val="20"/>
          <w:szCs w:val="20"/>
        </w:rPr>
        <w:t xml:space="preserve">Table </w:t>
      </w:r>
      <w:r w:rsidR="000B5392" w:rsidRPr="00E4714B">
        <w:rPr>
          <w:rFonts w:eastAsia="Times New Roman" w:cs="Times New Roman"/>
          <w:b/>
          <w:bCs/>
          <w:iCs/>
          <w:sz w:val="20"/>
          <w:szCs w:val="20"/>
        </w:rPr>
        <w:t>7</w:t>
      </w:r>
      <w:r w:rsidR="00686A1D" w:rsidRPr="00E4714B">
        <w:rPr>
          <w:rFonts w:eastAsia="Times New Roman" w:cs="Times New Roman"/>
          <w:b/>
          <w:bCs/>
          <w:iCs/>
          <w:sz w:val="20"/>
          <w:szCs w:val="20"/>
        </w:rPr>
        <w:t>:</w:t>
      </w:r>
      <w:r w:rsidRPr="00E4714B">
        <w:rPr>
          <w:rFonts w:eastAsia="Times New Roman" w:cs="Times New Roman"/>
          <w:b/>
          <w:bCs/>
          <w:iCs/>
          <w:sz w:val="20"/>
          <w:szCs w:val="20"/>
        </w:rPr>
        <w:t xml:space="preserve"> Johansen </w:t>
      </w:r>
      <w:r w:rsidR="00686A1D" w:rsidRPr="00E4714B">
        <w:rPr>
          <w:rFonts w:eastAsia="Times New Roman" w:cs="Times New Roman"/>
          <w:b/>
          <w:bCs/>
          <w:iCs/>
          <w:sz w:val="20"/>
          <w:szCs w:val="20"/>
        </w:rPr>
        <w:t>C</w:t>
      </w:r>
      <w:r w:rsidRPr="00E4714B">
        <w:rPr>
          <w:rFonts w:eastAsia="Times New Roman" w:cs="Times New Roman"/>
          <w:b/>
          <w:bCs/>
          <w:iCs/>
          <w:sz w:val="20"/>
          <w:szCs w:val="20"/>
        </w:rPr>
        <w:t xml:space="preserve">ointegration </w:t>
      </w:r>
      <w:r w:rsidR="00686A1D" w:rsidRPr="00E4714B">
        <w:rPr>
          <w:rFonts w:eastAsia="Times New Roman" w:cs="Times New Roman"/>
          <w:b/>
          <w:bCs/>
          <w:iCs/>
          <w:sz w:val="20"/>
          <w:szCs w:val="20"/>
        </w:rPr>
        <w:t>T</w:t>
      </w:r>
      <w:r w:rsidRPr="00E4714B">
        <w:rPr>
          <w:rFonts w:eastAsia="Times New Roman" w:cs="Times New Roman"/>
          <w:b/>
          <w:bCs/>
          <w:iCs/>
          <w:sz w:val="20"/>
          <w:szCs w:val="20"/>
        </w:rPr>
        <w:t xml:space="preserve">est </w:t>
      </w:r>
      <w:r w:rsidR="00686A1D" w:rsidRPr="00E4714B">
        <w:rPr>
          <w:rFonts w:eastAsia="Times New Roman" w:cs="Times New Roman"/>
          <w:b/>
          <w:bCs/>
          <w:iCs/>
          <w:sz w:val="20"/>
          <w:szCs w:val="20"/>
        </w:rPr>
        <w:t>R</w:t>
      </w:r>
      <w:r w:rsidRPr="00E4714B">
        <w:rPr>
          <w:rFonts w:eastAsia="Times New Roman" w:cs="Times New Roman"/>
          <w:b/>
          <w:bCs/>
          <w:iCs/>
          <w:sz w:val="20"/>
          <w:szCs w:val="20"/>
        </w:rPr>
        <w:t>esults</w:t>
      </w:r>
    </w:p>
    <w:tbl>
      <w:tblPr>
        <w:tblStyle w:val="TableGrid"/>
        <w:tblW w:w="9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2439"/>
        <w:gridCol w:w="2440"/>
        <w:gridCol w:w="2299"/>
      </w:tblGrid>
      <w:tr w:rsidR="00431CA1" w:rsidRPr="00E4714B" w14:paraId="798FCD07" w14:textId="77777777" w:rsidTr="001510EA">
        <w:trPr>
          <w:trHeight w:val="548"/>
          <w:jc w:val="center"/>
        </w:trPr>
        <w:tc>
          <w:tcPr>
            <w:tcW w:w="9492" w:type="dxa"/>
            <w:gridSpan w:val="4"/>
            <w:tcBorders>
              <w:top w:val="single" w:sz="4" w:space="0" w:color="auto"/>
              <w:bottom w:val="single" w:sz="4" w:space="0" w:color="auto"/>
            </w:tcBorders>
          </w:tcPr>
          <w:p w14:paraId="49C44689" w14:textId="77777777" w:rsidR="00431CA1" w:rsidRPr="00E4714B" w:rsidRDefault="00431CA1" w:rsidP="00E4714B">
            <w:pP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 xml:space="preserve">Model 1 </w:t>
            </w:r>
          </w:p>
          <w:p w14:paraId="09D2DDB3"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b/>
                <w:bCs/>
                <w:iCs/>
                <w:sz w:val="20"/>
                <w:szCs w:val="20"/>
              </w:rPr>
              <w:t>TA</w:t>
            </w:r>
            <w:r w:rsidRPr="00E4714B">
              <w:rPr>
                <w:rFonts w:ascii="Cambria" w:eastAsia="Times New Roman" w:hAnsi="Cambria" w:cs="Times New Roman"/>
                <w:b/>
                <w:bCs/>
                <w:iCs/>
                <w:sz w:val="20"/>
                <w:szCs w:val="20"/>
                <w:vertAlign w:val="subscript"/>
              </w:rPr>
              <w:t>t</w:t>
            </w:r>
            <w:r w:rsidRPr="00E4714B">
              <w:rPr>
                <w:rFonts w:ascii="Cambria" w:eastAsia="Times New Roman" w:hAnsi="Cambria" w:cs="Times New Roman"/>
                <w:b/>
                <w:bCs/>
                <w:iCs/>
                <w:sz w:val="20"/>
                <w:szCs w:val="20"/>
              </w:rPr>
              <w:t xml:space="preserve"> = f(GPR</w:t>
            </w:r>
            <w:r w:rsidRPr="00E4714B">
              <w:rPr>
                <w:rFonts w:ascii="Cambria" w:eastAsia="Times New Roman" w:hAnsi="Cambria" w:cs="Times New Roman"/>
                <w:b/>
                <w:bCs/>
                <w:iCs/>
                <w:sz w:val="20"/>
                <w:szCs w:val="20"/>
                <w:vertAlign w:val="subscript"/>
              </w:rPr>
              <w:t>t</w:t>
            </w:r>
            <w:r w:rsidRPr="00E4714B">
              <w:rPr>
                <w:rFonts w:ascii="Cambria" w:eastAsia="Times New Roman" w:hAnsi="Cambria" w:cs="Times New Roman"/>
                <w:b/>
                <w:bCs/>
                <w:iCs/>
                <w:sz w:val="20"/>
                <w:szCs w:val="20"/>
              </w:rPr>
              <w:t>, EM</w:t>
            </w:r>
            <w:r w:rsidRPr="00E4714B">
              <w:rPr>
                <w:rFonts w:ascii="Cambria" w:eastAsia="Times New Roman" w:hAnsi="Cambria" w:cs="Times New Roman"/>
                <w:b/>
                <w:bCs/>
                <w:iCs/>
                <w:sz w:val="20"/>
                <w:szCs w:val="20"/>
                <w:vertAlign w:val="subscript"/>
              </w:rPr>
              <w:t>t</w:t>
            </w:r>
            <w:r w:rsidRPr="00E4714B">
              <w:rPr>
                <w:rFonts w:ascii="Cambria" w:eastAsia="Times New Roman" w:hAnsi="Cambria" w:cs="Times New Roman"/>
                <w:b/>
                <w:bCs/>
                <w:iCs/>
                <w:sz w:val="20"/>
                <w:szCs w:val="20"/>
              </w:rPr>
              <w:t>, EX</w:t>
            </w:r>
            <w:r w:rsidRPr="00E4714B">
              <w:rPr>
                <w:rFonts w:ascii="Cambria" w:eastAsia="Times New Roman" w:hAnsi="Cambria" w:cs="Times New Roman"/>
                <w:b/>
                <w:bCs/>
                <w:iCs/>
                <w:sz w:val="20"/>
                <w:szCs w:val="20"/>
                <w:vertAlign w:val="subscript"/>
              </w:rPr>
              <w:t>t</w:t>
            </w:r>
            <w:r w:rsidRPr="00E4714B">
              <w:rPr>
                <w:rFonts w:ascii="Cambria" w:eastAsia="Times New Roman" w:hAnsi="Cambria" w:cs="Times New Roman"/>
                <w:b/>
                <w:bCs/>
                <w:iCs/>
                <w:sz w:val="20"/>
                <w:szCs w:val="20"/>
              </w:rPr>
              <w:t>, IP</w:t>
            </w:r>
            <w:r w:rsidRPr="00E4714B">
              <w:rPr>
                <w:rFonts w:ascii="Cambria" w:eastAsia="Times New Roman" w:hAnsi="Cambria" w:cs="Times New Roman"/>
                <w:b/>
                <w:bCs/>
                <w:iCs/>
                <w:sz w:val="20"/>
                <w:szCs w:val="20"/>
                <w:vertAlign w:val="subscript"/>
              </w:rPr>
              <w:t>t</w:t>
            </w:r>
            <w:r w:rsidRPr="00E4714B">
              <w:rPr>
                <w:rFonts w:ascii="Cambria" w:eastAsia="Times New Roman" w:hAnsi="Cambria" w:cs="Times New Roman"/>
                <w:b/>
                <w:bCs/>
                <w:iCs/>
                <w:sz w:val="20"/>
                <w:szCs w:val="20"/>
              </w:rPr>
              <w:t>)</w:t>
            </w:r>
          </w:p>
        </w:tc>
      </w:tr>
      <w:tr w:rsidR="00431CA1" w:rsidRPr="00E4714B" w14:paraId="7CAD7BB8" w14:textId="77777777" w:rsidTr="001510EA">
        <w:trPr>
          <w:trHeight w:val="274"/>
          <w:jc w:val="center"/>
        </w:trPr>
        <w:tc>
          <w:tcPr>
            <w:tcW w:w="2314" w:type="dxa"/>
            <w:tcBorders>
              <w:top w:val="single" w:sz="4" w:space="0" w:color="auto"/>
              <w:bottom w:val="single" w:sz="4" w:space="0" w:color="auto"/>
            </w:tcBorders>
          </w:tcPr>
          <w:p w14:paraId="1CB97DCE" w14:textId="77777777" w:rsidR="00431CA1" w:rsidRPr="00E4714B" w:rsidRDefault="00431CA1" w:rsidP="00E4714B">
            <w:pP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Maximum Rank</w:t>
            </w:r>
          </w:p>
        </w:tc>
        <w:tc>
          <w:tcPr>
            <w:tcW w:w="2439" w:type="dxa"/>
            <w:tcBorders>
              <w:top w:val="single" w:sz="4" w:space="0" w:color="auto"/>
              <w:bottom w:val="single" w:sz="4" w:space="0" w:color="auto"/>
            </w:tcBorders>
          </w:tcPr>
          <w:p w14:paraId="131C0FD8"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Eigenvalue</w:t>
            </w:r>
          </w:p>
        </w:tc>
        <w:tc>
          <w:tcPr>
            <w:tcW w:w="2440" w:type="dxa"/>
            <w:tcBorders>
              <w:top w:val="single" w:sz="4" w:space="0" w:color="auto"/>
              <w:bottom w:val="single" w:sz="4" w:space="0" w:color="auto"/>
            </w:tcBorders>
          </w:tcPr>
          <w:p w14:paraId="36989A4D"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Trace statistic</w:t>
            </w:r>
          </w:p>
        </w:tc>
        <w:tc>
          <w:tcPr>
            <w:tcW w:w="2299" w:type="dxa"/>
            <w:tcBorders>
              <w:top w:val="single" w:sz="4" w:space="0" w:color="auto"/>
              <w:bottom w:val="single" w:sz="4" w:space="0" w:color="auto"/>
            </w:tcBorders>
          </w:tcPr>
          <w:p w14:paraId="176444BB"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Critical value</w:t>
            </w:r>
          </w:p>
        </w:tc>
      </w:tr>
      <w:tr w:rsidR="00431CA1" w:rsidRPr="00E4714B" w14:paraId="3439968C" w14:textId="77777777" w:rsidTr="001510EA">
        <w:trPr>
          <w:trHeight w:val="274"/>
          <w:jc w:val="center"/>
        </w:trPr>
        <w:tc>
          <w:tcPr>
            <w:tcW w:w="2314" w:type="dxa"/>
            <w:tcBorders>
              <w:top w:val="single" w:sz="4" w:space="0" w:color="auto"/>
            </w:tcBorders>
          </w:tcPr>
          <w:p w14:paraId="26702E1E"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0</w:t>
            </w:r>
          </w:p>
        </w:tc>
        <w:tc>
          <w:tcPr>
            <w:tcW w:w="2439" w:type="dxa"/>
            <w:tcBorders>
              <w:top w:val="single" w:sz="4" w:space="0" w:color="auto"/>
            </w:tcBorders>
          </w:tcPr>
          <w:p w14:paraId="38A5FA82"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 xml:space="preserve">      .</w:t>
            </w:r>
          </w:p>
        </w:tc>
        <w:tc>
          <w:tcPr>
            <w:tcW w:w="2440" w:type="dxa"/>
            <w:tcBorders>
              <w:top w:val="single" w:sz="4" w:space="0" w:color="auto"/>
            </w:tcBorders>
          </w:tcPr>
          <w:p w14:paraId="52881D40"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 xml:space="preserve">95.3105     </w:t>
            </w:r>
          </w:p>
        </w:tc>
        <w:tc>
          <w:tcPr>
            <w:tcW w:w="2299" w:type="dxa"/>
            <w:tcBorders>
              <w:top w:val="single" w:sz="4" w:space="0" w:color="auto"/>
            </w:tcBorders>
          </w:tcPr>
          <w:p w14:paraId="4AD6F9CA"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68.52</w:t>
            </w:r>
          </w:p>
        </w:tc>
      </w:tr>
      <w:tr w:rsidR="00431CA1" w:rsidRPr="00E4714B" w14:paraId="7BA423DF" w14:textId="77777777" w:rsidTr="001510EA">
        <w:trPr>
          <w:trHeight w:val="288"/>
          <w:jc w:val="center"/>
        </w:trPr>
        <w:tc>
          <w:tcPr>
            <w:tcW w:w="2314" w:type="dxa"/>
          </w:tcPr>
          <w:p w14:paraId="20513C5F"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1</w:t>
            </w:r>
          </w:p>
        </w:tc>
        <w:tc>
          <w:tcPr>
            <w:tcW w:w="2439" w:type="dxa"/>
          </w:tcPr>
          <w:p w14:paraId="6785D53C"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0.59898</w:t>
            </w:r>
          </w:p>
        </w:tc>
        <w:tc>
          <w:tcPr>
            <w:tcW w:w="2440" w:type="dxa"/>
          </w:tcPr>
          <w:p w14:paraId="14525F01"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45.0550*</w:t>
            </w:r>
          </w:p>
        </w:tc>
        <w:tc>
          <w:tcPr>
            <w:tcW w:w="2299" w:type="dxa"/>
          </w:tcPr>
          <w:p w14:paraId="371354AC"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47.21</w:t>
            </w:r>
          </w:p>
        </w:tc>
      </w:tr>
      <w:tr w:rsidR="00431CA1" w:rsidRPr="00E4714B" w14:paraId="7002F867" w14:textId="77777777" w:rsidTr="001510EA">
        <w:trPr>
          <w:trHeight w:val="274"/>
          <w:jc w:val="center"/>
        </w:trPr>
        <w:tc>
          <w:tcPr>
            <w:tcW w:w="2314" w:type="dxa"/>
          </w:tcPr>
          <w:p w14:paraId="63011699"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2</w:t>
            </w:r>
          </w:p>
        </w:tc>
        <w:tc>
          <w:tcPr>
            <w:tcW w:w="2439" w:type="dxa"/>
          </w:tcPr>
          <w:p w14:paraId="3BCCDDB3"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0.36654</w:t>
            </w:r>
          </w:p>
        </w:tc>
        <w:tc>
          <w:tcPr>
            <w:tcW w:w="2440" w:type="dxa"/>
          </w:tcPr>
          <w:p w14:paraId="3D61E801"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19.9444</w:t>
            </w:r>
          </w:p>
        </w:tc>
        <w:tc>
          <w:tcPr>
            <w:tcW w:w="2299" w:type="dxa"/>
          </w:tcPr>
          <w:p w14:paraId="700E4F3E"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29.68</w:t>
            </w:r>
          </w:p>
        </w:tc>
      </w:tr>
      <w:tr w:rsidR="00431CA1" w:rsidRPr="00E4714B" w14:paraId="5FD1340B" w14:textId="77777777" w:rsidTr="001510EA">
        <w:trPr>
          <w:trHeight w:val="274"/>
          <w:jc w:val="center"/>
        </w:trPr>
        <w:tc>
          <w:tcPr>
            <w:tcW w:w="2314" w:type="dxa"/>
          </w:tcPr>
          <w:p w14:paraId="3D00836D"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3</w:t>
            </w:r>
          </w:p>
        </w:tc>
        <w:tc>
          <w:tcPr>
            <w:tcW w:w="2439" w:type="dxa"/>
          </w:tcPr>
          <w:p w14:paraId="57BEB7C0"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0.23693</w:t>
            </w:r>
          </w:p>
        </w:tc>
        <w:tc>
          <w:tcPr>
            <w:tcW w:w="2440" w:type="dxa"/>
          </w:tcPr>
          <w:p w14:paraId="4A9C21B5"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5.0718</w:t>
            </w:r>
          </w:p>
        </w:tc>
        <w:tc>
          <w:tcPr>
            <w:tcW w:w="2299" w:type="dxa"/>
          </w:tcPr>
          <w:p w14:paraId="62C5F83D"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15.41</w:t>
            </w:r>
          </w:p>
        </w:tc>
      </w:tr>
      <w:tr w:rsidR="00431CA1" w:rsidRPr="00E4714B" w14:paraId="56D0F445" w14:textId="77777777" w:rsidTr="001510EA">
        <w:trPr>
          <w:trHeight w:val="274"/>
          <w:jc w:val="center"/>
        </w:trPr>
        <w:tc>
          <w:tcPr>
            <w:tcW w:w="2314" w:type="dxa"/>
            <w:tcBorders>
              <w:bottom w:val="single" w:sz="4" w:space="0" w:color="auto"/>
            </w:tcBorders>
          </w:tcPr>
          <w:p w14:paraId="77C67BCF"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4</w:t>
            </w:r>
          </w:p>
        </w:tc>
        <w:tc>
          <w:tcPr>
            <w:tcW w:w="2439" w:type="dxa"/>
            <w:tcBorders>
              <w:bottom w:val="single" w:sz="4" w:space="0" w:color="auto"/>
            </w:tcBorders>
          </w:tcPr>
          <w:p w14:paraId="1488B108"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0.07246</w:t>
            </w:r>
          </w:p>
        </w:tc>
        <w:tc>
          <w:tcPr>
            <w:tcW w:w="2440" w:type="dxa"/>
            <w:tcBorders>
              <w:bottom w:val="single" w:sz="4" w:space="0" w:color="auto"/>
            </w:tcBorders>
          </w:tcPr>
          <w:p w14:paraId="5AFC4B0F"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0.9346</w:t>
            </w:r>
          </w:p>
        </w:tc>
        <w:tc>
          <w:tcPr>
            <w:tcW w:w="2299" w:type="dxa"/>
            <w:tcBorders>
              <w:bottom w:val="single" w:sz="4" w:space="0" w:color="auto"/>
            </w:tcBorders>
          </w:tcPr>
          <w:p w14:paraId="1BD85F69"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3.76</w:t>
            </w:r>
          </w:p>
        </w:tc>
      </w:tr>
      <w:tr w:rsidR="00431CA1" w:rsidRPr="00E4714B" w14:paraId="7B6A152A" w14:textId="77777777" w:rsidTr="001510EA">
        <w:trPr>
          <w:trHeight w:val="562"/>
          <w:jc w:val="center"/>
        </w:trPr>
        <w:tc>
          <w:tcPr>
            <w:tcW w:w="9492" w:type="dxa"/>
            <w:gridSpan w:val="4"/>
            <w:tcBorders>
              <w:top w:val="single" w:sz="4" w:space="0" w:color="auto"/>
              <w:bottom w:val="single" w:sz="4" w:space="0" w:color="auto"/>
            </w:tcBorders>
          </w:tcPr>
          <w:p w14:paraId="2937CC97" w14:textId="77777777" w:rsidR="00431CA1" w:rsidRPr="00E4714B" w:rsidRDefault="00431CA1" w:rsidP="00E4714B">
            <w:pP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Model 2</w:t>
            </w:r>
          </w:p>
          <w:p w14:paraId="5CB0884F"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b/>
                <w:bCs/>
                <w:iCs/>
                <w:sz w:val="20"/>
                <w:szCs w:val="20"/>
              </w:rPr>
              <w:t>TA</w:t>
            </w:r>
            <w:r w:rsidRPr="00E4714B">
              <w:rPr>
                <w:rFonts w:ascii="Cambria" w:eastAsia="Times New Roman" w:hAnsi="Cambria" w:cs="Times New Roman"/>
                <w:b/>
                <w:bCs/>
                <w:iCs/>
                <w:sz w:val="20"/>
                <w:szCs w:val="20"/>
                <w:vertAlign w:val="subscript"/>
              </w:rPr>
              <w:t>t</w:t>
            </w:r>
            <w:r w:rsidRPr="00E4714B">
              <w:rPr>
                <w:rFonts w:ascii="Cambria" w:eastAsia="Times New Roman" w:hAnsi="Cambria" w:cs="Times New Roman"/>
                <w:b/>
                <w:bCs/>
                <w:iCs/>
                <w:sz w:val="20"/>
                <w:szCs w:val="20"/>
              </w:rPr>
              <w:t xml:space="preserve"> = f(EU, EM</w:t>
            </w:r>
            <w:r w:rsidRPr="00E4714B">
              <w:rPr>
                <w:rFonts w:ascii="Cambria" w:eastAsia="Times New Roman" w:hAnsi="Cambria" w:cs="Times New Roman"/>
                <w:b/>
                <w:bCs/>
                <w:iCs/>
                <w:sz w:val="20"/>
                <w:szCs w:val="20"/>
                <w:vertAlign w:val="subscript"/>
              </w:rPr>
              <w:t>t</w:t>
            </w:r>
            <w:r w:rsidRPr="00E4714B">
              <w:rPr>
                <w:rFonts w:ascii="Cambria" w:eastAsia="Times New Roman" w:hAnsi="Cambria" w:cs="Times New Roman"/>
                <w:b/>
                <w:bCs/>
                <w:iCs/>
                <w:sz w:val="20"/>
                <w:szCs w:val="20"/>
              </w:rPr>
              <w:t>, EX</w:t>
            </w:r>
            <w:r w:rsidRPr="00E4714B">
              <w:rPr>
                <w:rFonts w:ascii="Cambria" w:eastAsia="Times New Roman" w:hAnsi="Cambria" w:cs="Times New Roman"/>
                <w:b/>
                <w:bCs/>
                <w:iCs/>
                <w:sz w:val="20"/>
                <w:szCs w:val="20"/>
                <w:vertAlign w:val="subscript"/>
              </w:rPr>
              <w:t>t</w:t>
            </w:r>
            <w:r w:rsidRPr="00E4714B">
              <w:rPr>
                <w:rFonts w:ascii="Cambria" w:eastAsia="Times New Roman" w:hAnsi="Cambria" w:cs="Times New Roman"/>
                <w:b/>
                <w:bCs/>
                <w:iCs/>
                <w:sz w:val="20"/>
                <w:szCs w:val="20"/>
              </w:rPr>
              <w:t>, IP</w:t>
            </w:r>
            <w:r w:rsidRPr="00E4714B">
              <w:rPr>
                <w:rFonts w:ascii="Cambria" w:eastAsia="Times New Roman" w:hAnsi="Cambria" w:cs="Times New Roman"/>
                <w:b/>
                <w:bCs/>
                <w:iCs/>
                <w:sz w:val="20"/>
                <w:szCs w:val="20"/>
                <w:vertAlign w:val="subscript"/>
              </w:rPr>
              <w:t>t</w:t>
            </w:r>
            <w:r w:rsidRPr="00E4714B">
              <w:rPr>
                <w:rFonts w:ascii="Cambria" w:eastAsia="Times New Roman" w:hAnsi="Cambria" w:cs="Times New Roman"/>
                <w:b/>
                <w:bCs/>
                <w:iCs/>
                <w:sz w:val="20"/>
                <w:szCs w:val="20"/>
              </w:rPr>
              <w:t>)</w:t>
            </w:r>
          </w:p>
        </w:tc>
      </w:tr>
      <w:tr w:rsidR="00431CA1" w:rsidRPr="00E4714B" w14:paraId="09B8922E" w14:textId="77777777" w:rsidTr="001510EA">
        <w:trPr>
          <w:trHeight w:val="288"/>
          <w:jc w:val="center"/>
        </w:trPr>
        <w:tc>
          <w:tcPr>
            <w:tcW w:w="2314" w:type="dxa"/>
            <w:tcBorders>
              <w:top w:val="single" w:sz="4" w:space="0" w:color="auto"/>
              <w:bottom w:val="single" w:sz="4" w:space="0" w:color="auto"/>
            </w:tcBorders>
          </w:tcPr>
          <w:p w14:paraId="2FBADDA0" w14:textId="77777777" w:rsidR="00431CA1" w:rsidRPr="00E4714B" w:rsidRDefault="00431CA1" w:rsidP="00E4714B">
            <w:pP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Maximum Rank</w:t>
            </w:r>
          </w:p>
        </w:tc>
        <w:tc>
          <w:tcPr>
            <w:tcW w:w="2439" w:type="dxa"/>
            <w:tcBorders>
              <w:top w:val="single" w:sz="4" w:space="0" w:color="auto"/>
              <w:bottom w:val="single" w:sz="4" w:space="0" w:color="auto"/>
            </w:tcBorders>
          </w:tcPr>
          <w:p w14:paraId="2ED51639"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Eigenvalue</w:t>
            </w:r>
          </w:p>
        </w:tc>
        <w:tc>
          <w:tcPr>
            <w:tcW w:w="2440" w:type="dxa"/>
            <w:tcBorders>
              <w:top w:val="single" w:sz="4" w:space="0" w:color="auto"/>
              <w:bottom w:val="single" w:sz="4" w:space="0" w:color="auto"/>
            </w:tcBorders>
          </w:tcPr>
          <w:p w14:paraId="3FC24D0B"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Trace statistic</w:t>
            </w:r>
          </w:p>
        </w:tc>
        <w:tc>
          <w:tcPr>
            <w:tcW w:w="2299" w:type="dxa"/>
            <w:tcBorders>
              <w:top w:val="single" w:sz="4" w:space="0" w:color="auto"/>
              <w:bottom w:val="single" w:sz="4" w:space="0" w:color="auto"/>
            </w:tcBorders>
          </w:tcPr>
          <w:p w14:paraId="1C126BA6" w14:textId="77777777" w:rsidR="00431CA1" w:rsidRPr="00E4714B" w:rsidRDefault="00431CA1" w:rsidP="00E4714B">
            <w:pPr>
              <w:jc w:val="center"/>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Critical value</w:t>
            </w:r>
          </w:p>
        </w:tc>
      </w:tr>
      <w:tr w:rsidR="00431CA1" w:rsidRPr="00E4714B" w14:paraId="1CB899F7" w14:textId="77777777" w:rsidTr="001510EA">
        <w:trPr>
          <w:trHeight w:val="274"/>
          <w:jc w:val="center"/>
        </w:trPr>
        <w:tc>
          <w:tcPr>
            <w:tcW w:w="2314" w:type="dxa"/>
            <w:tcBorders>
              <w:top w:val="single" w:sz="4" w:space="0" w:color="auto"/>
            </w:tcBorders>
          </w:tcPr>
          <w:p w14:paraId="08CC9E25"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0</w:t>
            </w:r>
          </w:p>
        </w:tc>
        <w:tc>
          <w:tcPr>
            <w:tcW w:w="2439" w:type="dxa"/>
            <w:tcBorders>
              <w:top w:val="single" w:sz="4" w:space="0" w:color="auto"/>
            </w:tcBorders>
          </w:tcPr>
          <w:p w14:paraId="2CDBA418"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 xml:space="preserve">      .</w:t>
            </w:r>
          </w:p>
        </w:tc>
        <w:tc>
          <w:tcPr>
            <w:tcW w:w="2440" w:type="dxa"/>
            <w:tcBorders>
              <w:top w:val="single" w:sz="4" w:space="0" w:color="auto"/>
            </w:tcBorders>
          </w:tcPr>
          <w:p w14:paraId="0132FE78"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 xml:space="preserve">95.3105     </w:t>
            </w:r>
          </w:p>
        </w:tc>
        <w:tc>
          <w:tcPr>
            <w:tcW w:w="2299" w:type="dxa"/>
            <w:tcBorders>
              <w:top w:val="single" w:sz="4" w:space="0" w:color="auto"/>
            </w:tcBorders>
          </w:tcPr>
          <w:p w14:paraId="1C58FB97"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68.52</w:t>
            </w:r>
          </w:p>
        </w:tc>
      </w:tr>
      <w:tr w:rsidR="00431CA1" w:rsidRPr="00E4714B" w14:paraId="54E3A66B" w14:textId="77777777" w:rsidTr="001510EA">
        <w:trPr>
          <w:trHeight w:val="274"/>
          <w:jc w:val="center"/>
        </w:trPr>
        <w:tc>
          <w:tcPr>
            <w:tcW w:w="2314" w:type="dxa"/>
          </w:tcPr>
          <w:p w14:paraId="70F749FE"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1</w:t>
            </w:r>
          </w:p>
        </w:tc>
        <w:tc>
          <w:tcPr>
            <w:tcW w:w="2439" w:type="dxa"/>
          </w:tcPr>
          <w:p w14:paraId="59DE92BD"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0.59898</w:t>
            </w:r>
          </w:p>
        </w:tc>
        <w:tc>
          <w:tcPr>
            <w:tcW w:w="2440" w:type="dxa"/>
          </w:tcPr>
          <w:p w14:paraId="4AB04FD3"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45.0550*</w:t>
            </w:r>
          </w:p>
        </w:tc>
        <w:tc>
          <w:tcPr>
            <w:tcW w:w="2299" w:type="dxa"/>
          </w:tcPr>
          <w:p w14:paraId="68F33275"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47.21</w:t>
            </w:r>
          </w:p>
        </w:tc>
      </w:tr>
      <w:tr w:rsidR="00431CA1" w:rsidRPr="00E4714B" w14:paraId="35E875EA" w14:textId="77777777" w:rsidTr="001510EA">
        <w:trPr>
          <w:trHeight w:val="274"/>
          <w:jc w:val="center"/>
        </w:trPr>
        <w:tc>
          <w:tcPr>
            <w:tcW w:w="2314" w:type="dxa"/>
          </w:tcPr>
          <w:p w14:paraId="3C7430A3"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2</w:t>
            </w:r>
          </w:p>
        </w:tc>
        <w:tc>
          <w:tcPr>
            <w:tcW w:w="2439" w:type="dxa"/>
          </w:tcPr>
          <w:p w14:paraId="507AA7EB"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0.36654</w:t>
            </w:r>
          </w:p>
        </w:tc>
        <w:tc>
          <w:tcPr>
            <w:tcW w:w="2440" w:type="dxa"/>
          </w:tcPr>
          <w:p w14:paraId="0C88BFE3"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19.9444</w:t>
            </w:r>
          </w:p>
        </w:tc>
        <w:tc>
          <w:tcPr>
            <w:tcW w:w="2299" w:type="dxa"/>
          </w:tcPr>
          <w:p w14:paraId="75360EF3"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29.68</w:t>
            </w:r>
          </w:p>
        </w:tc>
      </w:tr>
      <w:tr w:rsidR="00431CA1" w:rsidRPr="00E4714B" w14:paraId="3F7E0FCE" w14:textId="77777777" w:rsidTr="001510EA">
        <w:trPr>
          <w:trHeight w:val="288"/>
          <w:jc w:val="center"/>
        </w:trPr>
        <w:tc>
          <w:tcPr>
            <w:tcW w:w="2314" w:type="dxa"/>
          </w:tcPr>
          <w:p w14:paraId="320072BE"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3</w:t>
            </w:r>
          </w:p>
        </w:tc>
        <w:tc>
          <w:tcPr>
            <w:tcW w:w="2439" w:type="dxa"/>
          </w:tcPr>
          <w:p w14:paraId="563EA99B"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0.23693</w:t>
            </w:r>
          </w:p>
        </w:tc>
        <w:tc>
          <w:tcPr>
            <w:tcW w:w="2440" w:type="dxa"/>
          </w:tcPr>
          <w:p w14:paraId="3CFD7D32"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5.0718</w:t>
            </w:r>
          </w:p>
        </w:tc>
        <w:tc>
          <w:tcPr>
            <w:tcW w:w="2299" w:type="dxa"/>
          </w:tcPr>
          <w:p w14:paraId="63B8B17E"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15.41</w:t>
            </w:r>
          </w:p>
        </w:tc>
      </w:tr>
      <w:tr w:rsidR="00431CA1" w:rsidRPr="00E4714B" w14:paraId="116C5160" w14:textId="77777777" w:rsidTr="001510EA">
        <w:trPr>
          <w:trHeight w:val="260"/>
          <w:jc w:val="center"/>
        </w:trPr>
        <w:tc>
          <w:tcPr>
            <w:tcW w:w="2314" w:type="dxa"/>
            <w:tcBorders>
              <w:bottom w:val="single" w:sz="4" w:space="0" w:color="auto"/>
            </w:tcBorders>
          </w:tcPr>
          <w:p w14:paraId="6231344A" w14:textId="77777777" w:rsidR="00431CA1" w:rsidRPr="00E4714B" w:rsidRDefault="00431CA1" w:rsidP="00E4714B">
            <w:pPr>
              <w:rPr>
                <w:rFonts w:ascii="Cambria" w:eastAsia="Times New Roman" w:hAnsi="Cambria" w:cs="Times New Roman"/>
                <w:iCs/>
                <w:sz w:val="20"/>
                <w:szCs w:val="20"/>
              </w:rPr>
            </w:pPr>
            <w:r w:rsidRPr="00E4714B">
              <w:rPr>
                <w:rFonts w:ascii="Cambria" w:eastAsia="Times New Roman" w:hAnsi="Cambria" w:cs="Times New Roman"/>
                <w:iCs/>
                <w:sz w:val="20"/>
                <w:szCs w:val="20"/>
              </w:rPr>
              <w:t>4</w:t>
            </w:r>
          </w:p>
        </w:tc>
        <w:tc>
          <w:tcPr>
            <w:tcW w:w="2439" w:type="dxa"/>
            <w:tcBorders>
              <w:bottom w:val="single" w:sz="4" w:space="0" w:color="auto"/>
            </w:tcBorders>
          </w:tcPr>
          <w:p w14:paraId="14AFEEA6"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0.07246</w:t>
            </w:r>
          </w:p>
        </w:tc>
        <w:tc>
          <w:tcPr>
            <w:tcW w:w="2440" w:type="dxa"/>
            <w:tcBorders>
              <w:bottom w:val="single" w:sz="4" w:space="0" w:color="auto"/>
            </w:tcBorders>
          </w:tcPr>
          <w:p w14:paraId="3C632222"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0.9346</w:t>
            </w:r>
          </w:p>
        </w:tc>
        <w:tc>
          <w:tcPr>
            <w:tcW w:w="2299" w:type="dxa"/>
            <w:tcBorders>
              <w:bottom w:val="single" w:sz="4" w:space="0" w:color="auto"/>
            </w:tcBorders>
          </w:tcPr>
          <w:p w14:paraId="4221454C" w14:textId="77777777" w:rsidR="00431CA1" w:rsidRPr="00E4714B" w:rsidRDefault="00431CA1" w:rsidP="00E4714B">
            <w:pPr>
              <w:jc w:val="center"/>
              <w:rPr>
                <w:rFonts w:ascii="Cambria" w:eastAsia="Times New Roman" w:hAnsi="Cambria" w:cs="Times New Roman"/>
                <w:iCs/>
                <w:sz w:val="20"/>
                <w:szCs w:val="20"/>
              </w:rPr>
            </w:pPr>
            <w:r w:rsidRPr="00E4714B">
              <w:rPr>
                <w:rFonts w:ascii="Cambria" w:hAnsi="Cambria" w:cs="Times New Roman"/>
                <w:sz w:val="20"/>
                <w:szCs w:val="20"/>
              </w:rPr>
              <w:t>3.76</w:t>
            </w:r>
          </w:p>
        </w:tc>
      </w:tr>
    </w:tbl>
    <w:p w14:paraId="037A7E69" w14:textId="77777777" w:rsidR="00431CA1" w:rsidRPr="00E4714B" w:rsidRDefault="00431CA1" w:rsidP="00E4714B">
      <w:pPr>
        <w:jc w:val="both"/>
        <w:rPr>
          <w:rFonts w:eastAsia="Times New Roman" w:cs="Times New Roman"/>
          <w:iCs/>
          <w:sz w:val="20"/>
          <w:szCs w:val="20"/>
        </w:rPr>
      </w:pPr>
    </w:p>
    <w:p w14:paraId="4B15DBB6" w14:textId="4B7D3CEA" w:rsidR="00686A1D" w:rsidRPr="00E4714B" w:rsidRDefault="00255A98" w:rsidP="00E4714B">
      <w:pPr>
        <w:jc w:val="both"/>
        <w:rPr>
          <w:rFonts w:eastAsia="Times New Roman" w:cs="Times New Roman"/>
          <w:iCs/>
          <w:sz w:val="20"/>
          <w:szCs w:val="20"/>
        </w:rPr>
      </w:pPr>
      <w:r w:rsidRPr="00E4714B">
        <w:rPr>
          <w:rFonts w:eastAsia="Times New Roman" w:cs="Times New Roman"/>
          <w:iCs/>
          <w:sz w:val="20"/>
          <w:szCs w:val="20"/>
        </w:rPr>
        <w:t xml:space="preserve">The causality analysis of the relationship between Tourist Arrivals (TA), Geopolitical Risk (GPR), Economic Uncertainty (EU), Exchange Rate (EX), Equity Market (EM), and Industrial Production (IP) based on the Vector Error Correction Model (VECM) is presented in Table </w:t>
      </w:r>
      <w:r w:rsidR="00A40DDA" w:rsidRPr="00E4714B">
        <w:rPr>
          <w:rFonts w:eastAsia="Times New Roman" w:cs="Times New Roman"/>
          <w:iCs/>
          <w:sz w:val="20"/>
          <w:szCs w:val="20"/>
        </w:rPr>
        <w:t>8</w:t>
      </w:r>
      <w:r w:rsidRPr="00E4714B">
        <w:rPr>
          <w:rFonts w:eastAsia="Times New Roman" w:cs="Times New Roman"/>
          <w:iCs/>
          <w:sz w:val="20"/>
          <w:szCs w:val="20"/>
        </w:rPr>
        <w:t>. The coefficient of the error correction term in the EU</w:t>
      </w:r>
      <w:r w:rsidRPr="00E4714B">
        <w:rPr>
          <w:rFonts w:eastAsia="Times New Roman" w:cs="Times New Roman"/>
          <w:iCs/>
          <w:sz w:val="20"/>
          <w:szCs w:val="20"/>
          <w:vertAlign w:val="subscript"/>
        </w:rPr>
        <w:t xml:space="preserve">t </w:t>
      </w:r>
      <w:r w:rsidRPr="00E4714B">
        <w:rPr>
          <w:rFonts w:eastAsia="Times New Roman" w:cs="Times New Roman"/>
          <w:iCs/>
          <w:sz w:val="20"/>
          <w:szCs w:val="20"/>
        </w:rPr>
        <w:t>equation is negative and statistically significant. The significance of this coefficient indicates a unidirectional Granger causality from TA to EU. Therefore, this study concludes that changes in tourism are a cause of economic policy uncertainty in Malaysia.</w:t>
      </w:r>
    </w:p>
    <w:p w14:paraId="66DCD42A" w14:textId="77777777" w:rsidR="00255A98" w:rsidRPr="00E4714B" w:rsidRDefault="00255A98" w:rsidP="00E4714B">
      <w:pPr>
        <w:jc w:val="both"/>
        <w:rPr>
          <w:rFonts w:eastAsia="Times New Roman" w:cs="Times New Roman"/>
          <w:iCs/>
          <w:sz w:val="20"/>
          <w:szCs w:val="20"/>
        </w:rPr>
      </w:pPr>
    </w:p>
    <w:p w14:paraId="209AA272" w14:textId="0E265FCD" w:rsidR="00686A1D" w:rsidRPr="00E4714B" w:rsidRDefault="00686A1D" w:rsidP="00E4714B">
      <w:pPr>
        <w:jc w:val="both"/>
        <w:rPr>
          <w:rFonts w:eastAsia="Times New Roman" w:cs="Times New Roman"/>
          <w:b/>
          <w:bCs/>
          <w:iCs/>
          <w:sz w:val="20"/>
          <w:szCs w:val="20"/>
        </w:rPr>
      </w:pPr>
      <w:r w:rsidRPr="00E4714B">
        <w:rPr>
          <w:rFonts w:eastAsia="Times New Roman" w:cs="Times New Roman"/>
          <w:b/>
          <w:bCs/>
          <w:iCs/>
          <w:sz w:val="20"/>
          <w:szCs w:val="20"/>
        </w:rPr>
        <w:lastRenderedPageBreak/>
        <w:t xml:space="preserve">Table </w:t>
      </w:r>
      <w:r w:rsidR="00A40DDA" w:rsidRPr="00E4714B">
        <w:rPr>
          <w:rFonts w:eastAsia="Times New Roman" w:cs="Times New Roman"/>
          <w:b/>
          <w:bCs/>
          <w:iCs/>
          <w:sz w:val="20"/>
          <w:szCs w:val="20"/>
        </w:rPr>
        <w:t>8</w:t>
      </w:r>
      <w:r w:rsidR="00A328E2" w:rsidRPr="00E4714B">
        <w:rPr>
          <w:rFonts w:eastAsia="Times New Roman" w:cs="Times New Roman"/>
          <w:b/>
          <w:bCs/>
          <w:iCs/>
          <w:sz w:val="20"/>
          <w:szCs w:val="20"/>
        </w:rPr>
        <w:t>:</w:t>
      </w:r>
      <w:r w:rsidRPr="00E4714B">
        <w:rPr>
          <w:rFonts w:eastAsia="Times New Roman" w:cs="Times New Roman"/>
          <w:iCs/>
          <w:sz w:val="20"/>
          <w:szCs w:val="20"/>
        </w:rPr>
        <w:t xml:space="preserve"> </w:t>
      </w:r>
      <w:r w:rsidRPr="00E4714B">
        <w:rPr>
          <w:rFonts w:eastAsia="Times New Roman" w:cs="Times New Roman"/>
          <w:b/>
          <w:bCs/>
          <w:iCs/>
          <w:sz w:val="20"/>
          <w:szCs w:val="20"/>
        </w:rPr>
        <w:t>Granger-causality Wald test results</w:t>
      </w:r>
    </w:p>
    <w:tbl>
      <w:tblPr>
        <w:tblStyle w:val="TableGrid"/>
        <w:tblW w:w="9055" w:type="dxa"/>
        <w:tblLook w:val="04A0" w:firstRow="1" w:lastRow="0" w:firstColumn="1" w:lastColumn="0" w:noHBand="0" w:noVBand="1"/>
      </w:tblPr>
      <w:tblGrid>
        <w:gridCol w:w="1367"/>
        <w:gridCol w:w="1541"/>
        <w:gridCol w:w="1298"/>
        <w:gridCol w:w="1276"/>
        <w:gridCol w:w="1156"/>
        <w:gridCol w:w="1131"/>
        <w:gridCol w:w="1286"/>
      </w:tblGrid>
      <w:tr w:rsidR="00236E76" w:rsidRPr="00E4714B" w14:paraId="044EB880" w14:textId="5D2D8639" w:rsidTr="001510EA">
        <w:trPr>
          <w:trHeight w:val="102"/>
        </w:trPr>
        <w:tc>
          <w:tcPr>
            <w:tcW w:w="7638" w:type="dxa"/>
            <w:gridSpan w:val="6"/>
            <w:tcBorders>
              <w:top w:val="single" w:sz="4" w:space="0" w:color="auto"/>
              <w:left w:val="nil"/>
              <w:bottom w:val="single" w:sz="4" w:space="0" w:color="auto"/>
              <w:right w:val="nil"/>
            </w:tcBorders>
          </w:tcPr>
          <w:p w14:paraId="6756B445" w14:textId="77777777" w:rsidR="00236E76" w:rsidRPr="00E4714B" w:rsidRDefault="00236E76" w:rsidP="00E4714B">
            <w:pPr>
              <w:contextualSpacing/>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Panel A: Relationship between GPR and TA</w:t>
            </w:r>
          </w:p>
        </w:tc>
        <w:tc>
          <w:tcPr>
            <w:tcW w:w="1417" w:type="dxa"/>
            <w:tcBorders>
              <w:top w:val="single" w:sz="4" w:space="0" w:color="auto"/>
              <w:left w:val="nil"/>
              <w:bottom w:val="single" w:sz="4" w:space="0" w:color="auto"/>
              <w:right w:val="nil"/>
            </w:tcBorders>
          </w:tcPr>
          <w:p w14:paraId="36833371" w14:textId="77777777" w:rsidR="00236E76" w:rsidRPr="00E4714B" w:rsidRDefault="00236E76" w:rsidP="00E4714B">
            <w:pPr>
              <w:contextualSpacing/>
              <w:rPr>
                <w:rFonts w:ascii="Cambria" w:eastAsia="Times New Roman" w:hAnsi="Cambria" w:cs="Times New Roman"/>
                <w:b/>
                <w:bCs/>
                <w:iCs/>
                <w:sz w:val="20"/>
                <w:szCs w:val="20"/>
              </w:rPr>
            </w:pPr>
          </w:p>
        </w:tc>
      </w:tr>
      <w:tr w:rsidR="00236E76" w:rsidRPr="00E4714B" w14:paraId="59B8271D" w14:textId="62593DC1" w:rsidTr="001510EA">
        <w:trPr>
          <w:trHeight w:val="102"/>
        </w:trPr>
        <w:tc>
          <w:tcPr>
            <w:tcW w:w="1427" w:type="dxa"/>
            <w:tcBorders>
              <w:top w:val="single" w:sz="4" w:space="0" w:color="auto"/>
              <w:left w:val="nil"/>
              <w:bottom w:val="single" w:sz="4" w:space="0" w:color="auto"/>
              <w:right w:val="nil"/>
            </w:tcBorders>
          </w:tcPr>
          <w:p w14:paraId="5B08BC86" w14:textId="77777777" w:rsidR="00236E76" w:rsidRPr="00E4714B" w:rsidRDefault="00236E76" w:rsidP="00E4714B">
            <w:pPr>
              <w:contextualSpacing/>
              <w:rPr>
                <w:rFonts w:ascii="Cambria" w:hAnsi="Cambria" w:cs="Times New Roman"/>
                <w:b/>
                <w:bCs/>
                <w:sz w:val="20"/>
                <w:szCs w:val="20"/>
              </w:rPr>
            </w:pPr>
            <w:r w:rsidRPr="00E4714B">
              <w:rPr>
                <w:rFonts w:ascii="Cambria" w:hAnsi="Cambria" w:cs="Times New Roman"/>
                <w:b/>
                <w:bCs/>
                <w:sz w:val="20"/>
                <w:szCs w:val="20"/>
              </w:rPr>
              <w:t>Dependent variable</w:t>
            </w:r>
          </w:p>
        </w:tc>
        <w:tc>
          <w:tcPr>
            <w:tcW w:w="1413" w:type="dxa"/>
            <w:tcBorders>
              <w:top w:val="single" w:sz="4" w:space="0" w:color="auto"/>
              <w:left w:val="nil"/>
              <w:bottom w:val="single" w:sz="4" w:space="0" w:color="auto"/>
              <w:right w:val="nil"/>
            </w:tcBorders>
          </w:tcPr>
          <w:p w14:paraId="79353918" w14:textId="67F0A2D1" w:rsidR="00236E76" w:rsidRPr="00E4714B" w:rsidRDefault="00A33530" w:rsidP="00E4714B">
            <w:pPr>
              <w:contextualSpacing/>
              <w:rPr>
                <w:rFonts w:ascii="Cambria" w:eastAsia="Times New Roman" w:hAnsi="Cambria" w:cs="Times New Roman"/>
                <w:b/>
                <w:bCs/>
                <w:iCs/>
                <w:sz w:val="20"/>
                <w:szCs w:val="20"/>
              </w:rPr>
            </w:pPr>
            <m:oMathPara>
              <m:oMath>
                <m:r>
                  <m:rPr>
                    <m:sty m:val="bi"/>
                  </m:rPr>
                  <w:rPr>
                    <w:rFonts w:ascii="Cambria Math" w:eastAsia="Times New Roman" w:hAnsi="Cambria Math" w:cs="Times New Roman"/>
                    <w:sz w:val="20"/>
                    <w:szCs w:val="20"/>
                  </w:rPr>
                  <m:t xml:space="preserve">the </m:t>
                </m:r>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TA</m:t>
                        </m:r>
                      </m:e>
                      <m:sub>
                        <m:r>
                          <m:rPr>
                            <m:sty m:val="bi"/>
                          </m:rPr>
                          <w:rPr>
                            <w:rFonts w:ascii="Cambria Math" w:eastAsia="Times New Roman" w:hAnsi="Cambria Math" w:cs="Times New Roman"/>
                            <w:sz w:val="20"/>
                            <w:szCs w:val="20"/>
                          </w:rPr>
                          <m:t>t-1</m:t>
                        </m:r>
                      </m:sub>
                    </m:sSub>
                  </m:e>
                </m:nary>
              </m:oMath>
            </m:oMathPara>
          </w:p>
        </w:tc>
        <w:tc>
          <w:tcPr>
            <w:tcW w:w="1194" w:type="dxa"/>
            <w:tcBorders>
              <w:top w:val="single" w:sz="4" w:space="0" w:color="auto"/>
              <w:left w:val="nil"/>
              <w:bottom w:val="single" w:sz="4" w:space="0" w:color="auto"/>
              <w:right w:val="nil"/>
            </w:tcBorders>
          </w:tcPr>
          <w:p w14:paraId="09DC3473" w14:textId="7910AB66" w:rsidR="00236E76" w:rsidRPr="00E4714B" w:rsidRDefault="00000000" w:rsidP="00E4714B">
            <w:pPr>
              <w:contextualSpacing/>
              <w:rPr>
                <w:rFonts w:ascii="Cambria" w:eastAsia="Times New Roman" w:hAnsi="Cambria" w:cs="Times New Roman"/>
                <w:b/>
                <w:bCs/>
                <w:iCs/>
                <w:sz w:val="20"/>
                <w:szCs w:val="20"/>
              </w:rPr>
            </w:pPr>
            <m:oMathPara>
              <m:oMath>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GPR</m:t>
                        </m:r>
                      </m:e>
                      <m:sub>
                        <m:r>
                          <m:rPr>
                            <m:sty m:val="bi"/>
                          </m:rPr>
                          <w:rPr>
                            <w:rFonts w:ascii="Cambria Math" w:eastAsia="Times New Roman" w:hAnsi="Cambria Math" w:cs="Times New Roman"/>
                            <w:sz w:val="20"/>
                            <w:szCs w:val="20"/>
                          </w:rPr>
                          <m:t>t-1</m:t>
                        </m:r>
                      </m:sub>
                    </m:sSub>
                  </m:e>
                </m:nary>
              </m:oMath>
            </m:oMathPara>
          </w:p>
        </w:tc>
        <w:tc>
          <w:tcPr>
            <w:tcW w:w="1309" w:type="dxa"/>
            <w:tcBorders>
              <w:top w:val="single" w:sz="4" w:space="0" w:color="auto"/>
              <w:left w:val="nil"/>
              <w:bottom w:val="single" w:sz="4" w:space="0" w:color="auto"/>
              <w:right w:val="nil"/>
            </w:tcBorders>
          </w:tcPr>
          <w:p w14:paraId="5FD4D473" w14:textId="6DF4AAAA" w:rsidR="00236E76" w:rsidRPr="00E4714B" w:rsidRDefault="00000000" w:rsidP="00E4714B">
            <w:pPr>
              <w:contextualSpacing/>
              <w:rPr>
                <w:rFonts w:ascii="Cambria" w:eastAsia="Times New Roman" w:hAnsi="Cambria" w:cs="Times New Roman"/>
                <w:b/>
                <w:bCs/>
                <w:iCs/>
                <w:sz w:val="20"/>
                <w:szCs w:val="20"/>
              </w:rPr>
            </w:pPr>
            <m:oMathPara>
              <m:oMath>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EM</m:t>
                        </m:r>
                      </m:e>
                      <m:sub>
                        <m:r>
                          <m:rPr>
                            <m:sty m:val="bi"/>
                          </m:rPr>
                          <w:rPr>
                            <w:rFonts w:ascii="Cambria Math" w:eastAsia="Times New Roman" w:hAnsi="Cambria Math" w:cs="Times New Roman"/>
                            <w:sz w:val="20"/>
                            <w:szCs w:val="20"/>
                          </w:rPr>
                          <m:t>t-1</m:t>
                        </m:r>
                      </m:sub>
                    </m:sSub>
                  </m:e>
                </m:nary>
              </m:oMath>
            </m:oMathPara>
          </w:p>
        </w:tc>
        <w:tc>
          <w:tcPr>
            <w:tcW w:w="1156" w:type="dxa"/>
            <w:tcBorders>
              <w:top w:val="single" w:sz="4" w:space="0" w:color="auto"/>
              <w:left w:val="nil"/>
              <w:bottom w:val="single" w:sz="4" w:space="0" w:color="auto"/>
              <w:right w:val="nil"/>
            </w:tcBorders>
          </w:tcPr>
          <w:p w14:paraId="02E73438" w14:textId="3F7A20B3" w:rsidR="00236E76" w:rsidRPr="00E4714B" w:rsidRDefault="00000000" w:rsidP="00E4714B">
            <w:pPr>
              <w:contextualSpacing/>
              <w:rPr>
                <w:rFonts w:ascii="Cambria" w:eastAsia="Times New Roman" w:hAnsi="Cambria" w:cs="Times New Roman"/>
                <w:b/>
                <w:bCs/>
                <w:iCs/>
                <w:sz w:val="20"/>
                <w:szCs w:val="20"/>
              </w:rPr>
            </w:pPr>
            <m:oMathPara>
              <m:oMath>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EX</m:t>
                        </m:r>
                      </m:e>
                      <m:sub>
                        <m:r>
                          <m:rPr>
                            <m:sty m:val="bi"/>
                          </m:rPr>
                          <w:rPr>
                            <w:rFonts w:ascii="Cambria Math" w:eastAsia="Times New Roman" w:hAnsi="Cambria Math" w:cs="Times New Roman"/>
                            <w:sz w:val="20"/>
                            <w:szCs w:val="20"/>
                          </w:rPr>
                          <m:t>t-1</m:t>
                        </m:r>
                      </m:sub>
                    </m:sSub>
                  </m:e>
                </m:nary>
              </m:oMath>
            </m:oMathPara>
          </w:p>
        </w:tc>
        <w:tc>
          <w:tcPr>
            <w:tcW w:w="1139" w:type="dxa"/>
            <w:tcBorders>
              <w:top w:val="single" w:sz="4" w:space="0" w:color="auto"/>
              <w:left w:val="nil"/>
              <w:bottom w:val="single" w:sz="4" w:space="0" w:color="auto"/>
              <w:right w:val="nil"/>
            </w:tcBorders>
          </w:tcPr>
          <w:p w14:paraId="7ACB0628" w14:textId="05174444" w:rsidR="00236E76" w:rsidRPr="00E4714B" w:rsidRDefault="00000000" w:rsidP="00E4714B">
            <w:pPr>
              <w:contextualSpacing/>
              <w:rPr>
                <w:rFonts w:ascii="Cambria" w:eastAsia="Times New Roman" w:hAnsi="Cambria" w:cs="Times New Roman"/>
                <w:b/>
                <w:bCs/>
                <w:iCs/>
                <w:sz w:val="20"/>
                <w:szCs w:val="20"/>
              </w:rPr>
            </w:pPr>
            <m:oMathPara>
              <m:oMath>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IP</m:t>
                        </m:r>
                      </m:e>
                      <m:sub>
                        <m:r>
                          <m:rPr>
                            <m:sty m:val="bi"/>
                          </m:rPr>
                          <w:rPr>
                            <w:rFonts w:ascii="Cambria Math" w:eastAsia="Times New Roman" w:hAnsi="Cambria Math" w:cs="Times New Roman"/>
                            <w:sz w:val="20"/>
                            <w:szCs w:val="20"/>
                          </w:rPr>
                          <m:t>t-1</m:t>
                        </m:r>
                      </m:sub>
                    </m:sSub>
                  </m:e>
                </m:nary>
              </m:oMath>
            </m:oMathPara>
          </w:p>
        </w:tc>
        <w:tc>
          <w:tcPr>
            <w:tcW w:w="1417" w:type="dxa"/>
            <w:tcBorders>
              <w:top w:val="single" w:sz="4" w:space="0" w:color="auto"/>
              <w:left w:val="nil"/>
              <w:bottom w:val="single" w:sz="4" w:space="0" w:color="auto"/>
              <w:right w:val="nil"/>
            </w:tcBorders>
          </w:tcPr>
          <w:p w14:paraId="14A30ECD" w14:textId="2BCD2399" w:rsidR="00236E76" w:rsidRPr="00E4714B" w:rsidRDefault="00000000" w:rsidP="00E4714B">
            <w:pPr>
              <w:contextualSpacing/>
              <w:rPr>
                <w:rFonts w:ascii="Cambria" w:hAnsi="Cambria"/>
                <w:b/>
                <w:bCs/>
                <w:iCs/>
                <w:sz w:val="20"/>
                <w:szCs w:val="20"/>
              </w:rPr>
            </w:pPr>
            <m:oMathPara>
              <m:oMath>
                <m:sSub>
                  <m:sSubPr>
                    <m:ctrlPr>
                      <w:rPr>
                        <w:rFonts w:ascii="Cambria Math" w:hAnsi="Cambria Math"/>
                        <w:b/>
                        <w:bCs/>
                        <w:i/>
                        <w:iCs/>
                        <w:sz w:val="20"/>
                        <w:szCs w:val="20"/>
                      </w:rPr>
                    </m:ctrlPr>
                  </m:sSubPr>
                  <m:e>
                    <m:r>
                      <m:rPr>
                        <m:sty m:val="bi"/>
                      </m:rPr>
                      <w:rPr>
                        <w:rFonts w:ascii="Cambria Math" w:hAnsi="Cambria Math"/>
                        <w:sz w:val="20"/>
                        <w:szCs w:val="20"/>
                      </w:rPr>
                      <m:t>ECM</m:t>
                    </m:r>
                  </m:e>
                  <m:sub>
                    <m:r>
                      <m:rPr>
                        <m:sty m:val="bi"/>
                      </m:rPr>
                      <w:rPr>
                        <w:rFonts w:ascii="Cambria Math" w:hAnsi="Cambria Math"/>
                        <w:sz w:val="20"/>
                        <w:szCs w:val="20"/>
                      </w:rPr>
                      <m:t>t-1</m:t>
                    </m:r>
                  </m:sub>
                </m:sSub>
              </m:oMath>
            </m:oMathPara>
          </w:p>
        </w:tc>
      </w:tr>
      <w:tr w:rsidR="00236E76" w:rsidRPr="00E4714B" w14:paraId="054EAC71" w14:textId="4E7B8159" w:rsidTr="001510EA">
        <w:trPr>
          <w:trHeight w:val="102"/>
        </w:trPr>
        <w:tc>
          <w:tcPr>
            <w:tcW w:w="1427" w:type="dxa"/>
            <w:tcBorders>
              <w:top w:val="single" w:sz="4" w:space="0" w:color="auto"/>
              <w:left w:val="nil"/>
              <w:bottom w:val="nil"/>
              <w:right w:val="nil"/>
            </w:tcBorders>
          </w:tcPr>
          <w:p w14:paraId="08C17AC0" w14:textId="77777777" w:rsidR="00236E76" w:rsidRPr="00E4714B" w:rsidRDefault="00236E76" w:rsidP="00E4714B">
            <w:pPr>
              <w:contextualSpacing/>
              <w:rPr>
                <w:rFonts w:ascii="Cambria" w:eastAsia="Times New Roman" w:hAnsi="Cambria" w:cs="Times New Roman"/>
                <w:iCs/>
                <w:sz w:val="20"/>
                <w:szCs w:val="20"/>
              </w:rPr>
            </w:pPr>
            <w:r w:rsidRPr="00E4714B">
              <w:rPr>
                <w:rFonts w:ascii="Cambria" w:hAnsi="Cambria" w:cs="Times New Roman"/>
                <w:sz w:val="20"/>
                <w:szCs w:val="20"/>
              </w:rPr>
              <w:t>Δ</w:t>
            </w:r>
            <w:r w:rsidRPr="00E4714B">
              <w:rPr>
                <w:rFonts w:ascii="Cambria" w:eastAsia="Times New Roman" w:hAnsi="Cambria" w:cs="Times New Roman"/>
                <w:iCs/>
                <w:sz w:val="20"/>
                <w:szCs w:val="20"/>
              </w:rPr>
              <w:t xml:space="preserve"> TA</w:t>
            </w:r>
            <w:r w:rsidRPr="00E4714B">
              <w:rPr>
                <w:rFonts w:ascii="Cambria" w:eastAsia="Times New Roman" w:hAnsi="Cambria" w:cs="Times New Roman"/>
                <w:iCs/>
                <w:sz w:val="20"/>
                <w:szCs w:val="20"/>
                <w:vertAlign w:val="subscript"/>
              </w:rPr>
              <w:t>t</w:t>
            </w:r>
          </w:p>
        </w:tc>
        <w:tc>
          <w:tcPr>
            <w:tcW w:w="1413" w:type="dxa"/>
            <w:tcBorders>
              <w:top w:val="single" w:sz="4" w:space="0" w:color="auto"/>
              <w:left w:val="nil"/>
              <w:bottom w:val="nil"/>
              <w:right w:val="nil"/>
            </w:tcBorders>
            <w:vAlign w:val="center"/>
          </w:tcPr>
          <w:p w14:paraId="018ECADB" w14:textId="77777777" w:rsidR="00236E76" w:rsidRPr="00E4714B" w:rsidRDefault="00236E76" w:rsidP="00E4714B">
            <w:pPr>
              <w:contextualSpacing/>
              <w:rPr>
                <w:rFonts w:ascii="Cambria" w:eastAsia="Times New Roman" w:hAnsi="Cambria" w:cs="Times New Roman"/>
                <w:iCs/>
                <w:sz w:val="20"/>
                <w:szCs w:val="20"/>
              </w:rPr>
            </w:pPr>
            <w:r w:rsidRPr="00E4714B">
              <w:rPr>
                <w:rFonts w:ascii="Cambria" w:hAnsi="Cambria" w:cs="Times New Roman"/>
                <w:sz w:val="20"/>
                <w:szCs w:val="20"/>
              </w:rPr>
              <w:t> -</w:t>
            </w:r>
          </w:p>
        </w:tc>
        <w:tc>
          <w:tcPr>
            <w:tcW w:w="1194" w:type="dxa"/>
            <w:tcBorders>
              <w:top w:val="single" w:sz="4" w:space="0" w:color="auto"/>
              <w:left w:val="nil"/>
              <w:bottom w:val="nil"/>
              <w:right w:val="nil"/>
            </w:tcBorders>
            <w:vAlign w:val="center"/>
          </w:tcPr>
          <w:p w14:paraId="5E08E263" w14:textId="4CE18FC8"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0.0104</w:t>
            </w:r>
          </w:p>
        </w:tc>
        <w:tc>
          <w:tcPr>
            <w:tcW w:w="1309" w:type="dxa"/>
            <w:tcBorders>
              <w:top w:val="single" w:sz="4" w:space="0" w:color="auto"/>
              <w:left w:val="nil"/>
              <w:bottom w:val="nil"/>
              <w:right w:val="nil"/>
            </w:tcBorders>
            <w:vAlign w:val="center"/>
          </w:tcPr>
          <w:p w14:paraId="15E1DDF7" w14:textId="3B2A31DF"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-1.9836</w:t>
            </w:r>
          </w:p>
        </w:tc>
        <w:tc>
          <w:tcPr>
            <w:tcW w:w="1156" w:type="dxa"/>
            <w:tcBorders>
              <w:top w:val="single" w:sz="4" w:space="0" w:color="auto"/>
              <w:left w:val="nil"/>
              <w:bottom w:val="nil"/>
              <w:right w:val="nil"/>
            </w:tcBorders>
            <w:vAlign w:val="center"/>
          </w:tcPr>
          <w:p w14:paraId="150CFE30" w14:textId="1DC96FCA"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-0.4901</w:t>
            </w:r>
          </w:p>
        </w:tc>
        <w:tc>
          <w:tcPr>
            <w:tcW w:w="1139" w:type="dxa"/>
            <w:tcBorders>
              <w:top w:val="single" w:sz="4" w:space="0" w:color="auto"/>
              <w:left w:val="nil"/>
              <w:bottom w:val="nil"/>
              <w:right w:val="nil"/>
            </w:tcBorders>
            <w:vAlign w:val="center"/>
          </w:tcPr>
          <w:p w14:paraId="2E80266B" w14:textId="508004ED"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-1.1565</w:t>
            </w:r>
          </w:p>
        </w:tc>
        <w:tc>
          <w:tcPr>
            <w:tcW w:w="1417" w:type="dxa"/>
            <w:tcBorders>
              <w:top w:val="single" w:sz="4" w:space="0" w:color="auto"/>
              <w:left w:val="nil"/>
              <w:bottom w:val="nil"/>
              <w:right w:val="nil"/>
            </w:tcBorders>
          </w:tcPr>
          <w:p w14:paraId="731E19FB" w14:textId="61EF74E8" w:rsidR="00236E76" w:rsidRPr="00E4714B" w:rsidRDefault="002125EE" w:rsidP="00E4714B">
            <w:pPr>
              <w:contextualSpacing/>
              <w:rPr>
                <w:rFonts w:ascii="Cambria" w:hAnsi="Cambria" w:cs="Times New Roman"/>
                <w:sz w:val="20"/>
                <w:szCs w:val="20"/>
              </w:rPr>
            </w:pPr>
            <w:r w:rsidRPr="00E4714B">
              <w:rPr>
                <w:rFonts w:ascii="Cambria" w:hAnsi="Cambria" w:cs="Times New Roman"/>
                <w:sz w:val="20"/>
                <w:szCs w:val="20"/>
              </w:rPr>
              <w:t>-0.1941</w:t>
            </w:r>
          </w:p>
        </w:tc>
      </w:tr>
      <w:tr w:rsidR="00236E76" w:rsidRPr="00E4714B" w14:paraId="5FBBA5EB" w14:textId="64D7AC8A" w:rsidTr="001510EA">
        <w:trPr>
          <w:trHeight w:val="102"/>
        </w:trPr>
        <w:tc>
          <w:tcPr>
            <w:tcW w:w="1427" w:type="dxa"/>
            <w:tcBorders>
              <w:top w:val="nil"/>
              <w:left w:val="nil"/>
              <w:bottom w:val="nil"/>
              <w:right w:val="nil"/>
            </w:tcBorders>
          </w:tcPr>
          <w:p w14:paraId="363A2F29" w14:textId="3A5B0E73" w:rsidR="00236E76" w:rsidRPr="00E4714B" w:rsidRDefault="00236E76" w:rsidP="00E4714B">
            <w:pPr>
              <w:contextualSpacing/>
              <w:rPr>
                <w:rFonts w:ascii="Cambria" w:eastAsia="Times New Roman" w:hAnsi="Cambria" w:cs="Times New Roman"/>
                <w:iCs/>
                <w:sz w:val="20"/>
                <w:szCs w:val="20"/>
              </w:rPr>
            </w:pPr>
            <w:r w:rsidRPr="00E4714B">
              <w:rPr>
                <w:rFonts w:ascii="Cambria" w:hAnsi="Cambria" w:cs="Times New Roman"/>
                <w:sz w:val="20"/>
                <w:szCs w:val="20"/>
              </w:rPr>
              <w:t>Δ</w:t>
            </w:r>
            <w:r w:rsidRPr="00E4714B">
              <w:rPr>
                <w:rFonts w:ascii="Cambria" w:eastAsia="Times New Roman" w:hAnsi="Cambria" w:cs="Times New Roman"/>
                <w:iCs/>
                <w:sz w:val="20"/>
                <w:szCs w:val="20"/>
              </w:rPr>
              <w:t xml:space="preserve"> GPR</w:t>
            </w:r>
            <w:r w:rsidRPr="00E4714B">
              <w:rPr>
                <w:rFonts w:ascii="Cambria" w:eastAsia="Times New Roman" w:hAnsi="Cambria" w:cs="Times New Roman"/>
                <w:iCs/>
                <w:sz w:val="20"/>
                <w:szCs w:val="20"/>
                <w:vertAlign w:val="subscript"/>
              </w:rPr>
              <w:t>t</w:t>
            </w:r>
          </w:p>
        </w:tc>
        <w:tc>
          <w:tcPr>
            <w:tcW w:w="1413" w:type="dxa"/>
            <w:tcBorders>
              <w:top w:val="nil"/>
              <w:left w:val="nil"/>
              <w:bottom w:val="nil"/>
              <w:right w:val="nil"/>
            </w:tcBorders>
            <w:vAlign w:val="center"/>
          </w:tcPr>
          <w:p w14:paraId="71301600" w14:textId="5E628A0C"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0.0495</w:t>
            </w:r>
          </w:p>
        </w:tc>
        <w:tc>
          <w:tcPr>
            <w:tcW w:w="1194" w:type="dxa"/>
            <w:tcBorders>
              <w:top w:val="nil"/>
              <w:left w:val="nil"/>
              <w:bottom w:val="nil"/>
              <w:right w:val="nil"/>
            </w:tcBorders>
            <w:vAlign w:val="center"/>
          </w:tcPr>
          <w:p w14:paraId="5CC90399" w14:textId="77777777" w:rsidR="00236E76" w:rsidRPr="00E4714B" w:rsidRDefault="00236E76" w:rsidP="00E4714B">
            <w:pPr>
              <w:contextualSpacing/>
              <w:rPr>
                <w:rFonts w:ascii="Cambria" w:eastAsia="Times New Roman" w:hAnsi="Cambria" w:cs="Times New Roman"/>
                <w:iCs/>
                <w:sz w:val="20"/>
                <w:szCs w:val="20"/>
              </w:rPr>
            </w:pPr>
            <w:r w:rsidRPr="00E4714B">
              <w:rPr>
                <w:rFonts w:ascii="Cambria" w:hAnsi="Cambria" w:cs="Times New Roman"/>
                <w:sz w:val="20"/>
                <w:szCs w:val="20"/>
              </w:rPr>
              <w:t> -</w:t>
            </w:r>
          </w:p>
        </w:tc>
        <w:tc>
          <w:tcPr>
            <w:tcW w:w="1309" w:type="dxa"/>
            <w:tcBorders>
              <w:top w:val="nil"/>
              <w:left w:val="nil"/>
              <w:bottom w:val="nil"/>
              <w:right w:val="nil"/>
            </w:tcBorders>
            <w:vAlign w:val="center"/>
          </w:tcPr>
          <w:p w14:paraId="269BD954" w14:textId="3A6EC3E7"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iCs/>
                <w:sz w:val="20"/>
                <w:szCs w:val="20"/>
              </w:rPr>
              <w:t>-1.5527</w:t>
            </w:r>
          </w:p>
        </w:tc>
        <w:tc>
          <w:tcPr>
            <w:tcW w:w="1156" w:type="dxa"/>
            <w:tcBorders>
              <w:top w:val="nil"/>
              <w:left w:val="nil"/>
              <w:bottom w:val="nil"/>
              <w:right w:val="nil"/>
            </w:tcBorders>
            <w:vAlign w:val="center"/>
          </w:tcPr>
          <w:p w14:paraId="43ED2FB3" w14:textId="11CA2717"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-2.7147</w:t>
            </w:r>
          </w:p>
        </w:tc>
        <w:tc>
          <w:tcPr>
            <w:tcW w:w="1139" w:type="dxa"/>
            <w:tcBorders>
              <w:top w:val="nil"/>
              <w:left w:val="nil"/>
              <w:bottom w:val="nil"/>
              <w:right w:val="nil"/>
            </w:tcBorders>
            <w:vAlign w:val="center"/>
          </w:tcPr>
          <w:p w14:paraId="7D4BCB1A" w14:textId="199D46A3"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-0.4564</w:t>
            </w:r>
          </w:p>
        </w:tc>
        <w:tc>
          <w:tcPr>
            <w:tcW w:w="1417" w:type="dxa"/>
            <w:tcBorders>
              <w:top w:val="nil"/>
              <w:left w:val="nil"/>
              <w:bottom w:val="nil"/>
              <w:right w:val="nil"/>
            </w:tcBorders>
          </w:tcPr>
          <w:p w14:paraId="41031BCD" w14:textId="4DC33B86" w:rsidR="00236E76" w:rsidRPr="00E4714B" w:rsidRDefault="002125EE" w:rsidP="00E4714B">
            <w:pPr>
              <w:contextualSpacing/>
              <w:rPr>
                <w:rFonts w:ascii="Cambria" w:hAnsi="Cambria" w:cs="Times New Roman"/>
                <w:sz w:val="20"/>
                <w:szCs w:val="20"/>
              </w:rPr>
            </w:pPr>
            <w:r w:rsidRPr="00E4714B">
              <w:rPr>
                <w:rFonts w:ascii="Cambria" w:hAnsi="Cambria" w:cs="Times New Roman"/>
                <w:sz w:val="20"/>
                <w:szCs w:val="20"/>
              </w:rPr>
              <w:t>0.0870</w:t>
            </w:r>
          </w:p>
        </w:tc>
      </w:tr>
      <w:tr w:rsidR="00236E76" w:rsidRPr="00E4714B" w14:paraId="44FE3F8F" w14:textId="3A1CD177" w:rsidTr="001510EA">
        <w:trPr>
          <w:trHeight w:val="102"/>
        </w:trPr>
        <w:tc>
          <w:tcPr>
            <w:tcW w:w="7638" w:type="dxa"/>
            <w:gridSpan w:val="6"/>
            <w:tcBorders>
              <w:top w:val="single" w:sz="4" w:space="0" w:color="auto"/>
              <w:left w:val="nil"/>
              <w:bottom w:val="single" w:sz="4" w:space="0" w:color="auto"/>
              <w:right w:val="nil"/>
            </w:tcBorders>
          </w:tcPr>
          <w:p w14:paraId="37EAC7C2" w14:textId="77777777" w:rsidR="00236E76" w:rsidRPr="00E4714B" w:rsidRDefault="00236E76" w:rsidP="00E4714B">
            <w:pPr>
              <w:contextualSpacing/>
              <w:rPr>
                <w:rFonts w:ascii="Cambria" w:eastAsia="Times New Roman" w:hAnsi="Cambria" w:cs="Times New Roman"/>
                <w:b/>
                <w:bCs/>
                <w:iCs/>
                <w:sz w:val="20"/>
                <w:szCs w:val="20"/>
              </w:rPr>
            </w:pPr>
            <w:r w:rsidRPr="00E4714B">
              <w:rPr>
                <w:rFonts w:ascii="Cambria" w:eastAsia="Times New Roman" w:hAnsi="Cambria" w:cs="Times New Roman"/>
                <w:b/>
                <w:bCs/>
                <w:iCs/>
                <w:sz w:val="20"/>
                <w:szCs w:val="20"/>
              </w:rPr>
              <w:t>Panel B: Relationship between EU and TA</w:t>
            </w:r>
          </w:p>
        </w:tc>
        <w:tc>
          <w:tcPr>
            <w:tcW w:w="1417" w:type="dxa"/>
            <w:tcBorders>
              <w:top w:val="single" w:sz="4" w:space="0" w:color="auto"/>
              <w:left w:val="nil"/>
              <w:bottom w:val="single" w:sz="4" w:space="0" w:color="auto"/>
              <w:right w:val="nil"/>
            </w:tcBorders>
          </w:tcPr>
          <w:p w14:paraId="7E9C82E4" w14:textId="77777777" w:rsidR="00236E76" w:rsidRPr="00E4714B" w:rsidRDefault="00236E76" w:rsidP="00E4714B">
            <w:pPr>
              <w:contextualSpacing/>
              <w:rPr>
                <w:rFonts w:ascii="Cambria" w:eastAsia="Times New Roman" w:hAnsi="Cambria" w:cs="Times New Roman"/>
                <w:b/>
                <w:bCs/>
                <w:iCs/>
                <w:sz w:val="20"/>
                <w:szCs w:val="20"/>
              </w:rPr>
            </w:pPr>
          </w:p>
        </w:tc>
      </w:tr>
      <w:tr w:rsidR="00236E76" w:rsidRPr="00E4714B" w14:paraId="5EB1A3FF" w14:textId="55565BAA" w:rsidTr="001510EA">
        <w:trPr>
          <w:trHeight w:val="102"/>
        </w:trPr>
        <w:tc>
          <w:tcPr>
            <w:tcW w:w="1427" w:type="dxa"/>
            <w:tcBorders>
              <w:top w:val="single" w:sz="4" w:space="0" w:color="auto"/>
              <w:left w:val="nil"/>
              <w:bottom w:val="single" w:sz="4" w:space="0" w:color="auto"/>
              <w:right w:val="nil"/>
            </w:tcBorders>
          </w:tcPr>
          <w:p w14:paraId="68D921DF" w14:textId="77777777" w:rsidR="00236E76" w:rsidRPr="00E4714B" w:rsidRDefault="00236E76" w:rsidP="00E4714B">
            <w:pPr>
              <w:contextualSpacing/>
              <w:jc w:val="both"/>
              <w:rPr>
                <w:rFonts w:ascii="Cambria" w:hAnsi="Cambria" w:cs="Times New Roman"/>
                <w:b/>
                <w:bCs/>
                <w:sz w:val="20"/>
                <w:szCs w:val="20"/>
              </w:rPr>
            </w:pPr>
            <w:r w:rsidRPr="00E4714B">
              <w:rPr>
                <w:rFonts w:ascii="Cambria" w:hAnsi="Cambria" w:cs="Times New Roman"/>
                <w:b/>
                <w:bCs/>
                <w:sz w:val="20"/>
                <w:szCs w:val="20"/>
              </w:rPr>
              <w:t>Dependent variable</w:t>
            </w:r>
          </w:p>
        </w:tc>
        <w:tc>
          <w:tcPr>
            <w:tcW w:w="1413" w:type="dxa"/>
            <w:tcBorders>
              <w:top w:val="single" w:sz="4" w:space="0" w:color="auto"/>
              <w:left w:val="nil"/>
              <w:bottom w:val="single" w:sz="4" w:space="0" w:color="auto"/>
              <w:right w:val="nil"/>
            </w:tcBorders>
          </w:tcPr>
          <w:p w14:paraId="6CF54871" w14:textId="02167A33" w:rsidR="00236E76" w:rsidRPr="00E4714B" w:rsidRDefault="00000000" w:rsidP="00E4714B">
            <w:pPr>
              <w:contextualSpacing/>
              <w:jc w:val="both"/>
              <w:rPr>
                <w:rFonts w:ascii="Cambria" w:eastAsia="Times New Roman" w:hAnsi="Cambria" w:cs="Times New Roman"/>
                <w:b/>
                <w:bCs/>
                <w:iCs/>
                <w:sz w:val="20"/>
                <w:szCs w:val="20"/>
              </w:rPr>
            </w:pPr>
            <m:oMathPara>
              <m:oMath>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TA</m:t>
                        </m:r>
                      </m:e>
                      <m:sub>
                        <m:r>
                          <m:rPr>
                            <m:sty m:val="bi"/>
                          </m:rPr>
                          <w:rPr>
                            <w:rFonts w:ascii="Cambria Math" w:eastAsia="Times New Roman" w:hAnsi="Cambria Math" w:cs="Times New Roman"/>
                            <w:sz w:val="20"/>
                            <w:szCs w:val="20"/>
                          </w:rPr>
                          <m:t>t-1</m:t>
                        </m:r>
                      </m:sub>
                    </m:sSub>
                  </m:e>
                </m:nary>
              </m:oMath>
            </m:oMathPara>
          </w:p>
        </w:tc>
        <w:tc>
          <w:tcPr>
            <w:tcW w:w="1194" w:type="dxa"/>
            <w:tcBorders>
              <w:top w:val="single" w:sz="4" w:space="0" w:color="auto"/>
              <w:left w:val="nil"/>
              <w:bottom w:val="single" w:sz="4" w:space="0" w:color="auto"/>
              <w:right w:val="nil"/>
            </w:tcBorders>
          </w:tcPr>
          <w:p w14:paraId="18E90E7D" w14:textId="7E9C22E8" w:rsidR="00236E76" w:rsidRPr="00E4714B" w:rsidRDefault="00000000" w:rsidP="00E4714B">
            <w:pPr>
              <w:contextualSpacing/>
              <w:jc w:val="both"/>
              <w:rPr>
                <w:rFonts w:ascii="Cambria" w:eastAsia="Times New Roman" w:hAnsi="Cambria" w:cs="Times New Roman"/>
                <w:b/>
                <w:bCs/>
                <w:iCs/>
                <w:sz w:val="20"/>
                <w:szCs w:val="20"/>
              </w:rPr>
            </w:pPr>
            <m:oMathPara>
              <m:oMath>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EU</m:t>
                        </m:r>
                      </m:e>
                      <m:sub>
                        <m:r>
                          <m:rPr>
                            <m:sty m:val="bi"/>
                          </m:rPr>
                          <w:rPr>
                            <w:rFonts w:ascii="Cambria Math" w:eastAsia="Times New Roman" w:hAnsi="Cambria Math" w:cs="Times New Roman"/>
                            <w:sz w:val="20"/>
                            <w:szCs w:val="20"/>
                          </w:rPr>
                          <m:t>t-1</m:t>
                        </m:r>
                      </m:sub>
                    </m:sSub>
                  </m:e>
                </m:nary>
              </m:oMath>
            </m:oMathPara>
          </w:p>
        </w:tc>
        <w:tc>
          <w:tcPr>
            <w:tcW w:w="1309" w:type="dxa"/>
            <w:tcBorders>
              <w:top w:val="single" w:sz="4" w:space="0" w:color="auto"/>
              <w:left w:val="nil"/>
              <w:bottom w:val="single" w:sz="4" w:space="0" w:color="auto"/>
              <w:right w:val="nil"/>
            </w:tcBorders>
          </w:tcPr>
          <w:p w14:paraId="3FDD9991" w14:textId="09CC8E0B" w:rsidR="00236E76" w:rsidRPr="00E4714B" w:rsidRDefault="00000000" w:rsidP="00E4714B">
            <w:pPr>
              <w:contextualSpacing/>
              <w:jc w:val="both"/>
              <w:rPr>
                <w:rFonts w:ascii="Cambria" w:eastAsia="Times New Roman" w:hAnsi="Cambria" w:cs="Times New Roman"/>
                <w:b/>
                <w:bCs/>
                <w:iCs/>
                <w:sz w:val="20"/>
                <w:szCs w:val="20"/>
              </w:rPr>
            </w:pPr>
            <m:oMathPara>
              <m:oMath>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EM</m:t>
                        </m:r>
                      </m:e>
                      <m:sub>
                        <m:r>
                          <m:rPr>
                            <m:sty m:val="bi"/>
                          </m:rPr>
                          <w:rPr>
                            <w:rFonts w:ascii="Cambria Math" w:eastAsia="Times New Roman" w:hAnsi="Cambria Math" w:cs="Times New Roman"/>
                            <w:sz w:val="20"/>
                            <w:szCs w:val="20"/>
                          </w:rPr>
                          <m:t>t-1</m:t>
                        </m:r>
                      </m:sub>
                    </m:sSub>
                  </m:e>
                </m:nary>
              </m:oMath>
            </m:oMathPara>
          </w:p>
        </w:tc>
        <w:tc>
          <w:tcPr>
            <w:tcW w:w="1156" w:type="dxa"/>
            <w:tcBorders>
              <w:top w:val="single" w:sz="4" w:space="0" w:color="auto"/>
              <w:left w:val="nil"/>
              <w:bottom w:val="single" w:sz="4" w:space="0" w:color="auto"/>
              <w:right w:val="nil"/>
            </w:tcBorders>
          </w:tcPr>
          <w:p w14:paraId="33592672" w14:textId="03B4BF7F" w:rsidR="00236E76" w:rsidRPr="00E4714B" w:rsidRDefault="00000000" w:rsidP="00E4714B">
            <w:pPr>
              <w:contextualSpacing/>
              <w:jc w:val="both"/>
              <w:rPr>
                <w:rFonts w:ascii="Cambria" w:eastAsia="Times New Roman" w:hAnsi="Cambria" w:cs="Times New Roman"/>
                <w:b/>
                <w:bCs/>
                <w:iCs/>
                <w:sz w:val="20"/>
                <w:szCs w:val="20"/>
              </w:rPr>
            </w:pPr>
            <m:oMathPara>
              <m:oMath>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EX</m:t>
                        </m:r>
                      </m:e>
                      <m:sub>
                        <m:r>
                          <m:rPr>
                            <m:sty m:val="bi"/>
                          </m:rPr>
                          <w:rPr>
                            <w:rFonts w:ascii="Cambria Math" w:eastAsia="Times New Roman" w:hAnsi="Cambria Math" w:cs="Times New Roman"/>
                            <w:sz w:val="20"/>
                            <w:szCs w:val="20"/>
                          </w:rPr>
                          <m:t>t-1</m:t>
                        </m:r>
                      </m:sub>
                    </m:sSub>
                  </m:e>
                </m:nary>
              </m:oMath>
            </m:oMathPara>
          </w:p>
        </w:tc>
        <w:tc>
          <w:tcPr>
            <w:tcW w:w="1139" w:type="dxa"/>
            <w:tcBorders>
              <w:top w:val="single" w:sz="4" w:space="0" w:color="auto"/>
              <w:left w:val="nil"/>
              <w:bottom w:val="single" w:sz="4" w:space="0" w:color="auto"/>
              <w:right w:val="nil"/>
            </w:tcBorders>
          </w:tcPr>
          <w:p w14:paraId="7E24A3ED" w14:textId="411EED2B" w:rsidR="00236E76" w:rsidRPr="00E4714B" w:rsidRDefault="00000000" w:rsidP="00E4714B">
            <w:pPr>
              <w:contextualSpacing/>
              <w:jc w:val="both"/>
              <w:rPr>
                <w:rFonts w:ascii="Cambria" w:eastAsia="Times New Roman" w:hAnsi="Cambria" w:cs="Times New Roman"/>
                <w:b/>
                <w:bCs/>
                <w:iCs/>
                <w:sz w:val="20"/>
                <w:szCs w:val="20"/>
              </w:rPr>
            </w:pPr>
            <m:oMathPara>
              <m:oMath>
                <m:nary>
                  <m:naryPr>
                    <m:chr m:val="∑"/>
                    <m:limLoc m:val="undOvr"/>
                    <m:subHide m:val="1"/>
                    <m:supHide m:val="1"/>
                    <m:ctrlPr>
                      <w:rPr>
                        <w:rFonts w:ascii="Cambria Math" w:eastAsia="Times New Roman" w:hAnsi="Cambria Math" w:cs="Times New Roman"/>
                        <w:b/>
                        <w:bCs/>
                        <w:i/>
                        <w:iCs/>
                        <w:sz w:val="20"/>
                        <w:szCs w:val="20"/>
                      </w:rPr>
                    </m:ctrlPr>
                  </m:naryPr>
                  <m:sub/>
                  <m:sup/>
                  <m:e>
                    <m:r>
                      <m:rPr>
                        <m:sty m:val="bi"/>
                      </m:rPr>
                      <w:rPr>
                        <w:rFonts w:ascii="Cambria Math" w:eastAsia="Times New Roman" w:hAnsi="Cambria Math" w:cs="Times New Roman"/>
                        <w:sz w:val="20"/>
                        <w:szCs w:val="20"/>
                      </w:rPr>
                      <m:t>∆</m:t>
                    </m:r>
                    <m:sSub>
                      <m:sSubPr>
                        <m:ctrlPr>
                          <w:rPr>
                            <w:rFonts w:ascii="Cambria Math" w:eastAsia="Times New Roman" w:hAnsi="Cambria Math" w:cs="Times New Roman"/>
                            <w:b/>
                            <w:bCs/>
                            <w:i/>
                            <w:iCs/>
                            <w:sz w:val="20"/>
                            <w:szCs w:val="20"/>
                          </w:rPr>
                        </m:ctrlPr>
                      </m:sSubPr>
                      <m:e>
                        <m:r>
                          <m:rPr>
                            <m:sty m:val="bi"/>
                          </m:rPr>
                          <w:rPr>
                            <w:rFonts w:ascii="Cambria Math" w:eastAsia="Times New Roman" w:hAnsi="Cambria Math" w:cs="Times New Roman"/>
                            <w:sz w:val="20"/>
                            <w:szCs w:val="20"/>
                          </w:rPr>
                          <m:t>IP</m:t>
                        </m:r>
                      </m:e>
                      <m:sub>
                        <m:r>
                          <m:rPr>
                            <m:sty m:val="bi"/>
                          </m:rPr>
                          <w:rPr>
                            <w:rFonts w:ascii="Cambria Math" w:eastAsia="Times New Roman" w:hAnsi="Cambria Math" w:cs="Times New Roman"/>
                            <w:sz w:val="20"/>
                            <w:szCs w:val="20"/>
                          </w:rPr>
                          <m:t>t-1</m:t>
                        </m:r>
                      </m:sub>
                    </m:sSub>
                  </m:e>
                </m:nary>
              </m:oMath>
            </m:oMathPara>
          </w:p>
        </w:tc>
        <w:tc>
          <w:tcPr>
            <w:tcW w:w="1417" w:type="dxa"/>
            <w:tcBorders>
              <w:top w:val="single" w:sz="4" w:space="0" w:color="auto"/>
              <w:left w:val="nil"/>
              <w:bottom w:val="single" w:sz="4" w:space="0" w:color="auto"/>
              <w:right w:val="nil"/>
            </w:tcBorders>
          </w:tcPr>
          <w:p w14:paraId="6D0765E4" w14:textId="77777777" w:rsidR="00236E76" w:rsidRPr="00E4714B" w:rsidRDefault="00236E76" w:rsidP="00E4714B">
            <w:pPr>
              <w:contextualSpacing/>
              <w:jc w:val="both"/>
              <w:rPr>
                <w:rFonts w:ascii="Cambria" w:hAnsi="Cambria"/>
                <w:b/>
                <w:bCs/>
                <w:iCs/>
                <w:sz w:val="20"/>
                <w:szCs w:val="20"/>
              </w:rPr>
            </w:pPr>
          </w:p>
        </w:tc>
      </w:tr>
      <w:tr w:rsidR="00236E76" w:rsidRPr="00E4714B" w14:paraId="42C63ACA" w14:textId="4FDCD390" w:rsidTr="001510EA">
        <w:trPr>
          <w:trHeight w:val="102"/>
        </w:trPr>
        <w:tc>
          <w:tcPr>
            <w:tcW w:w="1427" w:type="dxa"/>
            <w:tcBorders>
              <w:top w:val="single" w:sz="4" w:space="0" w:color="auto"/>
              <w:left w:val="nil"/>
              <w:bottom w:val="nil"/>
              <w:right w:val="nil"/>
            </w:tcBorders>
          </w:tcPr>
          <w:p w14:paraId="5FED52DD" w14:textId="77777777" w:rsidR="00236E76" w:rsidRPr="00E4714B" w:rsidRDefault="00236E76" w:rsidP="00E4714B">
            <w:pPr>
              <w:contextualSpacing/>
              <w:rPr>
                <w:rFonts w:ascii="Cambria" w:eastAsia="Times New Roman" w:hAnsi="Cambria" w:cs="Times New Roman"/>
                <w:iCs/>
                <w:sz w:val="20"/>
                <w:szCs w:val="20"/>
              </w:rPr>
            </w:pPr>
            <w:r w:rsidRPr="00E4714B">
              <w:rPr>
                <w:rFonts w:ascii="Cambria" w:hAnsi="Cambria" w:cs="Times New Roman"/>
                <w:sz w:val="20"/>
                <w:szCs w:val="20"/>
              </w:rPr>
              <w:t>Δ</w:t>
            </w:r>
            <w:r w:rsidRPr="00E4714B">
              <w:rPr>
                <w:rFonts w:ascii="Cambria" w:eastAsia="Times New Roman" w:hAnsi="Cambria" w:cs="Times New Roman"/>
                <w:iCs/>
                <w:sz w:val="20"/>
                <w:szCs w:val="20"/>
              </w:rPr>
              <w:t xml:space="preserve"> TA</w:t>
            </w:r>
            <w:r w:rsidRPr="00E4714B">
              <w:rPr>
                <w:rFonts w:ascii="Cambria" w:eastAsia="Times New Roman" w:hAnsi="Cambria" w:cs="Times New Roman"/>
                <w:iCs/>
                <w:sz w:val="20"/>
                <w:szCs w:val="20"/>
                <w:vertAlign w:val="subscript"/>
              </w:rPr>
              <w:t>t</w:t>
            </w:r>
          </w:p>
        </w:tc>
        <w:tc>
          <w:tcPr>
            <w:tcW w:w="1413" w:type="dxa"/>
            <w:tcBorders>
              <w:top w:val="single" w:sz="4" w:space="0" w:color="auto"/>
              <w:left w:val="nil"/>
              <w:bottom w:val="nil"/>
              <w:right w:val="nil"/>
            </w:tcBorders>
            <w:vAlign w:val="center"/>
          </w:tcPr>
          <w:p w14:paraId="2E90D156" w14:textId="77777777" w:rsidR="00236E76" w:rsidRPr="00E4714B" w:rsidRDefault="00236E76" w:rsidP="00E4714B">
            <w:pPr>
              <w:contextualSpacing/>
              <w:rPr>
                <w:rFonts w:ascii="Cambria" w:eastAsia="Times New Roman" w:hAnsi="Cambria" w:cs="Times New Roman"/>
                <w:iCs/>
                <w:sz w:val="20"/>
                <w:szCs w:val="20"/>
              </w:rPr>
            </w:pPr>
            <w:r w:rsidRPr="00E4714B">
              <w:rPr>
                <w:rFonts w:ascii="Cambria" w:hAnsi="Cambria" w:cs="Times New Roman"/>
                <w:sz w:val="20"/>
                <w:szCs w:val="20"/>
              </w:rPr>
              <w:t> -</w:t>
            </w:r>
          </w:p>
        </w:tc>
        <w:tc>
          <w:tcPr>
            <w:tcW w:w="1194" w:type="dxa"/>
            <w:tcBorders>
              <w:top w:val="single" w:sz="4" w:space="0" w:color="auto"/>
              <w:left w:val="nil"/>
              <w:bottom w:val="nil"/>
              <w:right w:val="nil"/>
            </w:tcBorders>
            <w:vAlign w:val="center"/>
          </w:tcPr>
          <w:p w14:paraId="04BB9D0C" w14:textId="218A0513"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0.6885</w:t>
            </w:r>
          </w:p>
        </w:tc>
        <w:tc>
          <w:tcPr>
            <w:tcW w:w="1309" w:type="dxa"/>
            <w:tcBorders>
              <w:top w:val="single" w:sz="4" w:space="0" w:color="auto"/>
              <w:left w:val="nil"/>
              <w:bottom w:val="nil"/>
              <w:right w:val="nil"/>
            </w:tcBorders>
            <w:vAlign w:val="center"/>
          </w:tcPr>
          <w:p w14:paraId="2C848FCE" w14:textId="6D4CDF20"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-1.7552</w:t>
            </w:r>
          </w:p>
        </w:tc>
        <w:tc>
          <w:tcPr>
            <w:tcW w:w="1156" w:type="dxa"/>
            <w:tcBorders>
              <w:top w:val="single" w:sz="4" w:space="0" w:color="auto"/>
              <w:left w:val="nil"/>
              <w:bottom w:val="nil"/>
              <w:right w:val="nil"/>
            </w:tcBorders>
            <w:vAlign w:val="center"/>
          </w:tcPr>
          <w:p w14:paraId="748D9F62" w14:textId="4B09F227"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-0.6717</w:t>
            </w:r>
          </w:p>
        </w:tc>
        <w:tc>
          <w:tcPr>
            <w:tcW w:w="1139" w:type="dxa"/>
            <w:tcBorders>
              <w:top w:val="single" w:sz="4" w:space="0" w:color="auto"/>
              <w:left w:val="nil"/>
              <w:bottom w:val="nil"/>
              <w:right w:val="nil"/>
            </w:tcBorders>
            <w:vAlign w:val="center"/>
          </w:tcPr>
          <w:p w14:paraId="782872BA" w14:textId="7FB9EC1E"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-1.2118</w:t>
            </w:r>
          </w:p>
        </w:tc>
        <w:tc>
          <w:tcPr>
            <w:tcW w:w="1417" w:type="dxa"/>
            <w:tcBorders>
              <w:top w:val="single" w:sz="4" w:space="0" w:color="auto"/>
              <w:left w:val="nil"/>
              <w:bottom w:val="nil"/>
              <w:right w:val="nil"/>
            </w:tcBorders>
          </w:tcPr>
          <w:p w14:paraId="65AD1F57" w14:textId="498D5358" w:rsidR="00236E76" w:rsidRPr="00E4714B" w:rsidRDefault="002125EE" w:rsidP="00E4714B">
            <w:pPr>
              <w:contextualSpacing/>
              <w:rPr>
                <w:rFonts w:ascii="Cambria" w:hAnsi="Cambria" w:cs="Times New Roman"/>
                <w:sz w:val="20"/>
                <w:szCs w:val="20"/>
              </w:rPr>
            </w:pPr>
            <w:r w:rsidRPr="00E4714B">
              <w:rPr>
                <w:rFonts w:ascii="Cambria" w:hAnsi="Cambria" w:cs="Times New Roman"/>
                <w:sz w:val="20"/>
                <w:szCs w:val="20"/>
              </w:rPr>
              <w:t>-0.0592</w:t>
            </w:r>
          </w:p>
        </w:tc>
      </w:tr>
      <w:tr w:rsidR="00236E76" w:rsidRPr="00E4714B" w14:paraId="74D0DC0D" w14:textId="3D983941" w:rsidTr="001510EA">
        <w:trPr>
          <w:trHeight w:val="102"/>
        </w:trPr>
        <w:tc>
          <w:tcPr>
            <w:tcW w:w="1427" w:type="dxa"/>
            <w:tcBorders>
              <w:top w:val="nil"/>
              <w:left w:val="nil"/>
              <w:bottom w:val="nil"/>
              <w:right w:val="nil"/>
            </w:tcBorders>
          </w:tcPr>
          <w:p w14:paraId="49CA1C8B" w14:textId="77777777" w:rsidR="00236E76" w:rsidRPr="00E4714B" w:rsidRDefault="00236E76" w:rsidP="00E4714B">
            <w:pPr>
              <w:contextualSpacing/>
              <w:rPr>
                <w:rFonts w:ascii="Cambria" w:eastAsia="Times New Roman" w:hAnsi="Cambria" w:cs="Times New Roman"/>
                <w:iCs/>
                <w:sz w:val="20"/>
                <w:szCs w:val="20"/>
              </w:rPr>
            </w:pPr>
            <w:r w:rsidRPr="00E4714B">
              <w:rPr>
                <w:rFonts w:ascii="Cambria" w:hAnsi="Cambria" w:cs="Times New Roman"/>
                <w:sz w:val="20"/>
                <w:szCs w:val="20"/>
              </w:rPr>
              <w:t>Δ</w:t>
            </w:r>
            <w:r w:rsidRPr="00E4714B">
              <w:rPr>
                <w:rFonts w:ascii="Cambria" w:eastAsia="Times New Roman" w:hAnsi="Cambria" w:cs="Times New Roman"/>
                <w:iCs/>
                <w:sz w:val="20"/>
                <w:szCs w:val="20"/>
              </w:rPr>
              <w:t xml:space="preserve"> EU</w:t>
            </w:r>
            <w:r w:rsidRPr="00E4714B">
              <w:rPr>
                <w:rFonts w:ascii="Cambria" w:eastAsia="Times New Roman" w:hAnsi="Cambria" w:cs="Times New Roman"/>
                <w:iCs/>
                <w:sz w:val="20"/>
                <w:szCs w:val="20"/>
                <w:vertAlign w:val="subscript"/>
              </w:rPr>
              <w:t>t</w:t>
            </w:r>
          </w:p>
        </w:tc>
        <w:tc>
          <w:tcPr>
            <w:tcW w:w="1413" w:type="dxa"/>
            <w:tcBorders>
              <w:top w:val="nil"/>
              <w:left w:val="nil"/>
              <w:bottom w:val="nil"/>
              <w:right w:val="nil"/>
            </w:tcBorders>
            <w:vAlign w:val="center"/>
          </w:tcPr>
          <w:p w14:paraId="69B5CD12" w14:textId="5CF9DB4E"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-0.0127</w:t>
            </w:r>
            <w:r w:rsidR="00236E76" w:rsidRPr="00E4714B">
              <w:rPr>
                <w:rFonts w:ascii="Cambria" w:hAnsi="Cambria" w:cs="Times New Roman"/>
                <w:sz w:val="20"/>
                <w:szCs w:val="20"/>
              </w:rPr>
              <w:t>**</w:t>
            </w:r>
            <w:r w:rsidRPr="00E4714B">
              <w:rPr>
                <w:rFonts w:ascii="Cambria" w:hAnsi="Cambria" w:cs="Times New Roman"/>
                <w:sz w:val="20"/>
                <w:szCs w:val="20"/>
              </w:rPr>
              <w:t>*</w:t>
            </w:r>
          </w:p>
        </w:tc>
        <w:tc>
          <w:tcPr>
            <w:tcW w:w="1194" w:type="dxa"/>
            <w:tcBorders>
              <w:top w:val="nil"/>
              <w:left w:val="nil"/>
              <w:bottom w:val="nil"/>
              <w:right w:val="nil"/>
            </w:tcBorders>
            <w:vAlign w:val="center"/>
          </w:tcPr>
          <w:p w14:paraId="7E891DCD" w14:textId="77777777" w:rsidR="00236E76" w:rsidRPr="00E4714B" w:rsidRDefault="00236E76" w:rsidP="00E4714B">
            <w:pPr>
              <w:contextualSpacing/>
              <w:rPr>
                <w:rFonts w:ascii="Cambria" w:eastAsia="Times New Roman" w:hAnsi="Cambria" w:cs="Times New Roman"/>
                <w:iCs/>
                <w:sz w:val="20"/>
                <w:szCs w:val="20"/>
              </w:rPr>
            </w:pPr>
            <w:r w:rsidRPr="00E4714B">
              <w:rPr>
                <w:rFonts w:ascii="Cambria" w:hAnsi="Cambria" w:cs="Times New Roman"/>
                <w:sz w:val="20"/>
                <w:szCs w:val="20"/>
              </w:rPr>
              <w:t> -</w:t>
            </w:r>
          </w:p>
        </w:tc>
        <w:tc>
          <w:tcPr>
            <w:tcW w:w="1309" w:type="dxa"/>
            <w:tcBorders>
              <w:top w:val="nil"/>
              <w:left w:val="nil"/>
              <w:bottom w:val="nil"/>
              <w:right w:val="nil"/>
            </w:tcBorders>
            <w:vAlign w:val="center"/>
          </w:tcPr>
          <w:p w14:paraId="6D4941BF" w14:textId="2609E09F"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-0.3369***</w:t>
            </w:r>
          </w:p>
        </w:tc>
        <w:tc>
          <w:tcPr>
            <w:tcW w:w="1156" w:type="dxa"/>
            <w:tcBorders>
              <w:top w:val="nil"/>
              <w:left w:val="nil"/>
              <w:bottom w:val="nil"/>
              <w:right w:val="nil"/>
            </w:tcBorders>
            <w:vAlign w:val="center"/>
          </w:tcPr>
          <w:p w14:paraId="2E6C3B64" w14:textId="5E977CB3"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0.1388</w:t>
            </w:r>
          </w:p>
        </w:tc>
        <w:tc>
          <w:tcPr>
            <w:tcW w:w="1139" w:type="dxa"/>
            <w:tcBorders>
              <w:top w:val="nil"/>
              <w:left w:val="nil"/>
              <w:bottom w:val="nil"/>
              <w:right w:val="nil"/>
            </w:tcBorders>
            <w:vAlign w:val="center"/>
          </w:tcPr>
          <w:p w14:paraId="092F40AD" w14:textId="3183B480" w:rsidR="00236E76" w:rsidRPr="00E4714B" w:rsidRDefault="001B1C9F" w:rsidP="00E4714B">
            <w:pPr>
              <w:contextualSpacing/>
              <w:rPr>
                <w:rFonts w:ascii="Cambria" w:eastAsia="Times New Roman" w:hAnsi="Cambria" w:cs="Times New Roman"/>
                <w:iCs/>
                <w:sz w:val="20"/>
                <w:szCs w:val="20"/>
              </w:rPr>
            </w:pPr>
            <w:r w:rsidRPr="00E4714B">
              <w:rPr>
                <w:rFonts w:ascii="Cambria" w:hAnsi="Cambria" w:cs="Times New Roman"/>
                <w:sz w:val="20"/>
                <w:szCs w:val="20"/>
              </w:rPr>
              <w:t>0.0036</w:t>
            </w:r>
          </w:p>
        </w:tc>
        <w:tc>
          <w:tcPr>
            <w:tcW w:w="1417" w:type="dxa"/>
            <w:tcBorders>
              <w:top w:val="nil"/>
              <w:left w:val="nil"/>
              <w:bottom w:val="nil"/>
              <w:right w:val="nil"/>
            </w:tcBorders>
          </w:tcPr>
          <w:p w14:paraId="13D934A1" w14:textId="3D6B0399" w:rsidR="00236E76" w:rsidRPr="00E4714B" w:rsidRDefault="002125EE" w:rsidP="00E4714B">
            <w:pPr>
              <w:contextualSpacing/>
              <w:rPr>
                <w:rFonts w:ascii="Cambria" w:hAnsi="Cambria" w:cs="Times New Roman"/>
                <w:sz w:val="20"/>
                <w:szCs w:val="20"/>
              </w:rPr>
            </w:pPr>
            <w:r w:rsidRPr="00E4714B">
              <w:rPr>
                <w:rFonts w:ascii="Cambria" w:hAnsi="Cambria" w:cs="Times New Roman"/>
                <w:sz w:val="20"/>
                <w:szCs w:val="20"/>
              </w:rPr>
              <w:t>-0.0572**</w:t>
            </w:r>
          </w:p>
        </w:tc>
      </w:tr>
      <w:tr w:rsidR="00236E76" w:rsidRPr="00E4714B" w14:paraId="47FF533D" w14:textId="19E27161" w:rsidTr="001510EA">
        <w:trPr>
          <w:trHeight w:val="102"/>
        </w:trPr>
        <w:tc>
          <w:tcPr>
            <w:tcW w:w="9055" w:type="dxa"/>
            <w:gridSpan w:val="7"/>
            <w:tcBorders>
              <w:top w:val="single" w:sz="4" w:space="0" w:color="auto"/>
              <w:left w:val="nil"/>
              <w:bottom w:val="nil"/>
              <w:right w:val="nil"/>
            </w:tcBorders>
          </w:tcPr>
          <w:p w14:paraId="1F2445D2" w14:textId="2E1D73F7" w:rsidR="00236E76" w:rsidRPr="00E4714B" w:rsidRDefault="00236E76" w:rsidP="00E4714B">
            <w:pPr>
              <w:contextualSpacing/>
              <w:rPr>
                <w:rFonts w:ascii="Cambria" w:eastAsia="Times New Roman" w:hAnsi="Cambria" w:cs="Times New Roman"/>
                <w:iCs/>
                <w:sz w:val="20"/>
                <w:szCs w:val="20"/>
              </w:rPr>
            </w:pPr>
            <w:r w:rsidRPr="00E4714B">
              <w:rPr>
                <w:rFonts w:ascii="Cambria" w:eastAsia="Times New Roman" w:hAnsi="Cambria" w:cs="Times New Roman"/>
                <w:iCs/>
                <w:sz w:val="20"/>
                <w:szCs w:val="20"/>
              </w:rPr>
              <w:t xml:space="preserve">Note: (***), (**) and (*) </w:t>
            </w:r>
            <w:r w:rsidR="00A33530" w:rsidRPr="00E4714B">
              <w:rPr>
                <w:rFonts w:ascii="Cambria" w:eastAsia="Times New Roman" w:hAnsi="Cambria" w:cs="Times New Roman"/>
                <w:iCs/>
                <w:sz w:val="20"/>
                <w:szCs w:val="20"/>
              </w:rPr>
              <w:t>denote</w:t>
            </w:r>
            <w:r w:rsidRPr="00E4714B">
              <w:rPr>
                <w:rFonts w:ascii="Cambria" w:eastAsia="Times New Roman" w:hAnsi="Cambria" w:cs="Times New Roman"/>
                <w:iCs/>
                <w:sz w:val="20"/>
                <w:szCs w:val="20"/>
              </w:rPr>
              <w:t xml:space="preserve"> significance at the 1%, 5%, and 10% levels, respectively.</w:t>
            </w:r>
          </w:p>
        </w:tc>
      </w:tr>
    </w:tbl>
    <w:p w14:paraId="292927FF" w14:textId="77777777" w:rsidR="00686A1D" w:rsidRPr="00E4714B" w:rsidRDefault="00686A1D" w:rsidP="00E4714B">
      <w:pPr>
        <w:jc w:val="both"/>
        <w:rPr>
          <w:rFonts w:eastAsia="Times New Roman" w:cs="Times New Roman"/>
          <w:iCs/>
          <w:sz w:val="20"/>
          <w:szCs w:val="20"/>
        </w:rPr>
      </w:pPr>
    </w:p>
    <w:p w14:paraId="7CBF9DC2" w14:textId="223CB06A" w:rsidR="00092005" w:rsidRPr="00E4714B" w:rsidRDefault="003527B6" w:rsidP="00E4714B">
      <w:pPr>
        <w:pBdr>
          <w:top w:val="nil"/>
          <w:left w:val="nil"/>
          <w:bottom w:val="nil"/>
          <w:right w:val="nil"/>
          <w:between w:val="nil"/>
        </w:pBdr>
        <w:jc w:val="both"/>
        <w:rPr>
          <w:rFonts w:eastAsia="Times New Roman" w:cs="Times New Roman"/>
          <w:iCs/>
          <w:sz w:val="20"/>
          <w:szCs w:val="20"/>
        </w:rPr>
      </w:pPr>
      <w:r w:rsidRPr="00E4714B">
        <w:rPr>
          <w:rFonts w:eastAsia="Times New Roman" w:cs="Times New Roman"/>
          <w:iCs/>
          <w:sz w:val="20"/>
          <w:szCs w:val="20"/>
        </w:rPr>
        <w:t xml:space="preserve">After establishing the unidirectional causality relationship from Tourist Arrivals (TA) to Economic Uncertainty (EU), the study employs the structural VAR impulse response function to illustrate how economic policy uncertainty responds to a shock in the number of tourist arrivals. The results, depicted in Figure 2, demonstrate that during the initial stages, there is a rapid decrease of less than 0.1% in economic policy uncertainty when tourist arrivals increase by 1%. The reaction of </w:t>
      </w:r>
      <w:r w:rsidR="00A33530" w:rsidRPr="00E4714B">
        <w:rPr>
          <w:rFonts w:eastAsia="Times New Roman" w:cs="Times New Roman"/>
          <w:iCs/>
          <w:sz w:val="20"/>
          <w:szCs w:val="20"/>
        </w:rPr>
        <w:t xml:space="preserve">the </w:t>
      </w:r>
      <w:r w:rsidRPr="00E4714B">
        <w:rPr>
          <w:rFonts w:eastAsia="Times New Roman" w:cs="Times New Roman"/>
          <w:iCs/>
          <w:sz w:val="20"/>
          <w:szCs w:val="20"/>
        </w:rPr>
        <w:t xml:space="preserve">EU to a shock in TA becomes consistently stable after the first 10 periods. Figure </w:t>
      </w:r>
      <w:r w:rsidR="00461CD3" w:rsidRPr="00E4714B">
        <w:rPr>
          <w:rFonts w:eastAsia="Times New Roman" w:cs="Times New Roman"/>
          <w:iCs/>
          <w:sz w:val="20"/>
          <w:szCs w:val="20"/>
        </w:rPr>
        <w:t>3</w:t>
      </w:r>
      <w:r w:rsidRPr="00E4714B">
        <w:rPr>
          <w:rFonts w:eastAsia="Times New Roman" w:cs="Times New Roman"/>
          <w:iCs/>
          <w:sz w:val="20"/>
          <w:szCs w:val="20"/>
        </w:rPr>
        <w:t xml:space="preserve"> also presents, through the variance decomposition method, that the response of EU to a shock in TA stabilizes in the long run. By the second period, 5% of the variability in </w:t>
      </w:r>
      <w:r w:rsidR="00A33530" w:rsidRPr="00E4714B">
        <w:rPr>
          <w:rFonts w:eastAsia="Times New Roman" w:cs="Times New Roman"/>
          <w:iCs/>
          <w:sz w:val="20"/>
          <w:szCs w:val="20"/>
        </w:rPr>
        <w:t xml:space="preserve">the </w:t>
      </w:r>
      <w:r w:rsidRPr="00E4714B">
        <w:rPr>
          <w:rFonts w:eastAsia="Times New Roman" w:cs="Times New Roman"/>
          <w:iCs/>
          <w:sz w:val="20"/>
          <w:szCs w:val="20"/>
        </w:rPr>
        <w:t>EU is attributed to the shock in TA. These findings indicate that an increase in the tourist arrivals rate correlates with a decrease in economic policy uncertainty. The study suggests that elevated tourism levels contribute significantly to a country's revenue through taxes, fees, and tourist spending, fostering greater fiscal stability for the government and diminishing the likelihood of abrupt changes in the country's economic policy.</w:t>
      </w:r>
    </w:p>
    <w:p w14:paraId="2E16CAA0" w14:textId="77777777" w:rsidR="001510EA" w:rsidRDefault="001510EA" w:rsidP="00E4714B">
      <w:pPr>
        <w:pBdr>
          <w:top w:val="nil"/>
          <w:left w:val="nil"/>
          <w:bottom w:val="nil"/>
          <w:right w:val="nil"/>
          <w:between w:val="nil"/>
        </w:pBdr>
        <w:rPr>
          <w:color w:val="000000"/>
          <w:sz w:val="20"/>
          <w:szCs w:val="20"/>
        </w:rPr>
      </w:pPr>
    </w:p>
    <w:p w14:paraId="4AA26B23" w14:textId="7A1FB95B" w:rsidR="001510EA" w:rsidRPr="00E4714B" w:rsidRDefault="001510EA" w:rsidP="00E4714B">
      <w:pPr>
        <w:pBdr>
          <w:top w:val="nil"/>
          <w:left w:val="nil"/>
          <w:bottom w:val="nil"/>
          <w:right w:val="nil"/>
          <w:between w:val="nil"/>
        </w:pBdr>
        <w:rPr>
          <w:color w:val="000000"/>
          <w:sz w:val="20"/>
          <w:szCs w:val="20"/>
        </w:rPr>
      </w:pPr>
      <w:r w:rsidRPr="00E4714B">
        <w:rPr>
          <w:b/>
          <w:bCs/>
          <w:color w:val="000000"/>
          <w:sz w:val="20"/>
          <w:szCs w:val="20"/>
        </w:rPr>
        <w:t>Figure 2: Impulse response of the economic policy uncertainty index</w:t>
      </w:r>
    </w:p>
    <w:p w14:paraId="75F9F5B3" w14:textId="1153D847" w:rsidR="00EC00BB" w:rsidRPr="00E4714B" w:rsidRDefault="00EC00BB" w:rsidP="00E4714B">
      <w:pPr>
        <w:pBdr>
          <w:top w:val="nil"/>
          <w:left w:val="nil"/>
          <w:bottom w:val="nil"/>
          <w:right w:val="nil"/>
          <w:between w:val="nil"/>
        </w:pBdr>
        <w:jc w:val="center"/>
        <w:rPr>
          <w:color w:val="000000"/>
          <w:sz w:val="20"/>
          <w:szCs w:val="20"/>
        </w:rPr>
      </w:pPr>
      <w:r w:rsidRPr="00E4714B">
        <w:rPr>
          <w:rFonts w:eastAsia="Times New Roman" w:cs="Times New Roman"/>
          <w:iCs/>
          <w:noProof/>
          <w:color w:val="FF0000"/>
          <w:sz w:val="20"/>
          <w:szCs w:val="20"/>
        </w:rPr>
        <w:drawing>
          <wp:inline distT="0" distB="0" distL="0" distR="0" wp14:anchorId="589CE632" wp14:editId="2BE5C251">
            <wp:extent cx="5463650" cy="3976576"/>
            <wp:effectExtent l="0" t="0" r="3810" b="5080"/>
            <wp:docPr id="529010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5502" cy="3977924"/>
                    </a:xfrm>
                    <a:prstGeom prst="rect">
                      <a:avLst/>
                    </a:prstGeom>
                    <a:noFill/>
                    <a:ln>
                      <a:noFill/>
                    </a:ln>
                  </pic:spPr>
                </pic:pic>
              </a:graphicData>
            </a:graphic>
          </wp:inline>
        </w:drawing>
      </w:r>
    </w:p>
    <w:p w14:paraId="3D96DBA7" w14:textId="3B2B6853" w:rsidR="00EC00BB" w:rsidRPr="00E4714B" w:rsidRDefault="00EC00BB" w:rsidP="00E4714B">
      <w:pPr>
        <w:pBdr>
          <w:top w:val="nil"/>
          <w:left w:val="nil"/>
          <w:bottom w:val="nil"/>
          <w:right w:val="nil"/>
          <w:between w:val="nil"/>
        </w:pBdr>
        <w:jc w:val="center"/>
        <w:rPr>
          <w:b/>
          <w:bCs/>
          <w:color w:val="000000"/>
          <w:sz w:val="20"/>
          <w:szCs w:val="20"/>
        </w:rPr>
      </w:pPr>
    </w:p>
    <w:p w14:paraId="7BF0D4C3" w14:textId="77777777" w:rsidR="00461CD3" w:rsidRPr="00E4714B" w:rsidRDefault="00461CD3" w:rsidP="00E4714B">
      <w:pPr>
        <w:pBdr>
          <w:top w:val="nil"/>
          <w:left w:val="nil"/>
          <w:bottom w:val="nil"/>
          <w:right w:val="nil"/>
          <w:between w:val="nil"/>
        </w:pBdr>
        <w:jc w:val="center"/>
        <w:rPr>
          <w:b/>
          <w:bCs/>
          <w:color w:val="000000"/>
          <w:sz w:val="20"/>
          <w:szCs w:val="20"/>
        </w:rPr>
      </w:pPr>
    </w:p>
    <w:p w14:paraId="4F765FE2" w14:textId="5DCAA56D" w:rsidR="00461CD3" w:rsidRPr="00E4714B" w:rsidRDefault="001510EA" w:rsidP="001510EA">
      <w:pPr>
        <w:pBdr>
          <w:top w:val="nil"/>
          <w:left w:val="nil"/>
          <w:bottom w:val="nil"/>
          <w:right w:val="nil"/>
          <w:between w:val="nil"/>
        </w:pBdr>
        <w:rPr>
          <w:b/>
          <w:bCs/>
          <w:color w:val="000000"/>
          <w:sz w:val="20"/>
          <w:szCs w:val="20"/>
        </w:rPr>
      </w:pPr>
      <w:r w:rsidRPr="00E4714B">
        <w:rPr>
          <w:b/>
          <w:bCs/>
          <w:color w:val="000000"/>
          <w:sz w:val="20"/>
          <w:szCs w:val="20"/>
        </w:rPr>
        <w:lastRenderedPageBreak/>
        <w:t>Figure 3: Variance decomposition of economic policy uncertainty index</w:t>
      </w:r>
    </w:p>
    <w:p w14:paraId="6830923B" w14:textId="2A66CF94" w:rsidR="00461CD3" w:rsidRPr="00E4714B" w:rsidRDefault="00461CD3" w:rsidP="00E4714B">
      <w:pPr>
        <w:pBdr>
          <w:top w:val="nil"/>
          <w:left w:val="nil"/>
          <w:bottom w:val="nil"/>
          <w:right w:val="nil"/>
          <w:between w:val="nil"/>
        </w:pBdr>
        <w:jc w:val="center"/>
        <w:rPr>
          <w:b/>
          <w:bCs/>
          <w:color w:val="000000"/>
          <w:sz w:val="20"/>
          <w:szCs w:val="20"/>
        </w:rPr>
      </w:pPr>
      <w:r w:rsidRPr="00E4714B">
        <w:rPr>
          <w:rFonts w:eastAsia="Times New Roman" w:cs="Times New Roman"/>
          <w:iCs/>
          <w:noProof/>
          <w:color w:val="FF0000"/>
          <w:sz w:val="20"/>
          <w:szCs w:val="20"/>
        </w:rPr>
        <w:drawing>
          <wp:inline distT="0" distB="0" distL="0" distR="0" wp14:anchorId="45363B0E" wp14:editId="4C845D34">
            <wp:extent cx="5025390" cy="3657600"/>
            <wp:effectExtent l="0" t="0" r="3810" b="0"/>
            <wp:docPr id="1899131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14:paraId="14473723" w14:textId="77777777" w:rsidR="00461CD3" w:rsidRPr="00E4714B" w:rsidRDefault="00461CD3" w:rsidP="00E4714B">
      <w:pPr>
        <w:pBdr>
          <w:top w:val="nil"/>
          <w:left w:val="nil"/>
          <w:bottom w:val="nil"/>
          <w:right w:val="nil"/>
          <w:between w:val="nil"/>
        </w:pBdr>
        <w:jc w:val="center"/>
        <w:rPr>
          <w:b/>
          <w:bCs/>
          <w:color w:val="000000"/>
          <w:sz w:val="20"/>
          <w:szCs w:val="20"/>
        </w:rPr>
      </w:pPr>
    </w:p>
    <w:p w14:paraId="1FDC8C8A" w14:textId="173FEF6A" w:rsidR="003527B6" w:rsidRPr="00E4714B" w:rsidRDefault="00000000" w:rsidP="00E4714B">
      <w:pPr>
        <w:pStyle w:val="Heading1"/>
        <w:ind w:left="0"/>
        <w:jc w:val="both"/>
        <w:rPr>
          <w:b w:val="0"/>
          <w:bCs w:val="0"/>
        </w:rPr>
      </w:pPr>
      <w:r w:rsidRPr="00E4714B">
        <w:t>Discussion</w:t>
      </w:r>
      <w:r w:rsidR="003E66E1" w:rsidRPr="00E4714B">
        <w:t xml:space="preserve">: </w:t>
      </w:r>
      <w:r w:rsidR="003527B6" w:rsidRPr="00E4714B">
        <w:rPr>
          <w:b w:val="0"/>
          <w:bCs w:val="0"/>
        </w:rPr>
        <w:t xml:space="preserve">The results for the geopolitical risk variable show no significant long-term relationship between tourist arrivals and geopolitical risk. In the short run, there is a weak negative impact of geopolitical risk on Malaysian tourism, confirming previous findings by Syed et al. (2022) that the influence of geopolitical risk varies across countries, affecting some more significantly than others. These findings are also in line with Balli et al. (2019) study, suggesting that international tourists may not consider geopolitical risk seriously when deciding to travel, particularly for countries with appealing tourism destinations like Malaysia. </w:t>
      </w:r>
      <w:r w:rsidR="00894849" w:rsidRPr="00E4714B">
        <w:rPr>
          <w:b w:val="0"/>
          <w:bCs w:val="0"/>
        </w:rPr>
        <w:t xml:space="preserve">The limited impact of geopolitical risks on tourist arrivals in Malaysia over the long run may be attributed to the significant appeal of the country's numerous destinations. </w:t>
      </w:r>
    </w:p>
    <w:p w14:paraId="6B085296" w14:textId="77777777" w:rsidR="003527B6" w:rsidRPr="00E4714B" w:rsidRDefault="003527B6" w:rsidP="00E4714B">
      <w:pPr>
        <w:pStyle w:val="Heading1"/>
        <w:ind w:left="0"/>
        <w:jc w:val="both"/>
        <w:rPr>
          <w:b w:val="0"/>
          <w:bCs w:val="0"/>
        </w:rPr>
      </w:pPr>
    </w:p>
    <w:p w14:paraId="439DC53F" w14:textId="73708A12" w:rsidR="00C2599D" w:rsidRPr="00E4714B" w:rsidRDefault="00C2599D" w:rsidP="00E4714B">
      <w:pPr>
        <w:pStyle w:val="Heading1"/>
        <w:ind w:left="0"/>
        <w:jc w:val="both"/>
        <w:rPr>
          <w:b w:val="0"/>
          <w:bCs w:val="0"/>
        </w:rPr>
      </w:pPr>
      <w:r w:rsidRPr="00E4714B">
        <w:rPr>
          <w:b w:val="0"/>
          <w:bCs w:val="0"/>
        </w:rPr>
        <w:t xml:space="preserve">Findings from the </w:t>
      </w:r>
      <w:r w:rsidR="00A40DDA" w:rsidRPr="00E4714B">
        <w:rPr>
          <w:b w:val="0"/>
          <w:bCs w:val="0"/>
        </w:rPr>
        <w:t xml:space="preserve">analysis of causality </w:t>
      </w:r>
      <w:r w:rsidRPr="00E4714B">
        <w:rPr>
          <w:b w:val="0"/>
          <w:bCs w:val="0"/>
        </w:rPr>
        <w:t xml:space="preserve">reveal a cointegrating relationship between economic uncertainty and tourist arrivals. </w:t>
      </w:r>
      <w:r w:rsidR="00044729" w:rsidRPr="00E4714B">
        <w:rPr>
          <w:b w:val="0"/>
          <w:bCs w:val="0"/>
        </w:rPr>
        <w:t xml:space="preserve"> </w:t>
      </w:r>
      <w:r w:rsidRPr="00E4714B">
        <w:rPr>
          <w:b w:val="0"/>
          <w:bCs w:val="0"/>
        </w:rPr>
        <w:t>A decrease in tourist arrivals may lead to increased economic policy uncertainty in Malaysia, while a thriving tourism industry could contribute to economic stability and reduced uncertainty. These results align with the study by Akadiri et al. (2020), supporting a one-way causality relationship from international tourist arrivals to economic policy uncertainty, consistent with the tourism-economic policy uncertainty hypothesis.</w:t>
      </w:r>
    </w:p>
    <w:p w14:paraId="2DB33014" w14:textId="77777777" w:rsidR="00C2599D" w:rsidRPr="00E4714B" w:rsidRDefault="00C2599D" w:rsidP="00E4714B">
      <w:pPr>
        <w:pStyle w:val="Heading1"/>
        <w:ind w:left="0"/>
        <w:jc w:val="both"/>
        <w:rPr>
          <w:b w:val="0"/>
          <w:bCs w:val="0"/>
        </w:rPr>
      </w:pPr>
    </w:p>
    <w:p w14:paraId="02B54B9E" w14:textId="3A892CB4" w:rsidR="00B52561" w:rsidRPr="00E4714B" w:rsidRDefault="00C2599D" w:rsidP="00E4714B">
      <w:pPr>
        <w:pBdr>
          <w:top w:val="nil"/>
          <w:left w:val="nil"/>
          <w:bottom w:val="nil"/>
          <w:right w:val="nil"/>
          <w:between w:val="nil"/>
        </w:pBdr>
        <w:jc w:val="both"/>
        <w:rPr>
          <w:sz w:val="20"/>
          <w:szCs w:val="20"/>
        </w:rPr>
      </w:pPr>
      <w:r w:rsidRPr="00E4714B">
        <w:rPr>
          <w:sz w:val="20"/>
          <w:szCs w:val="20"/>
        </w:rPr>
        <w:t xml:space="preserve">This study also presents the results from the structural VAR impulse response function in Figure 2. </w:t>
      </w:r>
      <w:r w:rsidR="00894849" w:rsidRPr="00E4714B">
        <w:rPr>
          <w:sz w:val="20"/>
          <w:szCs w:val="20"/>
        </w:rPr>
        <w:t xml:space="preserve">The findings demonstrate that a rise in tourist arrivals quantitatively results in a rapid initial decrease (less than 0.1%) in economic policy uncertainty. This decrease remains relatively stable in the long run, with approximately 5% of the variability in economic policy uncertainty attributed to the impact of tourist arrivals (Figure 3). </w:t>
      </w:r>
      <w:r w:rsidRPr="00E4714B">
        <w:rPr>
          <w:sz w:val="20"/>
          <w:szCs w:val="20"/>
        </w:rPr>
        <w:t>Overall, these results suggest that increased tourism in Malaysia corresponds to lower economic policy uncertainty. This is because the tourism industry significantly contributes to the country’s revenue through taxes (Tovmasyan, 2021; Pole and Grizane, 2021), fees (Wu et al., 2017; Walpole et al., 2001), and tourist spending (Gavurova et al., 2020). This income remains relevant in boosting Malaysia's economy and reducing the likelihood of sudden changes in economic policy, as reported by Fuad and Puasa (2011).</w:t>
      </w:r>
    </w:p>
    <w:p w14:paraId="6C1D63BB" w14:textId="77777777" w:rsidR="00C2599D" w:rsidRDefault="00C2599D" w:rsidP="00E4714B">
      <w:pPr>
        <w:pBdr>
          <w:top w:val="nil"/>
          <w:left w:val="nil"/>
          <w:bottom w:val="nil"/>
          <w:right w:val="nil"/>
          <w:between w:val="nil"/>
        </w:pBdr>
        <w:rPr>
          <w:color w:val="000000"/>
          <w:sz w:val="20"/>
          <w:szCs w:val="20"/>
        </w:rPr>
      </w:pPr>
    </w:p>
    <w:p w14:paraId="55F8F90E" w14:textId="77777777" w:rsidR="001510EA" w:rsidRDefault="001510EA" w:rsidP="00E4714B">
      <w:pPr>
        <w:pBdr>
          <w:top w:val="nil"/>
          <w:left w:val="nil"/>
          <w:bottom w:val="nil"/>
          <w:right w:val="nil"/>
          <w:between w:val="nil"/>
        </w:pBdr>
        <w:rPr>
          <w:color w:val="000000"/>
          <w:sz w:val="20"/>
          <w:szCs w:val="20"/>
        </w:rPr>
      </w:pPr>
    </w:p>
    <w:p w14:paraId="3DF7AAFD" w14:textId="77777777" w:rsidR="001510EA" w:rsidRPr="00E4714B" w:rsidRDefault="001510EA" w:rsidP="00E4714B">
      <w:pPr>
        <w:pBdr>
          <w:top w:val="nil"/>
          <w:left w:val="nil"/>
          <w:bottom w:val="nil"/>
          <w:right w:val="nil"/>
          <w:between w:val="nil"/>
        </w:pBdr>
        <w:rPr>
          <w:color w:val="000000"/>
          <w:sz w:val="20"/>
          <w:szCs w:val="20"/>
        </w:rPr>
      </w:pPr>
    </w:p>
    <w:p w14:paraId="2E2E49EA" w14:textId="771A9F54" w:rsidR="00092005" w:rsidRPr="00E4714B" w:rsidRDefault="001510EA" w:rsidP="001510EA">
      <w:pPr>
        <w:pStyle w:val="Heading1"/>
        <w:tabs>
          <w:tab w:val="left" w:pos="450"/>
        </w:tabs>
        <w:ind w:left="0"/>
      </w:pPr>
      <w:r>
        <w:lastRenderedPageBreak/>
        <w:t xml:space="preserve">5. </w:t>
      </w:r>
      <w:r w:rsidR="00000000" w:rsidRPr="00E4714B">
        <w:t>Managerial Implications and Recommendations</w:t>
      </w:r>
    </w:p>
    <w:p w14:paraId="260D34AF" w14:textId="77777777" w:rsidR="00E83C16" w:rsidRPr="00E4714B" w:rsidRDefault="00E83C16" w:rsidP="00E4714B">
      <w:pPr>
        <w:pStyle w:val="Heading1"/>
        <w:tabs>
          <w:tab w:val="left" w:pos="450"/>
        </w:tabs>
        <w:ind w:left="0"/>
      </w:pPr>
    </w:p>
    <w:p w14:paraId="1C37E7F8" w14:textId="6E5FDB03" w:rsidR="003527B6" w:rsidRPr="00E4714B" w:rsidRDefault="003527B6" w:rsidP="00E4714B">
      <w:pPr>
        <w:pBdr>
          <w:top w:val="nil"/>
          <w:left w:val="nil"/>
          <w:bottom w:val="nil"/>
          <w:right w:val="nil"/>
          <w:between w:val="nil"/>
        </w:pBdr>
        <w:jc w:val="both"/>
        <w:rPr>
          <w:sz w:val="20"/>
          <w:szCs w:val="20"/>
        </w:rPr>
      </w:pPr>
      <w:r w:rsidRPr="00E4714B">
        <w:rPr>
          <w:sz w:val="20"/>
          <w:szCs w:val="20"/>
        </w:rPr>
        <w:t>This study provides valuable insights for policymakers and managers. The limited long-term impact of geopolitical risk on tourist arrivals suggests that policymakers can mitigate short-term effects by leveraging attractive destinations and implementing effective security measures to prepare for potential future risks.</w:t>
      </w:r>
      <w:r w:rsidR="00C822E9" w:rsidRPr="00E4714B">
        <w:rPr>
          <w:sz w:val="20"/>
          <w:szCs w:val="20"/>
        </w:rPr>
        <w:t xml:space="preserve"> </w:t>
      </w:r>
      <w:r w:rsidRPr="00E4714B">
        <w:rPr>
          <w:sz w:val="20"/>
          <w:szCs w:val="20"/>
        </w:rPr>
        <w:t xml:space="preserve">Furthermore, the study emphasizes that increased tourist arrivals contribute to fostering a stable economic policy environment. Businesses can benefit by aligning their strategies with a thriving tourism industry. Therefore, continuous efforts to support and promote tourism are vital for maintaining economic stability. </w:t>
      </w:r>
    </w:p>
    <w:p w14:paraId="7989E3CC" w14:textId="77777777" w:rsidR="00461CD3" w:rsidRPr="00E4714B" w:rsidRDefault="00461CD3" w:rsidP="00E4714B">
      <w:pPr>
        <w:pBdr>
          <w:top w:val="nil"/>
          <w:left w:val="nil"/>
          <w:bottom w:val="nil"/>
          <w:right w:val="nil"/>
          <w:between w:val="nil"/>
        </w:pBdr>
        <w:rPr>
          <w:color w:val="000000"/>
          <w:sz w:val="20"/>
          <w:szCs w:val="20"/>
        </w:rPr>
      </w:pPr>
    </w:p>
    <w:p w14:paraId="51047137" w14:textId="5F0131F2" w:rsidR="00092005" w:rsidRPr="00E4714B" w:rsidRDefault="00000000" w:rsidP="001510EA">
      <w:pPr>
        <w:pStyle w:val="Heading1"/>
        <w:ind w:left="0"/>
      </w:pPr>
      <w:r w:rsidRPr="00E4714B">
        <w:t>Conclusion</w:t>
      </w:r>
    </w:p>
    <w:p w14:paraId="15CB5A6F" w14:textId="74A0B407" w:rsidR="003527B6" w:rsidRPr="00E4714B" w:rsidRDefault="003527B6" w:rsidP="00E4714B">
      <w:pPr>
        <w:pBdr>
          <w:top w:val="nil"/>
          <w:left w:val="nil"/>
          <w:bottom w:val="nil"/>
          <w:right w:val="nil"/>
          <w:between w:val="nil"/>
        </w:pBdr>
        <w:jc w:val="both"/>
        <w:rPr>
          <w:sz w:val="20"/>
          <w:szCs w:val="20"/>
        </w:rPr>
      </w:pPr>
      <w:r w:rsidRPr="00E4714B">
        <w:rPr>
          <w:sz w:val="20"/>
          <w:szCs w:val="20"/>
        </w:rPr>
        <w:t>In this study, the researchers investigated the relationship among geopolitical risk, economic policy uncertainty, and tourist arrivals in Malaysia using quarterly data spanning from 2000 to 2022. The tourism industry's substantial contribution to Malaysia’s GDP, with a 26.7% increase observed from 2021 to 2022, underscores the importance of understanding the interplay between various risk factors and tourist arrivals for potential insights into economic fluctuations.</w:t>
      </w:r>
    </w:p>
    <w:p w14:paraId="35592074" w14:textId="77777777" w:rsidR="003527B6" w:rsidRPr="00E4714B" w:rsidRDefault="003527B6" w:rsidP="00E4714B">
      <w:pPr>
        <w:pBdr>
          <w:top w:val="nil"/>
          <w:left w:val="nil"/>
          <w:bottom w:val="nil"/>
          <w:right w:val="nil"/>
          <w:between w:val="nil"/>
        </w:pBdr>
        <w:jc w:val="both"/>
        <w:rPr>
          <w:sz w:val="20"/>
          <w:szCs w:val="20"/>
        </w:rPr>
      </w:pPr>
    </w:p>
    <w:p w14:paraId="373ECA99" w14:textId="77777777" w:rsidR="003527B6" w:rsidRPr="00E4714B" w:rsidRDefault="003527B6" w:rsidP="00E4714B">
      <w:pPr>
        <w:pBdr>
          <w:top w:val="nil"/>
          <w:left w:val="nil"/>
          <w:bottom w:val="nil"/>
          <w:right w:val="nil"/>
          <w:between w:val="nil"/>
        </w:pBdr>
        <w:jc w:val="both"/>
        <w:rPr>
          <w:sz w:val="20"/>
          <w:szCs w:val="20"/>
        </w:rPr>
      </w:pPr>
      <w:r w:rsidRPr="00E4714B">
        <w:rPr>
          <w:sz w:val="20"/>
          <w:szCs w:val="20"/>
        </w:rPr>
        <w:t>Existing literature has consistently shown that escalating geopolitical tensions and economic policy uncertainty have adverse effects on tourist arrivals (Payne et al., 2023; Tiwari et al., 2019; Ongan and Gozgor, 2018). While previous studies have predominantly focused on the impact of geopolitical risk and economic policy uncertainty on tourist arrivals, there has been limited attention dedicated to comprehending how tourist arrivals might reciprocally influence these uncertainties. This study aims to address this gap in the existing literature.</w:t>
      </w:r>
    </w:p>
    <w:p w14:paraId="7EEF1BDB" w14:textId="77777777" w:rsidR="003527B6" w:rsidRPr="00E4714B" w:rsidRDefault="003527B6" w:rsidP="00E4714B">
      <w:pPr>
        <w:pBdr>
          <w:top w:val="nil"/>
          <w:left w:val="nil"/>
          <w:bottom w:val="nil"/>
          <w:right w:val="nil"/>
          <w:between w:val="nil"/>
        </w:pBdr>
        <w:jc w:val="both"/>
        <w:rPr>
          <w:sz w:val="20"/>
          <w:szCs w:val="20"/>
        </w:rPr>
      </w:pPr>
    </w:p>
    <w:p w14:paraId="006A629A" w14:textId="328B033F" w:rsidR="00092005" w:rsidRPr="00E4714B" w:rsidRDefault="003527B6" w:rsidP="00E4714B">
      <w:pPr>
        <w:pBdr>
          <w:top w:val="nil"/>
          <w:left w:val="nil"/>
          <w:bottom w:val="nil"/>
          <w:right w:val="nil"/>
          <w:between w:val="nil"/>
        </w:pBdr>
        <w:jc w:val="both"/>
        <w:rPr>
          <w:sz w:val="20"/>
          <w:szCs w:val="20"/>
        </w:rPr>
      </w:pPr>
      <w:r w:rsidRPr="00E4714B">
        <w:rPr>
          <w:sz w:val="20"/>
          <w:szCs w:val="20"/>
        </w:rPr>
        <w:t xml:space="preserve">The analysis, conducted using the GPR index developed by </w:t>
      </w:r>
      <w:r w:rsidR="00912653" w:rsidRPr="00E4714B">
        <w:rPr>
          <w:color w:val="252525"/>
          <w:sz w:val="20"/>
          <w:szCs w:val="20"/>
        </w:rPr>
        <w:t>Caldara and Iacoviello</w:t>
      </w:r>
      <w:r w:rsidR="00912653" w:rsidRPr="00E4714B">
        <w:rPr>
          <w:sz w:val="20"/>
          <w:szCs w:val="20"/>
        </w:rPr>
        <w:t xml:space="preserve"> (2022) </w:t>
      </w:r>
      <w:r w:rsidRPr="00E4714B">
        <w:rPr>
          <w:sz w:val="20"/>
          <w:szCs w:val="20"/>
        </w:rPr>
        <w:t xml:space="preserve">and EU data sourced from the Datastream database, reveals a </w:t>
      </w:r>
      <w:r w:rsidR="00934CEA" w:rsidRPr="00E4714B">
        <w:rPr>
          <w:sz w:val="20"/>
          <w:szCs w:val="20"/>
        </w:rPr>
        <w:t>cointegrating</w:t>
      </w:r>
      <w:r w:rsidRPr="00E4714B">
        <w:rPr>
          <w:sz w:val="20"/>
          <w:szCs w:val="20"/>
        </w:rPr>
        <w:t xml:space="preserve"> relationship between economic uncertainty and tourist arrivals, contrasting with the absence of a similar relationship for geopolitical risk. Moreover, the findings indicate a unidirectional Granger causality relationship </w:t>
      </w:r>
      <w:r w:rsidR="00A33530" w:rsidRPr="00E4714B">
        <w:rPr>
          <w:sz w:val="20"/>
          <w:szCs w:val="20"/>
        </w:rPr>
        <w:t>between</w:t>
      </w:r>
      <w:r w:rsidRPr="00E4714B">
        <w:rPr>
          <w:sz w:val="20"/>
          <w:szCs w:val="20"/>
        </w:rPr>
        <w:t xml:space="preserve"> tourist arrivals to changes in economic policy uncertainty. Specifically, a 1% increase in tourist arrivals results in a slight decrease (less than 0.1%) in economic policy uncertainty. This observation is attributed to the positive influence of heightened tourism on income generation from tourism activities, leading to a minor reduction in economic policy uncertainty. These consistent results are obtained across various robust econometric techniques, including the Johansen cointegration test, structural VAR model, impulse response function</w:t>
      </w:r>
      <w:r w:rsidR="006656E0" w:rsidRPr="00E4714B">
        <w:rPr>
          <w:sz w:val="20"/>
          <w:szCs w:val="20"/>
        </w:rPr>
        <w:t>, and variance decomposition analysis</w:t>
      </w:r>
      <w:r w:rsidRPr="00E4714B">
        <w:rPr>
          <w:sz w:val="20"/>
          <w:szCs w:val="20"/>
        </w:rPr>
        <w:t>. The study underscores the significance of recognizing the role of tourism industry growth in mitigating economic policy uncertainty, offering valuable insights for practitioners, policymakers, and investors.</w:t>
      </w:r>
    </w:p>
    <w:p w14:paraId="79213AD9" w14:textId="77777777" w:rsidR="00C822E9" w:rsidRPr="00E4714B" w:rsidRDefault="00C822E9" w:rsidP="00E4714B">
      <w:pPr>
        <w:pBdr>
          <w:top w:val="nil"/>
          <w:left w:val="nil"/>
          <w:bottom w:val="nil"/>
          <w:right w:val="nil"/>
          <w:between w:val="nil"/>
        </w:pBdr>
        <w:jc w:val="both"/>
        <w:rPr>
          <w:sz w:val="20"/>
          <w:szCs w:val="20"/>
        </w:rPr>
      </w:pPr>
    </w:p>
    <w:p w14:paraId="297433DC" w14:textId="4BD3EE2F" w:rsidR="00951795" w:rsidRPr="00E4714B" w:rsidRDefault="00A33530" w:rsidP="00E4714B">
      <w:pPr>
        <w:jc w:val="both"/>
        <w:rPr>
          <w:rFonts w:eastAsia="Times New Roman" w:cs="Times New Roman"/>
          <w:sz w:val="20"/>
          <w:szCs w:val="20"/>
        </w:rPr>
      </w:pPr>
      <w:r w:rsidRPr="00E4714B">
        <w:rPr>
          <w:rFonts w:eastAsia="Times New Roman" w:cs="Times New Roman"/>
          <w:b/>
          <w:bCs/>
          <w:sz w:val="20"/>
          <w:szCs w:val="20"/>
        </w:rPr>
        <w:t>Acknowledgment</w:t>
      </w:r>
      <w:r w:rsidR="00951795" w:rsidRPr="00E4714B">
        <w:rPr>
          <w:rFonts w:eastAsia="Times New Roman" w:cs="Times New Roman"/>
          <w:b/>
          <w:bCs/>
          <w:sz w:val="20"/>
          <w:szCs w:val="20"/>
        </w:rPr>
        <w:t xml:space="preserve">: </w:t>
      </w:r>
      <w:r w:rsidR="00951795" w:rsidRPr="00E4714B">
        <w:rPr>
          <w:rFonts w:eastAsia="Times New Roman" w:cs="Times New Roman"/>
          <w:sz w:val="20"/>
          <w:szCs w:val="20"/>
        </w:rPr>
        <w:t>We would like to express our sincere gratitude to the Faculty of Business and Management, Universiti Teknologi Mara for the research grant funding. This research was supported by the</w:t>
      </w:r>
      <w:r w:rsidR="003356A9" w:rsidRPr="00E4714B">
        <w:rPr>
          <w:rFonts w:eastAsia="Times New Roman" w:cs="Times New Roman"/>
          <w:sz w:val="20"/>
          <w:szCs w:val="20"/>
        </w:rPr>
        <w:t xml:space="preserve"> F</w:t>
      </w:r>
      <w:r w:rsidR="00951795" w:rsidRPr="00E4714B">
        <w:rPr>
          <w:rFonts w:eastAsia="Times New Roman" w:cs="Times New Roman"/>
          <w:sz w:val="20"/>
          <w:szCs w:val="20"/>
        </w:rPr>
        <w:t xml:space="preserve">aculty of Business and Management, Universiti Teknologi Mara. Grant Number: </w:t>
      </w:r>
      <w:r w:rsidR="003356A9" w:rsidRPr="00E4714B">
        <w:rPr>
          <w:rFonts w:eastAsia="Times New Roman" w:cs="Times New Roman"/>
          <w:sz w:val="20"/>
          <w:szCs w:val="20"/>
        </w:rPr>
        <w:t>600-TNCPI 5/3/DDF (FPP) (011/2022).</w:t>
      </w:r>
    </w:p>
    <w:p w14:paraId="49A7E717" w14:textId="77777777" w:rsidR="003527B6" w:rsidRPr="00E4714B" w:rsidRDefault="003527B6" w:rsidP="00E4714B">
      <w:pPr>
        <w:pBdr>
          <w:top w:val="nil"/>
          <w:left w:val="nil"/>
          <w:bottom w:val="nil"/>
          <w:right w:val="nil"/>
          <w:between w:val="nil"/>
        </w:pBdr>
        <w:rPr>
          <w:color w:val="000000"/>
          <w:sz w:val="20"/>
          <w:szCs w:val="20"/>
        </w:rPr>
      </w:pPr>
    </w:p>
    <w:p w14:paraId="5CB06F11" w14:textId="499EDD57" w:rsidR="00F55D34" w:rsidRPr="00E4714B" w:rsidRDefault="00E9352B" w:rsidP="00E4714B">
      <w:pPr>
        <w:pStyle w:val="Heading1"/>
        <w:ind w:left="0"/>
        <w:jc w:val="both"/>
        <w:rPr>
          <w:rFonts w:eastAsia="Times New Roman" w:cs="Segoe UI Historic"/>
          <w:bCs w:val="0"/>
          <w:lang w:val="en-MY"/>
        </w:rPr>
      </w:pPr>
      <w:r w:rsidRPr="00E4714B">
        <w:rPr>
          <w:rFonts w:eastAsia="Times New Roman" w:cs="Segoe UI Historic"/>
          <w:bCs w:val="0"/>
          <w:lang w:val="en-MY"/>
        </w:rPr>
        <w:t>References</w:t>
      </w:r>
    </w:p>
    <w:p w14:paraId="448949AE" w14:textId="77777777" w:rsidR="00E9352B" w:rsidRPr="00E4714B" w:rsidRDefault="00E9352B" w:rsidP="00E4714B">
      <w:pPr>
        <w:pStyle w:val="Heading1"/>
        <w:ind w:left="0"/>
        <w:jc w:val="both"/>
        <w:rPr>
          <w:rFonts w:eastAsia="Times New Roman" w:cs="Segoe UI Historic"/>
          <w:bCs w:val="0"/>
          <w:lang w:val="en-MY"/>
        </w:rPr>
      </w:pPr>
    </w:p>
    <w:p w14:paraId="77A1BCFC" w14:textId="3C377D7C"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 xml:space="preserve">Ahir, H., Bloom, N., &amp; Furceri, D. (2022). The world uncertainty index (No. w29763). National </w:t>
      </w:r>
      <w:r w:rsidR="00B002BC" w:rsidRPr="00E4714B">
        <w:rPr>
          <w:rFonts w:cs="Arial"/>
          <w:b w:val="0"/>
          <w:shd w:val="clear" w:color="auto" w:fill="FFFFFF"/>
        </w:rPr>
        <w:t>Bureau of</w:t>
      </w:r>
      <w:r w:rsidR="001510EA">
        <w:rPr>
          <w:rFonts w:cs="Arial"/>
          <w:b w:val="0"/>
          <w:shd w:val="clear" w:color="auto" w:fill="FFFFFF"/>
        </w:rPr>
        <w:t xml:space="preserve"> </w:t>
      </w:r>
      <w:r w:rsidR="00B002BC" w:rsidRPr="00E4714B">
        <w:rPr>
          <w:rFonts w:cs="Arial"/>
          <w:b w:val="0"/>
          <w:shd w:val="clear" w:color="auto" w:fill="FFFFFF"/>
        </w:rPr>
        <w:t>Economic Research</w:t>
      </w:r>
      <w:r w:rsidRPr="00E4714B">
        <w:rPr>
          <w:rFonts w:cs="Arial"/>
          <w:b w:val="0"/>
          <w:shd w:val="clear" w:color="auto" w:fill="FFFFFF"/>
        </w:rPr>
        <w:t>.</w:t>
      </w:r>
    </w:p>
    <w:p w14:paraId="1BF6B14C" w14:textId="77777777"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Akadiri, S. S., Alola, A. A., &amp; Uzuner, G. (2020). Economic policy uncertainty and tourism: evidence from the heterogeneous panel. </w:t>
      </w:r>
      <w:r w:rsidRPr="00E4714B">
        <w:rPr>
          <w:rFonts w:cs="Arial"/>
          <w:b w:val="0"/>
          <w:i/>
          <w:iCs/>
          <w:shd w:val="clear" w:color="auto" w:fill="FFFFFF"/>
        </w:rPr>
        <w:t>Current Issues in Tourism</w:t>
      </w:r>
      <w:r w:rsidRPr="00E4714B">
        <w:rPr>
          <w:rFonts w:cs="Arial"/>
          <w:b w:val="0"/>
          <w:shd w:val="clear" w:color="auto" w:fill="FFFFFF"/>
        </w:rPr>
        <w:t>, </w:t>
      </w:r>
      <w:r w:rsidRPr="00E4714B">
        <w:rPr>
          <w:rFonts w:cs="Arial"/>
          <w:b w:val="0"/>
          <w:i/>
          <w:iCs/>
          <w:shd w:val="clear" w:color="auto" w:fill="FFFFFF"/>
        </w:rPr>
        <w:t>23</w:t>
      </w:r>
      <w:r w:rsidRPr="00E4714B">
        <w:rPr>
          <w:rFonts w:cs="Arial"/>
          <w:b w:val="0"/>
          <w:shd w:val="clear" w:color="auto" w:fill="FFFFFF"/>
        </w:rPr>
        <w:t>(20), 2507-2514.</w:t>
      </w:r>
    </w:p>
    <w:p w14:paraId="1F535DFC" w14:textId="77777777" w:rsidR="00D23F06" w:rsidRPr="00E4714B" w:rsidRDefault="00D23F06" w:rsidP="001510EA">
      <w:pPr>
        <w:pBdr>
          <w:top w:val="nil"/>
          <w:left w:val="nil"/>
          <w:bottom w:val="nil"/>
          <w:right w:val="nil"/>
          <w:between w:val="nil"/>
        </w:pBdr>
        <w:ind w:left="720" w:hanging="720"/>
        <w:jc w:val="both"/>
        <w:rPr>
          <w:bCs/>
          <w:sz w:val="20"/>
          <w:szCs w:val="20"/>
        </w:rPr>
      </w:pPr>
      <w:r w:rsidRPr="00E4714B">
        <w:rPr>
          <w:rFonts w:cs="Arial"/>
          <w:color w:val="222222"/>
          <w:sz w:val="20"/>
          <w:szCs w:val="20"/>
          <w:shd w:val="clear" w:color="auto" w:fill="FFFFFF"/>
        </w:rPr>
        <w:t>Al</w:t>
      </w:r>
      <w:r w:rsidRPr="00E4714B">
        <w:rPr>
          <w:rFonts w:cs="Cambria Math"/>
          <w:color w:val="222222"/>
          <w:sz w:val="20"/>
          <w:szCs w:val="20"/>
          <w:shd w:val="clear" w:color="auto" w:fill="FFFFFF"/>
        </w:rPr>
        <w:t>‐</w:t>
      </w:r>
      <w:r w:rsidRPr="00E4714B">
        <w:rPr>
          <w:rFonts w:cs="Arial"/>
          <w:color w:val="222222"/>
          <w:sz w:val="20"/>
          <w:szCs w:val="20"/>
          <w:shd w:val="clear" w:color="auto" w:fill="FFFFFF"/>
        </w:rPr>
        <w:t>Thaqeb, S. A., Algharabali, B. G., &amp; Alabdulghafour, K. T. (2022). The pandemic and economic policy uncertainty. </w:t>
      </w:r>
      <w:r w:rsidRPr="00E4714B">
        <w:rPr>
          <w:rFonts w:cs="Arial"/>
          <w:i/>
          <w:iCs/>
          <w:color w:val="222222"/>
          <w:sz w:val="20"/>
          <w:szCs w:val="20"/>
          <w:shd w:val="clear" w:color="auto" w:fill="FFFFFF"/>
        </w:rPr>
        <w:t>International Journal of Finance &amp; Economics</w:t>
      </w:r>
      <w:r w:rsidRPr="00E4714B">
        <w:rPr>
          <w:rFonts w:cs="Arial"/>
          <w:color w:val="222222"/>
          <w:sz w:val="20"/>
          <w:szCs w:val="20"/>
          <w:shd w:val="clear" w:color="auto" w:fill="FFFFFF"/>
        </w:rPr>
        <w:t>, </w:t>
      </w:r>
      <w:r w:rsidRPr="00E4714B">
        <w:rPr>
          <w:rFonts w:cs="Arial"/>
          <w:i/>
          <w:iCs/>
          <w:color w:val="222222"/>
          <w:sz w:val="20"/>
          <w:szCs w:val="20"/>
          <w:shd w:val="clear" w:color="auto" w:fill="FFFFFF"/>
        </w:rPr>
        <w:t>27</w:t>
      </w:r>
      <w:r w:rsidRPr="00E4714B">
        <w:rPr>
          <w:rFonts w:cs="Arial"/>
          <w:color w:val="222222"/>
          <w:sz w:val="20"/>
          <w:szCs w:val="20"/>
          <w:shd w:val="clear" w:color="auto" w:fill="FFFFFF"/>
        </w:rPr>
        <w:t>(3), 2784-2794.</w:t>
      </w:r>
    </w:p>
    <w:p w14:paraId="2F84D69F" w14:textId="6AA4784F" w:rsidR="007D3881" w:rsidRPr="00E4714B" w:rsidRDefault="007D3881" w:rsidP="001510EA">
      <w:pPr>
        <w:pStyle w:val="Heading1"/>
        <w:ind w:left="720" w:hanging="720"/>
        <w:jc w:val="both"/>
        <w:rPr>
          <w:rFonts w:cs="Arial"/>
          <w:b w:val="0"/>
          <w:bCs w:val="0"/>
          <w:color w:val="222222"/>
          <w:shd w:val="clear" w:color="auto" w:fill="FFFFFF"/>
        </w:rPr>
      </w:pPr>
      <w:r w:rsidRPr="00E4714B">
        <w:rPr>
          <w:rFonts w:cs="Arial"/>
          <w:b w:val="0"/>
          <w:bCs w:val="0"/>
          <w:color w:val="222222"/>
          <w:shd w:val="clear" w:color="auto" w:fill="FFFFFF"/>
        </w:rPr>
        <w:t xml:space="preserve">Álvares, G., Hoti, S., &amp; McAleer, M. (2007). </w:t>
      </w:r>
      <w:r w:rsidR="00A33530" w:rsidRPr="00E4714B">
        <w:rPr>
          <w:rFonts w:cs="Arial"/>
          <w:b w:val="0"/>
          <w:bCs w:val="0"/>
          <w:color w:val="222222"/>
          <w:shd w:val="clear" w:color="auto" w:fill="FFFFFF"/>
        </w:rPr>
        <w:t>Modeling</w:t>
      </w:r>
      <w:r w:rsidRPr="00E4714B">
        <w:rPr>
          <w:rFonts w:cs="Arial"/>
          <w:b w:val="0"/>
          <w:bCs w:val="0"/>
          <w:color w:val="222222"/>
          <w:shd w:val="clear" w:color="auto" w:fill="FFFFFF"/>
        </w:rPr>
        <w:t xml:space="preserve"> international tourist arrivals to the five major Spanish destinations. </w:t>
      </w:r>
      <w:r w:rsidR="00A33530" w:rsidRPr="00E4714B">
        <w:rPr>
          <w:rFonts w:cs="Arial"/>
          <w:b w:val="0"/>
          <w:bCs w:val="0"/>
          <w:i/>
          <w:iCs/>
          <w:color w:val="222222"/>
          <w:shd w:val="clear" w:color="auto" w:fill="FFFFFF"/>
        </w:rPr>
        <w:t>Modeling</w:t>
      </w:r>
      <w:r w:rsidRPr="00E4714B">
        <w:rPr>
          <w:rFonts w:cs="Arial"/>
          <w:b w:val="0"/>
          <w:bCs w:val="0"/>
          <w:i/>
          <w:iCs/>
          <w:color w:val="222222"/>
          <w:shd w:val="clear" w:color="auto" w:fill="FFFFFF"/>
        </w:rPr>
        <w:t xml:space="preserve"> and Simulation Society of Australia and New Zealand</w:t>
      </w:r>
      <w:r w:rsidRPr="00E4714B">
        <w:rPr>
          <w:rFonts w:cs="Arial"/>
          <w:b w:val="0"/>
          <w:bCs w:val="0"/>
          <w:color w:val="222222"/>
          <w:shd w:val="clear" w:color="auto" w:fill="FFFFFF"/>
        </w:rPr>
        <w:t>.</w:t>
      </w:r>
    </w:p>
    <w:p w14:paraId="2CDFF76A" w14:textId="2CD9830A" w:rsidR="00F55D34" w:rsidRPr="00E4714B" w:rsidRDefault="00F55D34" w:rsidP="001510EA">
      <w:pPr>
        <w:pStyle w:val="Heading1"/>
        <w:ind w:left="720" w:hanging="720"/>
        <w:jc w:val="both"/>
        <w:rPr>
          <w:b w:val="0"/>
        </w:rPr>
      </w:pPr>
      <w:r w:rsidRPr="00E4714B">
        <w:rPr>
          <w:rFonts w:cs="Arial"/>
          <w:b w:val="0"/>
          <w:shd w:val="clear" w:color="auto" w:fill="FFFFFF"/>
        </w:rPr>
        <w:t>Balli, F., Uddin, G. S., &amp; Shahzad, S. J. H. (2019). Geopolitical risk and tourism demand in emerging economies. </w:t>
      </w:r>
      <w:r w:rsidRPr="00E4714B">
        <w:rPr>
          <w:rFonts w:cs="Arial"/>
          <w:b w:val="0"/>
          <w:i/>
          <w:iCs/>
          <w:shd w:val="clear" w:color="auto" w:fill="FFFFFF"/>
        </w:rPr>
        <w:t>Tourism Economics</w:t>
      </w:r>
      <w:r w:rsidRPr="00E4714B">
        <w:rPr>
          <w:rFonts w:cs="Arial"/>
          <w:b w:val="0"/>
          <w:shd w:val="clear" w:color="auto" w:fill="FFFFFF"/>
        </w:rPr>
        <w:t>, </w:t>
      </w:r>
      <w:r w:rsidRPr="00E4714B">
        <w:rPr>
          <w:rFonts w:cs="Arial"/>
          <w:b w:val="0"/>
          <w:i/>
          <w:iCs/>
          <w:shd w:val="clear" w:color="auto" w:fill="FFFFFF"/>
        </w:rPr>
        <w:t>25</w:t>
      </w:r>
      <w:r w:rsidRPr="00E4714B">
        <w:rPr>
          <w:rFonts w:cs="Arial"/>
          <w:b w:val="0"/>
          <w:shd w:val="clear" w:color="auto" w:fill="FFFFFF"/>
        </w:rPr>
        <w:t>(6), 997-1005.</w:t>
      </w:r>
    </w:p>
    <w:p w14:paraId="272357F4" w14:textId="07D3EA11"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 xml:space="preserve">Brooks, C. (2019). Introductory econometrics for finance. Cambridge </w:t>
      </w:r>
      <w:r w:rsidR="00B002BC" w:rsidRPr="00E4714B">
        <w:rPr>
          <w:rFonts w:cs="Arial"/>
          <w:bCs/>
          <w:sz w:val="20"/>
          <w:szCs w:val="20"/>
          <w:shd w:val="clear" w:color="auto" w:fill="FFFFFF"/>
        </w:rPr>
        <w:t>University Press</w:t>
      </w:r>
      <w:r w:rsidRPr="00E4714B">
        <w:rPr>
          <w:rFonts w:cs="Arial"/>
          <w:bCs/>
          <w:sz w:val="20"/>
          <w:szCs w:val="20"/>
          <w:shd w:val="clear" w:color="auto" w:fill="FFFFFF"/>
        </w:rPr>
        <w:t>.</w:t>
      </w:r>
    </w:p>
    <w:p w14:paraId="14A5BD56" w14:textId="0177A366" w:rsidR="007D3881" w:rsidRPr="00E4714B" w:rsidRDefault="007D3881" w:rsidP="001510EA">
      <w:pPr>
        <w:ind w:left="720" w:hanging="720"/>
        <w:jc w:val="both"/>
        <w:rPr>
          <w:sz w:val="20"/>
          <w:szCs w:val="20"/>
        </w:rPr>
      </w:pPr>
      <w:r w:rsidRPr="00E4714B">
        <w:rPr>
          <w:sz w:val="20"/>
          <w:szCs w:val="20"/>
        </w:rPr>
        <w:t>Caldara, Dario and Matteo Iacoviello (2022). Measuring Geopolitical Risk</w:t>
      </w:r>
      <w:r w:rsidR="00912653" w:rsidRPr="00E4714B">
        <w:rPr>
          <w:sz w:val="20"/>
          <w:szCs w:val="20"/>
        </w:rPr>
        <w:t>.</w:t>
      </w:r>
      <w:r w:rsidRPr="00E4714B">
        <w:rPr>
          <w:sz w:val="20"/>
          <w:szCs w:val="20"/>
        </w:rPr>
        <w:t xml:space="preserve"> </w:t>
      </w:r>
      <w:r w:rsidRPr="00E4714B">
        <w:rPr>
          <w:i/>
          <w:iCs/>
          <w:sz w:val="20"/>
          <w:szCs w:val="20"/>
        </w:rPr>
        <w:t>International Finance Discussion Papers 1222r1. Washington: Board of Governors of the Federal Reserve System</w:t>
      </w:r>
      <w:r w:rsidRPr="00E4714B">
        <w:rPr>
          <w:sz w:val="20"/>
          <w:szCs w:val="20"/>
        </w:rPr>
        <w:t xml:space="preserve">, </w:t>
      </w:r>
      <w:r w:rsidR="00912653" w:rsidRPr="001510EA">
        <w:rPr>
          <w:sz w:val="20"/>
          <w:szCs w:val="20"/>
        </w:rPr>
        <w:t>https://doi.org/10.17016/IFDP.2022.1222r1</w:t>
      </w:r>
      <w:r w:rsidRPr="00E4714B">
        <w:rPr>
          <w:sz w:val="20"/>
          <w:szCs w:val="20"/>
        </w:rPr>
        <w:t xml:space="preserve">. </w:t>
      </w:r>
    </w:p>
    <w:p w14:paraId="738FD360" w14:textId="43905F53"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lastRenderedPageBreak/>
        <w:t>Demir, E., Gozgor, G., &amp; Paramati, S. R. (2019). Do geopolitical risks matter for inbound tourism? </w:t>
      </w:r>
      <w:r w:rsidRPr="00E4714B">
        <w:rPr>
          <w:rFonts w:cs="Arial"/>
          <w:bCs/>
          <w:i/>
          <w:iCs/>
          <w:sz w:val="20"/>
          <w:szCs w:val="20"/>
          <w:shd w:val="clear" w:color="auto" w:fill="FFFFFF"/>
        </w:rPr>
        <w:t>Eurasian Business Review</w:t>
      </w:r>
      <w:r w:rsidRPr="00E4714B">
        <w:rPr>
          <w:rFonts w:cs="Arial"/>
          <w:bCs/>
          <w:sz w:val="20"/>
          <w:szCs w:val="20"/>
          <w:shd w:val="clear" w:color="auto" w:fill="FFFFFF"/>
        </w:rPr>
        <w:t>, </w:t>
      </w:r>
      <w:r w:rsidRPr="00E4714B">
        <w:rPr>
          <w:rFonts w:cs="Arial"/>
          <w:bCs/>
          <w:i/>
          <w:iCs/>
          <w:sz w:val="20"/>
          <w:szCs w:val="20"/>
          <w:shd w:val="clear" w:color="auto" w:fill="FFFFFF"/>
        </w:rPr>
        <w:t>9</w:t>
      </w:r>
      <w:r w:rsidRPr="00E4714B">
        <w:rPr>
          <w:rFonts w:cs="Arial"/>
          <w:bCs/>
          <w:sz w:val="20"/>
          <w:szCs w:val="20"/>
          <w:shd w:val="clear" w:color="auto" w:fill="FFFFFF"/>
        </w:rPr>
        <w:t>, 183-191.</w:t>
      </w:r>
    </w:p>
    <w:p w14:paraId="6FAD0DBF" w14:textId="774F2A13"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Dickey, D. A., &amp; Fuller, W. A. (1979). Distribution of the estimators for autoregressive time series with a unit root. </w:t>
      </w:r>
      <w:r w:rsidRPr="00E4714B">
        <w:rPr>
          <w:rFonts w:cs="Arial"/>
          <w:bCs/>
          <w:i/>
          <w:iCs/>
          <w:sz w:val="20"/>
          <w:szCs w:val="20"/>
          <w:shd w:val="clear" w:color="auto" w:fill="FFFFFF"/>
        </w:rPr>
        <w:t xml:space="preserve">Journal of the American </w:t>
      </w:r>
      <w:r w:rsidR="00B002BC" w:rsidRPr="00E4714B">
        <w:rPr>
          <w:rFonts w:cs="Arial"/>
          <w:bCs/>
          <w:i/>
          <w:iCs/>
          <w:sz w:val="20"/>
          <w:szCs w:val="20"/>
          <w:shd w:val="clear" w:color="auto" w:fill="FFFFFF"/>
        </w:rPr>
        <w:t>Statistical Association</w:t>
      </w:r>
      <w:r w:rsidRPr="00E4714B">
        <w:rPr>
          <w:rFonts w:cs="Arial"/>
          <w:bCs/>
          <w:sz w:val="20"/>
          <w:szCs w:val="20"/>
          <w:shd w:val="clear" w:color="auto" w:fill="FFFFFF"/>
        </w:rPr>
        <w:t>, </w:t>
      </w:r>
      <w:r w:rsidRPr="00E4714B">
        <w:rPr>
          <w:rFonts w:cs="Arial"/>
          <w:bCs/>
          <w:i/>
          <w:iCs/>
          <w:sz w:val="20"/>
          <w:szCs w:val="20"/>
          <w:shd w:val="clear" w:color="auto" w:fill="FFFFFF"/>
        </w:rPr>
        <w:t>74</w:t>
      </w:r>
      <w:r w:rsidRPr="00E4714B">
        <w:rPr>
          <w:rFonts w:cs="Arial"/>
          <w:bCs/>
          <w:sz w:val="20"/>
          <w:szCs w:val="20"/>
          <w:shd w:val="clear" w:color="auto" w:fill="FFFFFF"/>
        </w:rPr>
        <w:t>(366a), 427-431.</w:t>
      </w:r>
    </w:p>
    <w:p w14:paraId="6B9EC4A4" w14:textId="07647293" w:rsidR="007D3881" w:rsidRPr="00E4714B" w:rsidRDefault="007D3881" w:rsidP="001510EA">
      <w:pPr>
        <w:ind w:left="720" w:hanging="720"/>
        <w:jc w:val="both"/>
        <w:rPr>
          <w:rFonts w:cs="Arial"/>
          <w:bCs/>
          <w:sz w:val="20"/>
          <w:szCs w:val="20"/>
          <w:shd w:val="clear" w:color="auto" w:fill="FFFFFF"/>
        </w:rPr>
      </w:pPr>
      <w:r w:rsidRPr="00E4714B">
        <w:rPr>
          <w:rFonts w:cs="Arial"/>
          <w:color w:val="222222"/>
          <w:sz w:val="20"/>
          <w:szCs w:val="20"/>
          <w:shd w:val="clear" w:color="auto" w:fill="FFFFFF"/>
        </w:rPr>
        <w:t>Doğan, B., Ghosh, S., Tiwari, A. K., &amp; Abakah, E. J. A. (2023). The effect of global volatility, uncertainty and geopolitical risk factors on international tourist arrivals in Asia. </w:t>
      </w:r>
      <w:r w:rsidRPr="00E4714B">
        <w:rPr>
          <w:rFonts w:cs="Arial"/>
          <w:i/>
          <w:iCs/>
          <w:color w:val="222222"/>
          <w:sz w:val="20"/>
          <w:szCs w:val="20"/>
          <w:shd w:val="clear" w:color="auto" w:fill="FFFFFF"/>
        </w:rPr>
        <w:t>International Journal of Tourism Research</w:t>
      </w:r>
      <w:r w:rsidRPr="00E4714B">
        <w:rPr>
          <w:rFonts w:cs="Arial"/>
          <w:color w:val="222222"/>
          <w:sz w:val="20"/>
          <w:szCs w:val="20"/>
          <w:shd w:val="clear" w:color="auto" w:fill="FFFFFF"/>
        </w:rPr>
        <w:t>, </w:t>
      </w:r>
      <w:r w:rsidRPr="00E4714B">
        <w:rPr>
          <w:rFonts w:cs="Arial"/>
          <w:i/>
          <w:iCs/>
          <w:color w:val="222222"/>
          <w:sz w:val="20"/>
          <w:szCs w:val="20"/>
          <w:shd w:val="clear" w:color="auto" w:fill="FFFFFF"/>
        </w:rPr>
        <w:t>25</w:t>
      </w:r>
      <w:r w:rsidRPr="00E4714B">
        <w:rPr>
          <w:rFonts w:cs="Arial"/>
          <w:color w:val="222222"/>
          <w:sz w:val="20"/>
          <w:szCs w:val="20"/>
          <w:shd w:val="clear" w:color="auto" w:fill="FFFFFF"/>
        </w:rPr>
        <w:t>(1), 1-62.</w:t>
      </w:r>
    </w:p>
    <w:p w14:paraId="5CF54C99" w14:textId="13E8F8D5"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Engle, R. F., &amp; Granger, C. W. (1987). Co-integration and error correction: representation, estimation, and testing. </w:t>
      </w:r>
      <w:r w:rsidRPr="00E4714B">
        <w:rPr>
          <w:rFonts w:cs="Arial"/>
          <w:bCs/>
          <w:i/>
          <w:iCs/>
          <w:sz w:val="20"/>
          <w:szCs w:val="20"/>
          <w:shd w:val="clear" w:color="auto" w:fill="FFFFFF"/>
        </w:rPr>
        <w:t>Econometrica: journal of the Econometric Society</w:t>
      </w:r>
      <w:r w:rsidRPr="00E4714B">
        <w:rPr>
          <w:rFonts w:cs="Arial"/>
          <w:bCs/>
          <w:sz w:val="20"/>
          <w:szCs w:val="20"/>
          <w:shd w:val="clear" w:color="auto" w:fill="FFFFFF"/>
        </w:rPr>
        <w:t>, 251-276.</w:t>
      </w:r>
    </w:p>
    <w:p w14:paraId="49887F4B" w14:textId="77777777" w:rsidR="00F55D34" w:rsidRPr="00E4714B" w:rsidRDefault="00F55D34" w:rsidP="001510EA">
      <w:pPr>
        <w:pStyle w:val="Heading1"/>
        <w:ind w:left="720" w:hanging="720"/>
        <w:jc w:val="both"/>
        <w:rPr>
          <w:rFonts w:eastAsia="Times New Roman" w:cs="Segoe UI Historic"/>
          <w:b w:val="0"/>
          <w:lang w:val="en-MY"/>
        </w:rPr>
      </w:pPr>
      <w:r w:rsidRPr="00E4714B">
        <w:rPr>
          <w:rFonts w:cs="Arial"/>
          <w:b w:val="0"/>
          <w:shd w:val="clear" w:color="auto" w:fill="FFFFFF"/>
        </w:rPr>
        <w:t>Fuad, S. N. A., &amp; Puasa, A. F. (2011). National key economic area multiplier impact on Malaysian economy: An input-output analysis. </w:t>
      </w:r>
      <w:r w:rsidRPr="00E4714B">
        <w:rPr>
          <w:rFonts w:cs="Arial"/>
          <w:b w:val="0"/>
          <w:i/>
          <w:iCs/>
          <w:shd w:val="clear" w:color="auto" w:fill="FFFFFF"/>
        </w:rPr>
        <w:t>International Journal of Management Studies</w:t>
      </w:r>
      <w:r w:rsidRPr="00E4714B">
        <w:rPr>
          <w:rFonts w:cs="Arial"/>
          <w:b w:val="0"/>
          <w:shd w:val="clear" w:color="auto" w:fill="FFFFFF"/>
        </w:rPr>
        <w:t>, </w:t>
      </w:r>
      <w:r w:rsidRPr="00E4714B">
        <w:rPr>
          <w:rFonts w:cs="Arial"/>
          <w:b w:val="0"/>
          <w:i/>
          <w:iCs/>
          <w:shd w:val="clear" w:color="auto" w:fill="FFFFFF"/>
        </w:rPr>
        <w:t>18</w:t>
      </w:r>
      <w:r w:rsidRPr="00E4714B">
        <w:rPr>
          <w:rFonts w:cs="Arial"/>
          <w:b w:val="0"/>
          <w:shd w:val="clear" w:color="auto" w:fill="FFFFFF"/>
        </w:rPr>
        <w:t>, 34-58.</w:t>
      </w:r>
    </w:p>
    <w:p w14:paraId="148847CD" w14:textId="7A7E66B3"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Gavurova, B., Skare, M., Belas, J., Rigelsky, M., &amp; Ivankova, V. (2023). The relationship between destination image and destination safety during technological and social changes COVID-19 pandemic. </w:t>
      </w:r>
      <w:r w:rsidRPr="00E4714B">
        <w:rPr>
          <w:rFonts w:cs="Arial"/>
          <w:b w:val="0"/>
          <w:i/>
          <w:iCs/>
          <w:shd w:val="clear" w:color="auto" w:fill="FFFFFF"/>
        </w:rPr>
        <w:t xml:space="preserve">Technological </w:t>
      </w:r>
      <w:r w:rsidR="00B002BC" w:rsidRPr="00E4714B">
        <w:rPr>
          <w:rFonts w:cs="Arial"/>
          <w:b w:val="0"/>
          <w:i/>
          <w:iCs/>
          <w:shd w:val="clear" w:color="auto" w:fill="FFFFFF"/>
        </w:rPr>
        <w:t>Forecasting and Social Change</w:t>
      </w:r>
      <w:r w:rsidRPr="00E4714B">
        <w:rPr>
          <w:rFonts w:cs="Arial"/>
          <w:b w:val="0"/>
          <w:shd w:val="clear" w:color="auto" w:fill="FFFFFF"/>
        </w:rPr>
        <w:t>, </w:t>
      </w:r>
      <w:r w:rsidRPr="00E4714B">
        <w:rPr>
          <w:rFonts w:cs="Arial"/>
          <w:b w:val="0"/>
          <w:i/>
          <w:iCs/>
          <w:shd w:val="clear" w:color="auto" w:fill="FFFFFF"/>
        </w:rPr>
        <w:t>191</w:t>
      </w:r>
      <w:r w:rsidRPr="00E4714B">
        <w:rPr>
          <w:rFonts w:cs="Arial"/>
          <w:b w:val="0"/>
          <w:shd w:val="clear" w:color="auto" w:fill="FFFFFF"/>
        </w:rPr>
        <w:t>, 122488.</w:t>
      </w:r>
    </w:p>
    <w:p w14:paraId="4B3737FF" w14:textId="34D6E49D"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 xml:space="preserve">Gavurova, B., Suhanyi, L., &amp; Rigelský, M. (2020). Tourist spending and productivity of </w:t>
      </w:r>
      <w:r w:rsidR="00A33530" w:rsidRPr="00E4714B">
        <w:rPr>
          <w:rFonts w:cs="Arial"/>
          <w:b w:val="0"/>
          <w:shd w:val="clear" w:color="auto" w:fill="FFFFFF"/>
        </w:rPr>
        <w:t xml:space="preserve">the </w:t>
      </w:r>
      <w:r w:rsidRPr="00E4714B">
        <w:rPr>
          <w:rFonts w:cs="Arial"/>
          <w:b w:val="0"/>
          <w:shd w:val="clear" w:color="auto" w:fill="FFFFFF"/>
        </w:rPr>
        <w:t>economy in OECD countries–research on perspectives of sustainable tourism. </w:t>
      </w:r>
      <w:r w:rsidRPr="00E4714B">
        <w:rPr>
          <w:rFonts w:cs="Arial"/>
          <w:b w:val="0"/>
          <w:i/>
          <w:iCs/>
          <w:shd w:val="clear" w:color="auto" w:fill="FFFFFF"/>
        </w:rPr>
        <w:t>Entrepreneurship and Sustainability Issues</w:t>
      </w:r>
      <w:r w:rsidRPr="00E4714B">
        <w:rPr>
          <w:rFonts w:cs="Arial"/>
          <w:b w:val="0"/>
          <w:shd w:val="clear" w:color="auto" w:fill="FFFFFF"/>
        </w:rPr>
        <w:t>.</w:t>
      </w:r>
      <w:r w:rsidR="00723D51" w:rsidRPr="00E4714B">
        <w:t xml:space="preserve"> </w:t>
      </w:r>
      <w:r w:rsidR="00912653" w:rsidRPr="001510EA">
        <w:rPr>
          <w:rFonts w:cs="Arial"/>
          <w:b w:val="0"/>
          <w:shd w:val="clear" w:color="auto" w:fill="FFFFFF"/>
        </w:rPr>
        <w:t>https://doi.org/10.9770/jesi.2020.8.1(66)</w:t>
      </w:r>
      <w:r w:rsidR="00912653" w:rsidRPr="00E4714B">
        <w:rPr>
          <w:rFonts w:cs="Arial"/>
          <w:b w:val="0"/>
          <w:shd w:val="clear" w:color="auto" w:fill="FFFFFF"/>
        </w:rPr>
        <w:t xml:space="preserve"> </w:t>
      </w:r>
    </w:p>
    <w:p w14:paraId="206C1824"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Ghosh, S. (2021). Geopolitical risk, economic growth, economic uncertainty and international inbound tourism: an Indian illustration. </w:t>
      </w:r>
      <w:r w:rsidRPr="00E4714B">
        <w:rPr>
          <w:rFonts w:cs="Arial"/>
          <w:bCs/>
          <w:i/>
          <w:iCs/>
          <w:sz w:val="20"/>
          <w:szCs w:val="20"/>
          <w:shd w:val="clear" w:color="auto" w:fill="FFFFFF"/>
        </w:rPr>
        <w:t>Review of Economics and Political Science</w:t>
      </w:r>
      <w:r w:rsidRPr="00E4714B">
        <w:rPr>
          <w:rFonts w:cs="Arial"/>
          <w:bCs/>
          <w:sz w:val="20"/>
          <w:szCs w:val="20"/>
          <w:shd w:val="clear" w:color="auto" w:fill="FFFFFF"/>
        </w:rPr>
        <w:t>, </w:t>
      </w:r>
      <w:r w:rsidRPr="00E4714B">
        <w:rPr>
          <w:rFonts w:cs="Arial"/>
          <w:bCs/>
          <w:i/>
          <w:iCs/>
          <w:sz w:val="20"/>
          <w:szCs w:val="20"/>
          <w:shd w:val="clear" w:color="auto" w:fill="FFFFFF"/>
        </w:rPr>
        <w:t>7</w:t>
      </w:r>
      <w:r w:rsidRPr="00E4714B">
        <w:rPr>
          <w:rFonts w:cs="Arial"/>
          <w:bCs/>
          <w:sz w:val="20"/>
          <w:szCs w:val="20"/>
          <w:shd w:val="clear" w:color="auto" w:fill="FFFFFF"/>
        </w:rPr>
        <w:t>(1), 2-21.</w:t>
      </w:r>
    </w:p>
    <w:p w14:paraId="6DE6E322" w14:textId="5E7B509A"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Granger, C. W., &amp; Newbold, P. (1974). Spurious regressions in econometrics. </w:t>
      </w:r>
      <w:r w:rsidRPr="00E4714B">
        <w:rPr>
          <w:rFonts w:cs="Arial"/>
          <w:bCs/>
          <w:i/>
          <w:iCs/>
          <w:sz w:val="20"/>
          <w:szCs w:val="20"/>
          <w:shd w:val="clear" w:color="auto" w:fill="FFFFFF"/>
        </w:rPr>
        <w:t xml:space="preserve">Journal of </w:t>
      </w:r>
      <w:r w:rsidR="00B002BC" w:rsidRPr="00E4714B">
        <w:rPr>
          <w:rFonts w:cs="Arial"/>
          <w:bCs/>
          <w:i/>
          <w:iCs/>
          <w:sz w:val="20"/>
          <w:szCs w:val="20"/>
          <w:shd w:val="clear" w:color="auto" w:fill="FFFFFF"/>
        </w:rPr>
        <w:t>E</w:t>
      </w:r>
      <w:r w:rsidRPr="00E4714B">
        <w:rPr>
          <w:rFonts w:cs="Arial"/>
          <w:bCs/>
          <w:i/>
          <w:iCs/>
          <w:sz w:val="20"/>
          <w:szCs w:val="20"/>
          <w:shd w:val="clear" w:color="auto" w:fill="FFFFFF"/>
        </w:rPr>
        <w:t>conometrics</w:t>
      </w:r>
      <w:r w:rsidRPr="00E4714B">
        <w:rPr>
          <w:rFonts w:cs="Arial"/>
          <w:bCs/>
          <w:sz w:val="20"/>
          <w:szCs w:val="20"/>
          <w:shd w:val="clear" w:color="auto" w:fill="FFFFFF"/>
        </w:rPr>
        <w:t>, </w:t>
      </w:r>
      <w:r w:rsidRPr="00E4714B">
        <w:rPr>
          <w:rFonts w:cs="Arial"/>
          <w:bCs/>
          <w:i/>
          <w:iCs/>
          <w:sz w:val="20"/>
          <w:szCs w:val="20"/>
          <w:shd w:val="clear" w:color="auto" w:fill="FFFFFF"/>
        </w:rPr>
        <w:t>2</w:t>
      </w:r>
      <w:r w:rsidRPr="00E4714B">
        <w:rPr>
          <w:rFonts w:cs="Arial"/>
          <w:bCs/>
          <w:sz w:val="20"/>
          <w:szCs w:val="20"/>
          <w:shd w:val="clear" w:color="auto" w:fill="FFFFFF"/>
        </w:rPr>
        <w:t>(2), 111-120.</w:t>
      </w:r>
    </w:p>
    <w:p w14:paraId="4DA4892F"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Hailemariam, A., &amp; Ivanovski, K. (2021). The impact of geopolitical risk on tourism. </w:t>
      </w:r>
      <w:r w:rsidRPr="00E4714B">
        <w:rPr>
          <w:rFonts w:cs="Arial"/>
          <w:bCs/>
          <w:i/>
          <w:iCs/>
          <w:sz w:val="20"/>
          <w:szCs w:val="20"/>
          <w:shd w:val="clear" w:color="auto" w:fill="FFFFFF"/>
        </w:rPr>
        <w:t>Current Issues in Tourism</w:t>
      </w:r>
      <w:r w:rsidRPr="00E4714B">
        <w:rPr>
          <w:rFonts w:cs="Arial"/>
          <w:bCs/>
          <w:sz w:val="20"/>
          <w:szCs w:val="20"/>
          <w:shd w:val="clear" w:color="auto" w:fill="FFFFFF"/>
        </w:rPr>
        <w:t>, </w:t>
      </w:r>
      <w:r w:rsidRPr="00E4714B">
        <w:rPr>
          <w:rFonts w:cs="Arial"/>
          <w:bCs/>
          <w:i/>
          <w:iCs/>
          <w:sz w:val="20"/>
          <w:szCs w:val="20"/>
          <w:shd w:val="clear" w:color="auto" w:fill="FFFFFF"/>
        </w:rPr>
        <w:t>24</w:t>
      </w:r>
      <w:r w:rsidRPr="00E4714B">
        <w:rPr>
          <w:rFonts w:cs="Arial"/>
          <w:bCs/>
          <w:sz w:val="20"/>
          <w:szCs w:val="20"/>
          <w:shd w:val="clear" w:color="auto" w:fill="FFFFFF"/>
        </w:rPr>
        <w:t>(22), 3134-3140.</w:t>
      </w:r>
    </w:p>
    <w:p w14:paraId="3C2FB767"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Hasan, M., Naeem, M. A., Arif, M., Shahzad, S. J. H., &amp; Nor, S. M. (2020). Geopolitical risk and tourism stocks of emerging economies. </w:t>
      </w:r>
      <w:r w:rsidRPr="00E4714B">
        <w:rPr>
          <w:rFonts w:cs="Arial"/>
          <w:bCs/>
          <w:i/>
          <w:iCs/>
          <w:sz w:val="20"/>
          <w:szCs w:val="20"/>
          <w:shd w:val="clear" w:color="auto" w:fill="FFFFFF"/>
        </w:rPr>
        <w:t>Sustainability</w:t>
      </w:r>
      <w:r w:rsidRPr="00E4714B">
        <w:rPr>
          <w:rFonts w:cs="Arial"/>
          <w:bCs/>
          <w:sz w:val="20"/>
          <w:szCs w:val="20"/>
          <w:shd w:val="clear" w:color="auto" w:fill="FFFFFF"/>
        </w:rPr>
        <w:t>, </w:t>
      </w:r>
      <w:r w:rsidRPr="00E4714B">
        <w:rPr>
          <w:rFonts w:cs="Arial"/>
          <w:bCs/>
          <w:i/>
          <w:iCs/>
          <w:sz w:val="20"/>
          <w:szCs w:val="20"/>
          <w:shd w:val="clear" w:color="auto" w:fill="FFFFFF"/>
        </w:rPr>
        <w:t>12</w:t>
      </w:r>
      <w:r w:rsidRPr="00E4714B">
        <w:rPr>
          <w:rFonts w:cs="Arial"/>
          <w:bCs/>
          <w:sz w:val="20"/>
          <w:szCs w:val="20"/>
          <w:shd w:val="clear" w:color="auto" w:fill="FFFFFF"/>
        </w:rPr>
        <w:t>(21), 9261.</w:t>
      </w:r>
    </w:p>
    <w:p w14:paraId="0D9BB068" w14:textId="4DA8BFA8"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Hu, Y., &amp; Xu, S. (2021). Memorability of a previous travel experience and revisit intention: The three-way interaction of nostalgia perceived disappointment risk and extent of change. </w:t>
      </w:r>
      <w:r w:rsidRPr="00E4714B">
        <w:rPr>
          <w:rFonts w:cs="Arial"/>
          <w:bCs/>
          <w:i/>
          <w:iCs/>
          <w:sz w:val="20"/>
          <w:szCs w:val="20"/>
          <w:shd w:val="clear" w:color="auto" w:fill="FFFFFF"/>
        </w:rPr>
        <w:t>Journal of Destination Marketing &amp; Management</w:t>
      </w:r>
      <w:r w:rsidRPr="00E4714B">
        <w:rPr>
          <w:rFonts w:cs="Arial"/>
          <w:bCs/>
          <w:sz w:val="20"/>
          <w:szCs w:val="20"/>
          <w:shd w:val="clear" w:color="auto" w:fill="FFFFFF"/>
        </w:rPr>
        <w:t>, </w:t>
      </w:r>
      <w:r w:rsidRPr="00E4714B">
        <w:rPr>
          <w:rFonts w:cs="Arial"/>
          <w:bCs/>
          <w:i/>
          <w:iCs/>
          <w:sz w:val="20"/>
          <w:szCs w:val="20"/>
          <w:shd w:val="clear" w:color="auto" w:fill="FFFFFF"/>
        </w:rPr>
        <w:t>20</w:t>
      </w:r>
      <w:r w:rsidRPr="00E4714B">
        <w:rPr>
          <w:rFonts w:cs="Arial"/>
          <w:bCs/>
          <w:sz w:val="20"/>
          <w:szCs w:val="20"/>
          <w:shd w:val="clear" w:color="auto" w:fill="FFFFFF"/>
        </w:rPr>
        <w:t>, 100604.</w:t>
      </w:r>
    </w:p>
    <w:p w14:paraId="3BF29B28" w14:textId="19904B22" w:rsidR="00F55D34" w:rsidRPr="00E4714B" w:rsidRDefault="00F55D34" w:rsidP="001510EA">
      <w:pPr>
        <w:ind w:left="720" w:hanging="720"/>
        <w:jc w:val="both"/>
        <w:rPr>
          <w:rFonts w:eastAsia="Times New Roman" w:cs="Times New Roman"/>
          <w:bCs/>
          <w:sz w:val="20"/>
          <w:szCs w:val="20"/>
        </w:rPr>
      </w:pPr>
      <w:r w:rsidRPr="00E4714B">
        <w:rPr>
          <w:rFonts w:eastAsia="Times New Roman" w:cs="Times New Roman"/>
          <w:bCs/>
          <w:sz w:val="20"/>
          <w:szCs w:val="20"/>
        </w:rPr>
        <w:t xml:space="preserve">Malaysia Tourism Promotion Board (2022). </w:t>
      </w:r>
      <w:r w:rsidRPr="00E4714B">
        <w:rPr>
          <w:rFonts w:eastAsia="Times New Roman" w:cs="Times New Roman"/>
          <w:bCs/>
          <w:i/>
          <w:iCs/>
          <w:sz w:val="20"/>
          <w:szCs w:val="20"/>
        </w:rPr>
        <w:t>Malaysia Tourism Key Performance Indicator 2022</w:t>
      </w:r>
      <w:r w:rsidRPr="00E4714B">
        <w:rPr>
          <w:rFonts w:eastAsia="Times New Roman" w:cs="Times New Roman"/>
          <w:bCs/>
          <w:sz w:val="20"/>
          <w:szCs w:val="20"/>
        </w:rPr>
        <w:t xml:space="preserve">, </w:t>
      </w:r>
      <w:r w:rsidRPr="001510EA">
        <w:rPr>
          <w:rFonts w:eastAsia="Times New Roman" w:cs="Times New Roman"/>
          <w:bCs/>
          <w:sz w:val="20"/>
          <w:szCs w:val="20"/>
        </w:rPr>
        <w:t>https://mytourismdata.tourism.gov.my/wp-content/uploads/2023/11/KPI2022-Final-lores.pdf</w:t>
      </w:r>
      <w:r w:rsidRPr="00E4714B">
        <w:rPr>
          <w:rFonts w:eastAsia="Times New Roman" w:cs="Times New Roman"/>
          <w:bCs/>
          <w:sz w:val="20"/>
          <w:szCs w:val="20"/>
        </w:rPr>
        <w:t xml:space="preserve"> </w:t>
      </w:r>
    </w:p>
    <w:p w14:paraId="2C803CDC" w14:textId="2A4F2F21" w:rsidR="00E15836" w:rsidRPr="00E4714B" w:rsidRDefault="00E15836" w:rsidP="001510EA">
      <w:pPr>
        <w:pStyle w:val="Heading1"/>
        <w:ind w:left="720" w:hanging="720"/>
        <w:jc w:val="both"/>
        <w:rPr>
          <w:rFonts w:cs="Arial"/>
          <w:b w:val="0"/>
          <w:bCs w:val="0"/>
          <w:shd w:val="clear" w:color="auto" w:fill="FFFFFF"/>
        </w:rPr>
      </w:pPr>
      <w:r w:rsidRPr="00E4714B">
        <w:rPr>
          <w:rFonts w:cs="Arial"/>
          <w:b w:val="0"/>
          <w:bCs w:val="0"/>
          <w:color w:val="222222"/>
          <w:shd w:val="clear" w:color="auto" w:fill="FFFFFF"/>
        </w:rPr>
        <w:t>Mokdadi, S., &amp; Saadaoui, Z. (2023). Geopolitical uncertainty and the cost of debt financing: the moderating role of information asymmetry. </w:t>
      </w:r>
      <w:r w:rsidRPr="00E4714B">
        <w:rPr>
          <w:rFonts w:cs="Arial"/>
          <w:b w:val="0"/>
          <w:bCs w:val="0"/>
          <w:i/>
          <w:iCs/>
          <w:color w:val="222222"/>
          <w:shd w:val="clear" w:color="auto" w:fill="FFFFFF"/>
        </w:rPr>
        <w:t>The Journal of Risk Finance</w:t>
      </w:r>
      <w:r w:rsidRPr="00E4714B">
        <w:rPr>
          <w:rFonts w:cs="Arial"/>
          <w:b w:val="0"/>
          <w:bCs w:val="0"/>
          <w:color w:val="222222"/>
          <w:shd w:val="clear" w:color="auto" w:fill="FFFFFF"/>
        </w:rPr>
        <w:t>, </w:t>
      </w:r>
      <w:r w:rsidRPr="00E4714B">
        <w:rPr>
          <w:rFonts w:cs="Arial"/>
          <w:b w:val="0"/>
          <w:bCs w:val="0"/>
          <w:i/>
          <w:iCs/>
          <w:color w:val="222222"/>
          <w:shd w:val="clear" w:color="auto" w:fill="FFFFFF"/>
        </w:rPr>
        <w:t>24</w:t>
      </w:r>
      <w:r w:rsidRPr="00E4714B">
        <w:rPr>
          <w:rFonts w:cs="Arial"/>
          <w:b w:val="0"/>
          <w:bCs w:val="0"/>
          <w:color w:val="222222"/>
          <w:shd w:val="clear" w:color="auto" w:fill="FFFFFF"/>
        </w:rPr>
        <w:t>(5), 684-720.</w:t>
      </w:r>
    </w:p>
    <w:p w14:paraId="653725CB" w14:textId="35DAF89C"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Muzaini, H. (2018). Informal heritage-making at the Sarawak cultural village, East Malaysia. In </w:t>
      </w:r>
      <w:r w:rsidRPr="00E4714B">
        <w:rPr>
          <w:rFonts w:cs="Arial"/>
          <w:b w:val="0"/>
          <w:i/>
          <w:iCs/>
          <w:shd w:val="clear" w:color="auto" w:fill="FFFFFF"/>
        </w:rPr>
        <w:t>Theming Asia</w:t>
      </w:r>
      <w:r w:rsidRPr="00E4714B">
        <w:rPr>
          <w:rFonts w:cs="Arial"/>
          <w:b w:val="0"/>
          <w:shd w:val="clear" w:color="auto" w:fill="FFFFFF"/>
        </w:rPr>
        <w:t> (pp. 102-122). Routledge.</w:t>
      </w:r>
    </w:p>
    <w:p w14:paraId="0FB1DBE7" w14:textId="77777777"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Ongan, S., &amp; Gozgor, G. (2018). Tourism demand analysis: The impact of the economic policy uncertainty on the arrival of Japanese tourists to the USA. </w:t>
      </w:r>
      <w:r w:rsidRPr="00E4714B">
        <w:rPr>
          <w:rFonts w:cs="Arial"/>
          <w:b w:val="0"/>
          <w:i/>
          <w:iCs/>
          <w:shd w:val="clear" w:color="auto" w:fill="FFFFFF"/>
        </w:rPr>
        <w:t>International Journal of Tourism Research</w:t>
      </w:r>
      <w:r w:rsidRPr="00E4714B">
        <w:rPr>
          <w:rFonts w:cs="Arial"/>
          <w:b w:val="0"/>
          <w:shd w:val="clear" w:color="auto" w:fill="FFFFFF"/>
        </w:rPr>
        <w:t>, </w:t>
      </w:r>
      <w:r w:rsidRPr="00E4714B">
        <w:rPr>
          <w:rFonts w:cs="Arial"/>
          <w:b w:val="0"/>
          <w:i/>
          <w:iCs/>
          <w:shd w:val="clear" w:color="auto" w:fill="FFFFFF"/>
        </w:rPr>
        <w:t>20</w:t>
      </w:r>
      <w:r w:rsidRPr="00E4714B">
        <w:rPr>
          <w:rFonts w:cs="Arial"/>
          <w:b w:val="0"/>
          <w:shd w:val="clear" w:color="auto" w:fill="FFFFFF"/>
        </w:rPr>
        <w:t>(3), 308-316.</w:t>
      </w:r>
    </w:p>
    <w:p w14:paraId="354DE9C3"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Payne, J. E., Nazlioglu, S., &amp; Mervar, A. (2023). Economic policy uncertainty and international tourist arrivals: A disaggregated analysis of the Croatian Adriatic coast. </w:t>
      </w:r>
      <w:r w:rsidRPr="00E4714B">
        <w:rPr>
          <w:rFonts w:cs="Arial"/>
          <w:bCs/>
          <w:i/>
          <w:iCs/>
          <w:sz w:val="20"/>
          <w:szCs w:val="20"/>
          <w:shd w:val="clear" w:color="auto" w:fill="FFFFFF"/>
        </w:rPr>
        <w:t>Tourism Economics</w:t>
      </w:r>
      <w:r w:rsidRPr="00E4714B">
        <w:rPr>
          <w:rFonts w:cs="Arial"/>
          <w:bCs/>
          <w:sz w:val="20"/>
          <w:szCs w:val="20"/>
          <w:shd w:val="clear" w:color="auto" w:fill="FFFFFF"/>
        </w:rPr>
        <w:t>, </w:t>
      </w:r>
      <w:r w:rsidRPr="00E4714B">
        <w:rPr>
          <w:rFonts w:cs="Arial"/>
          <w:bCs/>
          <w:i/>
          <w:iCs/>
          <w:sz w:val="20"/>
          <w:szCs w:val="20"/>
          <w:shd w:val="clear" w:color="auto" w:fill="FFFFFF"/>
        </w:rPr>
        <w:t>29</w:t>
      </w:r>
      <w:r w:rsidRPr="00E4714B">
        <w:rPr>
          <w:rFonts w:cs="Arial"/>
          <w:bCs/>
          <w:sz w:val="20"/>
          <w:szCs w:val="20"/>
          <w:shd w:val="clear" w:color="auto" w:fill="FFFFFF"/>
        </w:rPr>
        <w:t>(4), 986-1004.</w:t>
      </w:r>
    </w:p>
    <w:p w14:paraId="090DA434" w14:textId="75F649DB"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Phillips, P. C., &amp; Perron, P. (1988). Testing for a unit root in time series regression. </w:t>
      </w:r>
      <w:r w:rsidR="00324932" w:rsidRPr="00E4714B">
        <w:rPr>
          <w:rFonts w:cs="Arial"/>
          <w:b w:val="0"/>
          <w:i/>
          <w:iCs/>
          <w:shd w:val="clear" w:color="auto" w:fill="FFFFFF"/>
        </w:rPr>
        <w:t>B</w:t>
      </w:r>
      <w:r w:rsidRPr="00E4714B">
        <w:rPr>
          <w:rFonts w:cs="Arial"/>
          <w:b w:val="0"/>
          <w:i/>
          <w:iCs/>
          <w:shd w:val="clear" w:color="auto" w:fill="FFFFFF"/>
        </w:rPr>
        <w:t>iometrika</w:t>
      </w:r>
      <w:r w:rsidRPr="00E4714B">
        <w:rPr>
          <w:rFonts w:cs="Arial"/>
          <w:b w:val="0"/>
          <w:shd w:val="clear" w:color="auto" w:fill="FFFFFF"/>
        </w:rPr>
        <w:t>, </w:t>
      </w:r>
      <w:r w:rsidRPr="00E4714B">
        <w:rPr>
          <w:rFonts w:cs="Arial"/>
          <w:b w:val="0"/>
          <w:i/>
          <w:iCs/>
          <w:shd w:val="clear" w:color="auto" w:fill="FFFFFF"/>
        </w:rPr>
        <w:t>75</w:t>
      </w:r>
      <w:r w:rsidRPr="00E4714B">
        <w:rPr>
          <w:rFonts w:cs="Arial"/>
          <w:b w:val="0"/>
          <w:shd w:val="clear" w:color="auto" w:fill="FFFFFF"/>
        </w:rPr>
        <w:t>(2), 335-346.</w:t>
      </w:r>
    </w:p>
    <w:p w14:paraId="6B610181" w14:textId="5DCD7256" w:rsidR="00F55D34" w:rsidRPr="00E4714B" w:rsidRDefault="00F55D34" w:rsidP="001510EA">
      <w:pPr>
        <w:pStyle w:val="Heading1"/>
        <w:ind w:left="720" w:hanging="720"/>
        <w:jc w:val="both"/>
        <w:rPr>
          <w:b w:val="0"/>
        </w:rPr>
      </w:pPr>
      <w:r w:rsidRPr="00E4714B">
        <w:rPr>
          <w:rFonts w:cs="Arial"/>
          <w:b w:val="0"/>
          <w:shd w:val="clear" w:color="auto" w:fill="FFFFFF"/>
        </w:rPr>
        <w:t xml:space="preserve">Pole, L., &amp; Grizane, T. (2021). Tourism tax model for </w:t>
      </w:r>
      <w:r w:rsidR="00A33530" w:rsidRPr="00E4714B">
        <w:rPr>
          <w:rFonts w:cs="Arial"/>
          <w:b w:val="0"/>
          <w:shd w:val="clear" w:color="auto" w:fill="FFFFFF"/>
        </w:rPr>
        <w:t xml:space="preserve">the </w:t>
      </w:r>
      <w:r w:rsidRPr="00E4714B">
        <w:rPr>
          <w:rFonts w:cs="Arial"/>
          <w:b w:val="0"/>
          <w:shd w:val="clear" w:color="auto" w:fill="FFFFFF"/>
        </w:rPr>
        <w:t>development of regions. </w:t>
      </w:r>
      <w:r w:rsidRPr="00E4714B">
        <w:rPr>
          <w:rFonts w:cs="Arial"/>
          <w:b w:val="0"/>
          <w:i/>
          <w:iCs/>
          <w:shd w:val="clear" w:color="auto" w:fill="FFFFFF"/>
        </w:rPr>
        <w:t>Research for Rural Development</w:t>
      </w:r>
      <w:r w:rsidRPr="00E4714B">
        <w:rPr>
          <w:rFonts w:cs="Arial"/>
          <w:b w:val="0"/>
          <w:shd w:val="clear" w:color="auto" w:fill="FFFFFF"/>
        </w:rPr>
        <w:t>, </w:t>
      </w:r>
      <w:r w:rsidRPr="00E4714B">
        <w:rPr>
          <w:rFonts w:cs="Arial"/>
          <w:b w:val="0"/>
          <w:i/>
          <w:iCs/>
          <w:shd w:val="clear" w:color="auto" w:fill="FFFFFF"/>
        </w:rPr>
        <w:t>36</w:t>
      </w:r>
      <w:r w:rsidRPr="00E4714B">
        <w:rPr>
          <w:rFonts w:cs="Arial"/>
          <w:b w:val="0"/>
          <w:shd w:val="clear" w:color="auto" w:fill="FFFFFF"/>
        </w:rPr>
        <w:t>.</w:t>
      </w:r>
    </w:p>
    <w:p w14:paraId="0383AEEC" w14:textId="2DA83312"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 xml:space="preserve">Raheem, I. D., &amp; le Roux, S. (2023). Geopolitical risks and tourism stocks: New evidence from </w:t>
      </w:r>
      <w:r w:rsidR="00A33530" w:rsidRPr="00E4714B">
        <w:rPr>
          <w:rFonts w:cs="Arial"/>
          <w:bCs/>
          <w:sz w:val="20"/>
          <w:szCs w:val="20"/>
          <w:shd w:val="clear" w:color="auto" w:fill="FFFFFF"/>
        </w:rPr>
        <w:t xml:space="preserve">the </w:t>
      </w:r>
      <w:r w:rsidRPr="00E4714B">
        <w:rPr>
          <w:rFonts w:cs="Arial"/>
          <w:bCs/>
          <w:sz w:val="20"/>
          <w:szCs w:val="20"/>
          <w:shd w:val="clear" w:color="auto" w:fill="FFFFFF"/>
        </w:rPr>
        <w:t>causality-in-quantile approach. </w:t>
      </w:r>
      <w:r w:rsidRPr="00E4714B">
        <w:rPr>
          <w:rFonts w:cs="Arial"/>
          <w:bCs/>
          <w:i/>
          <w:iCs/>
          <w:sz w:val="20"/>
          <w:szCs w:val="20"/>
          <w:shd w:val="clear" w:color="auto" w:fill="FFFFFF"/>
        </w:rPr>
        <w:t>The Quarterly Review of Economics and Finance</w:t>
      </w:r>
      <w:r w:rsidRPr="00E4714B">
        <w:rPr>
          <w:rFonts w:cs="Arial"/>
          <w:bCs/>
          <w:sz w:val="20"/>
          <w:szCs w:val="20"/>
          <w:shd w:val="clear" w:color="auto" w:fill="FFFFFF"/>
        </w:rPr>
        <w:t>, </w:t>
      </w:r>
      <w:r w:rsidRPr="00E4714B">
        <w:rPr>
          <w:rFonts w:cs="Arial"/>
          <w:bCs/>
          <w:i/>
          <w:iCs/>
          <w:sz w:val="20"/>
          <w:szCs w:val="20"/>
          <w:shd w:val="clear" w:color="auto" w:fill="FFFFFF"/>
        </w:rPr>
        <w:t>88</w:t>
      </w:r>
      <w:r w:rsidRPr="00E4714B">
        <w:rPr>
          <w:rFonts w:cs="Arial"/>
          <w:bCs/>
          <w:sz w:val="20"/>
          <w:szCs w:val="20"/>
          <w:shd w:val="clear" w:color="auto" w:fill="FFFFFF"/>
        </w:rPr>
        <w:t>, 1-7.</w:t>
      </w:r>
    </w:p>
    <w:p w14:paraId="6AD669AF"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Saint Akadiri, S., Eluwole, K. K., Akadiri, A. C., &amp; Avci, T. (2020). Does causality between geopolitical risk, tourism and economic growth matter? Evidence from Turkey. </w:t>
      </w:r>
      <w:r w:rsidRPr="00E4714B">
        <w:rPr>
          <w:rFonts w:cs="Arial"/>
          <w:bCs/>
          <w:i/>
          <w:iCs/>
          <w:sz w:val="20"/>
          <w:szCs w:val="20"/>
          <w:shd w:val="clear" w:color="auto" w:fill="FFFFFF"/>
        </w:rPr>
        <w:t>Journal of Hospitality and Tourism Management</w:t>
      </w:r>
      <w:r w:rsidRPr="00E4714B">
        <w:rPr>
          <w:rFonts w:cs="Arial"/>
          <w:bCs/>
          <w:sz w:val="20"/>
          <w:szCs w:val="20"/>
          <w:shd w:val="clear" w:color="auto" w:fill="FFFFFF"/>
        </w:rPr>
        <w:t>, </w:t>
      </w:r>
      <w:r w:rsidRPr="00E4714B">
        <w:rPr>
          <w:rFonts w:cs="Arial"/>
          <w:bCs/>
          <w:i/>
          <w:iCs/>
          <w:sz w:val="20"/>
          <w:szCs w:val="20"/>
          <w:shd w:val="clear" w:color="auto" w:fill="FFFFFF"/>
        </w:rPr>
        <w:t>43</w:t>
      </w:r>
      <w:r w:rsidRPr="00E4714B">
        <w:rPr>
          <w:rFonts w:cs="Arial"/>
          <w:bCs/>
          <w:sz w:val="20"/>
          <w:szCs w:val="20"/>
          <w:shd w:val="clear" w:color="auto" w:fill="FFFFFF"/>
        </w:rPr>
        <w:t>, 273-277.</w:t>
      </w:r>
    </w:p>
    <w:p w14:paraId="3EA13F4F" w14:textId="77777777"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Samsudin, N. A., &amp; Fuza, Z. I. M. (2021, November). Attribution of Family Business-Based in Cultural Heritage Management in Malaysia. In </w:t>
      </w:r>
      <w:r w:rsidRPr="00E4714B">
        <w:rPr>
          <w:rFonts w:cs="Arial"/>
          <w:b w:val="0"/>
          <w:i/>
          <w:iCs/>
          <w:shd w:val="clear" w:color="auto" w:fill="FFFFFF"/>
        </w:rPr>
        <w:t>International Conference on Business and Technology</w:t>
      </w:r>
      <w:r w:rsidRPr="00E4714B">
        <w:rPr>
          <w:rFonts w:cs="Arial"/>
          <w:b w:val="0"/>
          <w:shd w:val="clear" w:color="auto" w:fill="FFFFFF"/>
        </w:rPr>
        <w:t> (pp. 683-697). Cham: Springer International Publishing.</w:t>
      </w:r>
    </w:p>
    <w:p w14:paraId="4B06805B" w14:textId="5162EBDE"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 xml:space="preserve">Soylu, Ö. B. (2020). Panel </w:t>
      </w:r>
      <w:r w:rsidR="00A33530" w:rsidRPr="00E4714B">
        <w:rPr>
          <w:rFonts w:cs="Arial"/>
          <w:bCs/>
          <w:sz w:val="20"/>
          <w:szCs w:val="20"/>
          <w:shd w:val="clear" w:color="auto" w:fill="FFFFFF"/>
        </w:rPr>
        <w:t>Granger</w:t>
      </w:r>
      <w:r w:rsidRPr="00E4714B">
        <w:rPr>
          <w:rFonts w:cs="Arial"/>
          <w:bCs/>
          <w:sz w:val="20"/>
          <w:szCs w:val="20"/>
          <w:shd w:val="clear" w:color="auto" w:fill="FFFFFF"/>
        </w:rPr>
        <w:t xml:space="preserve"> causality analysis of relationships between tourism and economic growth in the top eight tourist destinations. </w:t>
      </w:r>
      <w:r w:rsidRPr="00E4714B">
        <w:rPr>
          <w:rFonts w:cs="Arial"/>
          <w:bCs/>
          <w:i/>
          <w:iCs/>
          <w:sz w:val="20"/>
          <w:szCs w:val="20"/>
          <w:shd w:val="clear" w:color="auto" w:fill="FFFFFF"/>
        </w:rPr>
        <w:t xml:space="preserve">Ekonomski </w:t>
      </w:r>
      <w:r w:rsidR="00B002BC" w:rsidRPr="00E4714B">
        <w:rPr>
          <w:rFonts w:cs="Arial"/>
          <w:bCs/>
          <w:i/>
          <w:iCs/>
          <w:sz w:val="20"/>
          <w:szCs w:val="20"/>
          <w:shd w:val="clear" w:color="auto" w:fill="FFFFFF"/>
        </w:rPr>
        <w:t>P</w:t>
      </w:r>
      <w:r w:rsidRPr="00E4714B">
        <w:rPr>
          <w:rFonts w:cs="Arial"/>
          <w:bCs/>
          <w:i/>
          <w:iCs/>
          <w:sz w:val="20"/>
          <w:szCs w:val="20"/>
          <w:shd w:val="clear" w:color="auto" w:fill="FFFFFF"/>
        </w:rPr>
        <w:t>regled</w:t>
      </w:r>
      <w:r w:rsidRPr="00E4714B">
        <w:rPr>
          <w:rFonts w:cs="Arial"/>
          <w:bCs/>
          <w:sz w:val="20"/>
          <w:szCs w:val="20"/>
          <w:shd w:val="clear" w:color="auto" w:fill="FFFFFF"/>
        </w:rPr>
        <w:t>, </w:t>
      </w:r>
      <w:r w:rsidRPr="00E4714B">
        <w:rPr>
          <w:rFonts w:cs="Arial"/>
          <w:bCs/>
          <w:i/>
          <w:iCs/>
          <w:sz w:val="20"/>
          <w:szCs w:val="20"/>
          <w:shd w:val="clear" w:color="auto" w:fill="FFFFFF"/>
        </w:rPr>
        <w:t>71</w:t>
      </w:r>
      <w:r w:rsidRPr="00E4714B">
        <w:rPr>
          <w:rFonts w:cs="Arial"/>
          <w:bCs/>
          <w:sz w:val="20"/>
          <w:szCs w:val="20"/>
          <w:shd w:val="clear" w:color="auto" w:fill="FFFFFF"/>
        </w:rPr>
        <w:t>(4), 407-430.</w:t>
      </w:r>
    </w:p>
    <w:p w14:paraId="537707E9" w14:textId="77777777" w:rsidR="00F55D34" w:rsidRPr="00E4714B" w:rsidRDefault="00F55D34" w:rsidP="001510EA">
      <w:pPr>
        <w:pStyle w:val="Heading1"/>
        <w:ind w:left="720" w:hanging="720"/>
        <w:jc w:val="both"/>
        <w:rPr>
          <w:b w:val="0"/>
          <w:shd w:val="clear" w:color="auto" w:fill="FFFFFF"/>
        </w:rPr>
      </w:pPr>
      <w:r w:rsidRPr="00E4714B">
        <w:rPr>
          <w:rFonts w:cs="Arial"/>
          <w:b w:val="0"/>
          <w:shd w:val="clear" w:color="auto" w:fill="FFFFFF"/>
        </w:rPr>
        <w:t>Syed, Q. R., Bouri, E., Zafar, R. F., &amp; Adekoya, O. B. (2022). Does geopolitical risk mitigate inbound tourism? Evidence from panel quantile regression. </w:t>
      </w:r>
      <w:r w:rsidRPr="00E4714B">
        <w:rPr>
          <w:rFonts w:cs="Arial"/>
          <w:b w:val="0"/>
          <w:i/>
          <w:iCs/>
          <w:shd w:val="clear" w:color="auto" w:fill="FFFFFF"/>
        </w:rPr>
        <w:t>Journal of Public Affairs</w:t>
      </w:r>
      <w:r w:rsidRPr="00E4714B">
        <w:rPr>
          <w:rFonts w:cs="Arial"/>
          <w:b w:val="0"/>
          <w:shd w:val="clear" w:color="auto" w:fill="FFFFFF"/>
        </w:rPr>
        <w:t>, </w:t>
      </w:r>
      <w:r w:rsidRPr="00E4714B">
        <w:rPr>
          <w:rFonts w:cs="Arial"/>
          <w:b w:val="0"/>
          <w:i/>
          <w:iCs/>
          <w:shd w:val="clear" w:color="auto" w:fill="FFFFFF"/>
        </w:rPr>
        <w:t>22</w:t>
      </w:r>
      <w:r w:rsidRPr="00E4714B">
        <w:rPr>
          <w:rFonts w:cs="Arial"/>
          <w:b w:val="0"/>
          <w:shd w:val="clear" w:color="auto" w:fill="FFFFFF"/>
        </w:rPr>
        <w:t>, e2784.</w:t>
      </w:r>
    </w:p>
    <w:p w14:paraId="18776238" w14:textId="77EE19CD" w:rsidR="00F55D34" w:rsidRPr="00E4714B" w:rsidRDefault="00F55D34" w:rsidP="001510EA">
      <w:pPr>
        <w:ind w:left="720" w:hanging="720"/>
        <w:jc w:val="both"/>
        <w:rPr>
          <w:rFonts w:cs="Times New Roman"/>
          <w:bCs/>
          <w:sz w:val="20"/>
          <w:szCs w:val="20"/>
        </w:rPr>
      </w:pPr>
      <w:r w:rsidRPr="00E4714B">
        <w:rPr>
          <w:rFonts w:cs="Arial"/>
          <w:bCs/>
          <w:sz w:val="20"/>
          <w:szCs w:val="20"/>
          <w:shd w:val="clear" w:color="auto" w:fill="FFFFFF"/>
        </w:rPr>
        <w:t>Tang, C. F., &amp; Tan, E. C. (2015). Does tourism effectively stimulate Malaysia's economic growth? </w:t>
      </w:r>
      <w:r w:rsidRPr="00E4714B">
        <w:rPr>
          <w:rFonts w:cs="Arial"/>
          <w:bCs/>
          <w:i/>
          <w:iCs/>
          <w:sz w:val="20"/>
          <w:szCs w:val="20"/>
          <w:shd w:val="clear" w:color="auto" w:fill="FFFFFF"/>
        </w:rPr>
        <w:t xml:space="preserve">Tourism </w:t>
      </w:r>
      <w:r w:rsidR="00D152C7" w:rsidRPr="00E4714B">
        <w:rPr>
          <w:rFonts w:cs="Arial"/>
          <w:bCs/>
          <w:i/>
          <w:iCs/>
          <w:sz w:val="20"/>
          <w:szCs w:val="20"/>
          <w:shd w:val="clear" w:color="auto" w:fill="FFFFFF"/>
        </w:rPr>
        <w:t>M</w:t>
      </w:r>
      <w:r w:rsidRPr="00E4714B">
        <w:rPr>
          <w:rFonts w:cs="Arial"/>
          <w:bCs/>
          <w:i/>
          <w:iCs/>
          <w:sz w:val="20"/>
          <w:szCs w:val="20"/>
          <w:shd w:val="clear" w:color="auto" w:fill="FFFFFF"/>
        </w:rPr>
        <w:t>anagement</w:t>
      </w:r>
      <w:r w:rsidRPr="00E4714B">
        <w:rPr>
          <w:rFonts w:cs="Arial"/>
          <w:bCs/>
          <w:sz w:val="20"/>
          <w:szCs w:val="20"/>
          <w:shd w:val="clear" w:color="auto" w:fill="FFFFFF"/>
        </w:rPr>
        <w:t>, </w:t>
      </w:r>
      <w:r w:rsidRPr="00E4714B">
        <w:rPr>
          <w:rFonts w:cs="Arial"/>
          <w:bCs/>
          <w:i/>
          <w:iCs/>
          <w:sz w:val="20"/>
          <w:szCs w:val="20"/>
          <w:shd w:val="clear" w:color="auto" w:fill="FFFFFF"/>
        </w:rPr>
        <w:t>46</w:t>
      </w:r>
      <w:r w:rsidRPr="00E4714B">
        <w:rPr>
          <w:rFonts w:cs="Arial"/>
          <w:bCs/>
          <w:sz w:val="20"/>
          <w:szCs w:val="20"/>
          <w:shd w:val="clear" w:color="auto" w:fill="FFFFFF"/>
        </w:rPr>
        <w:t>, 158-163.</w:t>
      </w:r>
    </w:p>
    <w:p w14:paraId="36FFB963"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lastRenderedPageBreak/>
        <w:t>Tiwari, A. K., Das, D., &amp; Dutta, A. (2019). Geopolitical risk, economic policy uncertainty and tourist arrivals: Evidence from a developing country. </w:t>
      </w:r>
      <w:r w:rsidRPr="00E4714B">
        <w:rPr>
          <w:rFonts w:cs="Arial"/>
          <w:bCs/>
          <w:i/>
          <w:iCs/>
          <w:sz w:val="20"/>
          <w:szCs w:val="20"/>
          <w:shd w:val="clear" w:color="auto" w:fill="FFFFFF"/>
        </w:rPr>
        <w:t>Tourism Management</w:t>
      </w:r>
      <w:r w:rsidRPr="00E4714B">
        <w:rPr>
          <w:rFonts w:cs="Arial"/>
          <w:bCs/>
          <w:sz w:val="20"/>
          <w:szCs w:val="20"/>
          <w:shd w:val="clear" w:color="auto" w:fill="FFFFFF"/>
        </w:rPr>
        <w:t>, </w:t>
      </w:r>
      <w:r w:rsidRPr="00E4714B">
        <w:rPr>
          <w:rFonts w:cs="Arial"/>
          <w:bCs/>
          <w:i/>
          <w:iCs/>
          <w:sz w:val="20"/>
          <w:szCs w:val="20"/>
          <w:shd w:val="clear" w:color="auto" w:fill="FFFFFF"/>
        </w:rPr>
        <w:t>75</w:t>
      </w:r>
      <w:r w:rsidRPr="00E4714B">
        <w:rPr>
          <w:rFonts w:cs="Arial"/>
          <w:bCs/>
          <w:sz w:val="20"/>
          <w:szCs w:val="20"/>
          <w:shd w:val="clear" w:color="auto" w:fill="FFFFFF"/>
        </w:rPr>
        <w:t>, 323-327.</w:t>
      </w:r>
    </w:p>
    <w:p w14:paraId="1254FBB7" w14:textId="77777777" w:rsidR="00F55D34" w:rsidRPr="00E4714B" w:rsidRDefault="00F55D34" w:rsidP="001510EA">
      <w:pPr>
        <w:pStyle w:val="Heading1"/>
        <w:ind w:left="720" w:hanging="720"/>
        <w:jc w:val="both"/>
        <w:rPr>
          <w:b w:val="0"/>
        </w:rPr>
      </w:pPr>
      <w:r w:rsidRPr="00E4714B">
        <w:rPr>
          <w:rFonts w:cs="Arial"/>
          <w:b w:val="0"/>
          <w:shd w:val="clear" w:color="auto" w:fill="FFFFFF"/>
        </w:rPr>
        <w:t>Tovmasyan, G. (2021). Capital investments, tourist tax and tourism development: the case study of Armenia. </w:t>
      </w:r>
      <w:r w:rsidRPr="00E4714B">
        <w:rPr>
          <w:rFonts w:cs="Arial"/>
          <w:b w:val="0"/>
          <w:i/>
          <w:iCs/>
          <w:shd w:val="clear" w:color="auto" w:fill="FFFFFF"/>
        </w:rPr>
        <w:t>Economics and Sociology</w:t>
      </w:r>
      <w:r w:rsidRPr="00E4714B">
        <w:rPr>
          <w:rFonts w:cs="Arial"/>
          <w:b w:val="0"/>
          <w:shd w:val="clear" w:color="auto" w:fill="FFFFFF"/>
        </w:rPr>
        <w:t>, </w:t>
      </w:r>
      <w:r w:rsidRPr="00E4714B">
        <w:rPr>
          <w:rFonts w:cs="Arial"/>
          <w:b w:val="0"/>
          <w:i/>
          <w:iCs/>
          <w:shd w:val="clear" w:color="auto" w:fill="FFFFFF"/>
        </w:rPr>
        <w:t>14</w:t>
      </w:r>
      <w:r w:rsidRPr="00E4714B">
        <w:rPr>
          <w:rFonts w:cs="Arial"/>
          <w:b w:val="0"/>
          <w:shd w:val="clear" w:color="auto" w:fill="FFFFFF"/>
        </w:rPr>
        <w:t>(1), 199-213.</w:t>
      </w:r>
    </w:p>
    <w:p w14:paraId="6149692E"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Tsung-Li, W., Hung-Pin, L., &amp; Yu-Chi, S. (2022). The Dynamic Analysis Among Energy Consumption, Tourist Expansion and Economic Growth on Carbon Dioxide Emissions. </w:t>
      </w:r>
      <w:r w:rsidRPr="00E4714B">
        <w:rPr>
          <w:rFonts w:cs="Arial"/>
          <w:bCs/>
          <w:i/>
          <w:iCs/>
          <w:sz w:val="20"/>
          <w:szCs w:val="20"/>
          <w:shd w:val="clear" w:color="auto" w:fill="FFFFFF"/>
        </w:rPr>
        <w:t>Economic Computation &amp; Economic Cybernetics Studies &amp; Research</w:t>
      </w:r>
      <w:r w:rsidRPr="00E4714B">
        <w:rPr>
          <w:rFonts w:cs="Arial"/>
          <w:bCs/>
          <w:sz w:val="20"/>
          <w:szCs w:val="20"/>
          <w:shd w:val="clear" w:color="auto" w:fill="FFFFFF"/>
        </w:rPr>
        <w:t>, </w:t>
      </w:r>
      <w:r w:rsidRPr="00E4714B">
        <w:rPr>
          <w:rFonts w:cs="Arial"/>
          <w:bCs/>
          <w:i/>
          <w:iCs/>
          <w:sz w:val="20"/>
          <w:szCs w:val="20"/>
          <w:shd w:val="clear" w:color="auto" w:fill="FFFFFF"/>
        </w:rPr>
        <w:t>56</w:t>
      </w:r>
      <w:r w:rsidRPr="00E4714B">
        <w:rPr>
          <w:rFonts w:cs="Arial"/>
          <w:bCs/>
          <w:sz w:val="20"/>
          <w:szCs w:val="20"/>
          <w:shd w:val="clear" w:color="auto" w:fill="FFFFFF"/>
        </w:rPr>
        <w:t>(4).</w:t>
      </w:r>
    </w:p>
    <w:p w14:paraId="5854F169"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Usmani, G., Akram, V., &amp; Praveen, B. (2021). Tourist arrivals, international tourist expenditure, and economic growth in BRIC countries. </w:t>
      </w:r>
      <w:r w:rsidRPr="00E4714B">
        <w:rPr>
          <w:rFonts w:cs="Arial"/>
          <w:bCs/>
          <w:i/>
          <w:iCs/>
          <w:sz w:val="20"/>
          <w:szCs w:val="20"/>
          <w:shd w:val="clear" w:color="auto" w:fill="FFFFFF"/>
        </w:rPr>
        <w:t>Journal of Public Affairs</w:t>
      </w:r>
      <w:r w:rsidRPr="00E4714B">
        <w:rPr>
          <w:rFonts w:cs="Arial"/>
          <w:bCs/>
          <w:sz w:val="20"/>
          <w:szCs w:val="20"/>
          <w:shd w:val="clear" w:color="auto" w:fill="FFFFFF"/>
        </w:rPr>
        <w:t>, </w:t>
      </w:r>
      <w:r w:rsidRPr="00E4714B">
        <w:rPr>
          <w:rFonts w:cs="Arial"/>
          <w:bCs/>
          <w:i/>
          <w:iCs/>
          <w:sz w:val="20"/>
          <w:szCs w:val="20"/>
          <w:shd w:val="clear" w:color="auto" w:fill="FFFFFF"/>
        </w:rPr>
        <w:t>21</w:t>
      </w:r>
      <w:r w:rsidRPr="00E4714B">
        <w:rPr>
          <w:rFonts w:cs="Arial"/>
          <w:bCs/>
          <w:sz w:val="20"/>
          <w:szCs w:val="20"/>
          <w:shd w:val="clear" w:color="auto" w:fill="FFFFFF"/>
        </w:rPr>
        <w:t>(2), e2202.</w:t>
      </w:r>
    </w:p>
    <w:p w14:paraId="4DBE31F8"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Uzuner, G., Akadiri, S. S., &amp; Alola, A. A. (2020). Tourist arrivals in four major economies: another side of economic policy uncertainty and fear. </w:t>
      </w:r>
      <w:r w:rsidRPr="00E4714B">
        <w:rPr>
          <w:rFonts w:cs="Arial"/>
          <w:bCs/>
          <w:i/>
          <w:iCs/>
          <w:sz w:val="20"/>
          <w:szCs w:val="20"/>
          <w:shd w:val="clear" w:color="auto" w:fill="FFFFFF"/>
        </w:rPr>
        <w:t>Environmental Science and Pollution Research</w:t>
      </w:r>
      <w:r w:rsidRPr="00E4714B">
        <w:rPr>
          <w:rFonts w:cs="Arial"/>
          <w:bCs/>
          <w:sz w:val="20"/>
          <w:szCs w:val="20"/>
          <w:shd w:val="clear" w:color="auto" w:fill="FFFFFF"/>
        </w:rPr>
        <w:t>, </w:t>
      </w:r>
      <w:r w:rsidRPr="00E4714B">
        <w:rPr>
          <w:rFonts w:cs="Arial"/>
          <w:bCs/>
          <w:i/>
          <w:iCs/>
          <w:sz w:val="20"/>
          <w:szCs w:val="20"/>
          <w:shd w:val="clear" w:color="auto" w:fill="FFFFFF"/>
        </w:rPr>
        <w:t>27</w:t>
      </w:r>
      <w:r w:rsidRPr="00E4714B">
        <w:rPr>
          <w:rFonts w:cs="Arial"/>
          <w:bCs/>
          <w:sz w:val="20"/>
          <w:szCs w:val="20"/>
          <w:shd w:val="clear" w:color="auto" w:fill="FFFFFF"/>
        </w:rPr>
        <w:t>, 29659-29665.</w:t>
      </w:r>
    </w:p>
    <w:p w14:paraId="148FD55B" w14:textId="77777777"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Walpole, M. J., Goodwin, H. J., &amp; Ward, K. G. (2001). Pricing policy for tourism in protected areas: lessons from Komodo National Park, Indonesia. </w:t>
      </w:r>
      <w:r w:rsidRPr="00E4714B">
        <w:rPr>
          <w:rFonts w:cs="Arial"/>
          <w:b w:val="0"/>
          <w:i/>
          <w:iCs/>
          <w:shd w:val="clear" w:color="auto" w:fill="FFFFFF"/>
        </w:rPr>
        <w:t>Conservation Biology</w:t>
      </w:r>
      <w:r w:rsidRPr="00E4714B">
        <w:rPr>
          <w:rFonts w:cs="Arial"/>
          <w:b w:val="0"/>
          <w:shd w:val="clear" w:color="auto" w:fill="FFFFFF"/>
        </w:rPr>
        <w:t>, </w:t>
      </w:r>
      <w:r w:rsidRPr="00E4714B">
        <w:rPr>
          <w:rFonts w:cs="Arial"/>
          <w:b w:val="0"/>
          <w:i/>
          <w:iCs/>
          <w:shd w:val="clear" w:color="auto" w:fill="FFFFFF"/>
        </w:rPr>
        <w:t>15</w:t>
      </w:r>
      <w:r w:rsidRPr="00E4714B">
        <w:rPr>
          <w:rFonts w:cs="Arial"/>
          <w:b w:val="0"/>
          <w:shd w:val="clear" w:color="auto" w:fill="FFFFFF"/>
        </w:rPr>
        <w:t>(1), 218-227.</w:t>
      </w:r>
    </w:p>
    <w:p w14:paraId="6CF8CADD" w14:textId="2332DB68" w:rsidR="00F55D34" w:rsidRPr="00E4714B" w:rsidRDefault="00F55D34" w:rsidP="001510EA">
      <w:pPr>
        <w:ind w:left="720" w:hanging="720"/>
        <w:jc w:val="both"/>
        <w:rPr>
          <w:rFonts w:eastAsia="Times New Roman" w:cs="Times New Roman"/>
          <w:bCs/>
          <w:sz w:val="20"/>
          <w:szCs w:val="20"/>
        </w:rPr>
      </w:pPr>
      <w:r w:rsidRPr="00E4714B">
        <w:rPr>
          <w:rFonts w:eastAsia="Times New Roman" w:cs="Times New Roman"/>
          <w:bCs/>
          <w:sz w:val="20"/>
          <w:szCs w:val="20"/>
        </w:rPr>
        <w:t xml:space="preserve">World Travel and Tourism Council. (7 June 2021). </w:t>
      </w:r>
      <w:r w:rsidR="00A33530" w:rsidRPr="00E4714B">
        <w:rPr>
          <w:rFonts w:eastAsia="Times New Roman" w:cs="Times New Roman"/>
          <w:bCs/>
          <w:i/>
          <w:iCs/>
          <w:sz w:val="20"/>
          <w:szCs w:val="20"/>
        </w:rPr>
        <w:t>The new</w:t>
      </w:r>
      <w:r w:rsidRPr="00E4714B">
        <w:rPr>
          <w:rFonts w:eastAsia="Times New Roman" w:cs="Times New Roman"/>
          <w:bCs/>
          <w:i/>
          <w:iCs/>
          <w:sz w:val="20"/>
          <w:szCs w:val="20"/>
        </w:rPr>
        <w:t xml:space="preserve"> WTTC campaign shows the importance of international travel to people and businesses around the world</w:t>
      </w:r>
      <w:r w:rsidRPr="00E4714B">
        <w:rPr>
          <w:rFonts w:eastAsia="Times New Roman" w:cs="Times New Roman"/>
          <w:bCs/>
          <w:sz w:val="20"/>
          <w:szCs w:val="20"/>
        </w:rPr>
        <w:t>. London</w:t>
      </w:r>
      <w:r w:rsidR="00324932" w:rsidRPr="00E4714B">
        <w:rPr>
          <w:rFonts w:eastAsia="Times New Roman" w:cs="Times New Roman"/>
          <w:bCs/>
          <w:sz w:val="20"/>
          <w:szCs w:val="20"/>
        </w:rPr>
        <w:t xml:space="preserve">. </w:t>
      </w:r>
      <w:r w:rsidR="00912653" w:rsidRPr="001510EA">
        <w:rPr>
          <w:sz w:val="20"/>
          <w:szCs w:val="20"/>
        </w:rPr>
        <w:t>https://wttc.org/news-article/new-wttc-campaign-shows-the-importance-of-international-travel-to-people-and-businesses-around-the-world</w:t>
      </w:r>
      <w:r w:rsidR="00912653" w:rsidRPr="00E4714B">
        <w:rPr>
          <w:sz w:val="20"/>
          <w:szCs w:val="20"/>
        </w:rPr>
        <w:t xml:space="preserve">  </w:t>
      </w:r>
    </w:p>
    <w:p w14:paraId="1F8B7314" w14:textId="77777777"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Wu, W., Zhang, L., &amp; Qiu, F. (2017). Determinants of tourism ticket pricing for ancient villages and towns: Case studies from Jiangsu, Zhejiang, Shanghai and Anhui provinces. </w:t>
      </w:r>
      <w:r w:rsidRPr="00E4714B">
        <w:rPr>
          <w:rFonts w:cs="Arial"/>
          <w:b w:val="0"/>
          <w:i/>
          <w:iCs/>
          <w:shd w:val="clear" w:color="auto" w:fill="FFFFFF"/>
        </w:rPr>
        <w:t>Tourism management</w:t>
      </w:r>
      <w:r w:rsidRPr="00E4714B">
        <w:rPr>
          <w:rFonts w:cs="Arial"/>
          <w:b w:val="0"/>
          <w:shd w:val="clear" w:color="auto" w:fill="FFFFFF"/>
        </w:rPr>
        <w:t>, </w:t>
      </w:r>
      <w:r w:rsidRPr="00E4714B">
        <w:rPr>
          <w:rFonts w:cs="Arial"/>
          <w:b w:val="0"/>
          <w:i/>
          <w:iCs/>
          <w:shd w:val="clear" w:color="auto" w:fill="FFFFFF"/>
        </w:rPr>
        <w:t>58</w:t>
      </w:r>
      <w:r w:rsidRPr="00E4714B">
        <w:rPr>
          <w:rFonts w:cs="Arial"/>
          <w:b w:val="0"/>
          <w:shd w:val="clear" w:color="auto" w:fill="FFFFFF"/>
        </w:rPr>
        <w:t>, 270-275.</w:t>
      </w:r>
    </w:p>
    <w:p w14:paraId="43CA843B" w14:textId="202BA8FD"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Wujie, X. (2023). The impact of geopolitical risks and international relations on inbound tourism—evidence from China and key source countries. </w:t>
      </w:r>
      <w:r w:rsidRPr="00E4714B">
        <w:rPr>
          <w:rFonts w:cs="Arial"/>
          <w:bCs/>
          <w:i/>
          <w:iCs/>
          <w:sz w:val="20"/>
          <w:szCs w:val="20"/>
          <w:shd w:val="clear" w:color="auto" w:fill="FFFFFF"/>
        </w:rPr>
        <w:t>Cogent Social Sciences</w:t>
      </w:r>
      <w:r w:rsidRPr="00E4714B">
        <w:rPr>
          <w:rFonts w:cs="Arial"/>
          <w:bCs/>
          <w:sz w:val="20"/>
          <w:szCs w:val="20"/>
          <w:shd w:val="clear" w:color="auto" w:fill="FFFFFF"/>
        </w:rPr>
        <w:t>, </w:t>
      </w:r>
      <w:r w:rsidRPr="00E4714B">
        <w:rPr>
          <w:rFonts w:cs="Arial"/>
          <w:bCs/>
          <w:i/>
          <w:iCs/>
          <w:sz w:val="20"/>
          <w:szCs w:val="20"/>
          <w:shd w:val="clear" w:color="auto" w:fill="FFFFFF"/>
        </w:rPr>
        <w:t>9</w:t>
      </w:r>
      <w:r w:rsidRPr="00E4714B">
        <w:rPr>
          <w:rFonts w:cs="Arial"/>
          <w:bCs/>
          <w:sz w:val="20"/>
          <w:szCs w:val="20"/>
          <w:shd w:val="clear" w:color="auto" w:fill="FFFFFF"/>
        </w:rPr>
        <w:t>(2), 2285244.</w:t>
      </w:r>
    </w:p>
    <w:p w14:paraId="4B3FAD97" w14:textId="77777777" w:rsidR="00F55D34" w:rsidRPr="00E4714B" w:rsidRDefault="00F55D34" w:rsidP="001510EA">
      <w:pPr>
        <w:pStyle w:val="Heading1"/>
        <w:ind w:left="720" w:hanging="720"/>
        <w:jc w:val="both"/>
        <w:rPr>
          <w:rFonts w:cs="Arial"/>
          <w:b w:val="0"/>
          <w:shd w:val="clear" w:color="auto" w:fill="FFFFFF"/>
        </w:rPr>
      </w:pPr>
      <w:r w:rsidRPr="00E4714B">
        <w:rPr>
          <w:rFonts w:cs="Arial"/>
          <w:b w:val="0"/>
          <w:shd w:val="clear" w:color="auto" w:fill="FFFFFF"/>
        </w:rPr>
        <w:t>Zhang, H., Jiang, Z., Gao, W., &amp; Yang, C. (2022). Time-varying impact of economic policy uncertainty and geopolitical risk on tourist arrivals: Evidence from a developing country. </w:t>
      </w:r>
      <w:r w:rsidRPr="00E4714B">
        <w:rPr>
          <w:rFonts w:cs="Arial"/>
          <w:b w:val="0"/>
          <w:i/>
          <w:iCs/>
          <w:shd w:val="clear" w:color="auto" w:fill="FFFFFF"/>
        </w:rPr>
        <w:t>Tourism Management Perspectives</w:t>
      </w:r>
      <w:r w:rsidRPr="00E4714B">
        <w:rPr>
          <w:rFonts w:cs="Arial"/>
          <w:b w:val="0"/>
          <w:shd w:val="clear" w:color="auto" w:fill="FFFFFF"/>
        </w:rPr>
        <w:t>, </w:t>
      </w:r>
      <w:r w:rsidRPr="00E4714B">
        <w:rPr>
          <w:rFonts w:cs="Arial"/>
          <w:b w:val="0"/>
          <w:i/>
          <w:iCs/>
          <w:shd w:val="clear" w:color="auto" w:fill="FFFFFF"/>
        </w:rPr>
        <w:t>41</w:t>
      </w:r>
      <w:r w:rsidRPr="00E4714B">
        <w:rPr>
          <w:rFonts w:cs="Arial"/>
          <w:b w:val="0"/>
          <w:shd w:val="clear" w:color="auto" w:fill="FFFFFF"/>
        </w:rPr>
        <w:t>, 100928.</w:t>
      </w:r>
    </w:p>
    <w:p w14:paraId="6593E8B2"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Zhang, Y., &amp; Zhang, J. (2023). Tourist Attractions and Economic Growth in China: A Difference-in-Differences Analysis. </w:t>
      </w:r>
      <w:r w:rsidRPr="00E4714B">
        <w:rPr>
          <w:rFonts w:cs="Arial"/>
          <w:bCs/>
          <w:i/>
          <w:iCs/>
          <w:sz w:val="20"/>
          <w:szCs w:val="20"/>
          <w:shd w:val="clear" w:color="auto" w:fill="FFFFFF"/>
        </w:rPr>
        <w:t>Sustainability</w:t>
      </w:r>
      <w:r w:rsidRPr="00E4714B">
        <w:rPr>
          <w:rFonts w:cs="Arial"/>
          <w:bCs/>
          <w:sz w:val="20"/>
          <w:szCs w:val="20"/>
          <w:shd w:val="clear" w:color="auto" w:fill="FFFFFF"/>
        </w:rPr>
        <w:t>, </w:t>
      </w:r>
      <w:r w:rsidRPr="00E4714B">
        <w:rPr>
          <w:rFonts w:cs="Arial"/>
          <w:bCs/>
          <w:i/>
          <w:iCs/>
          <w:sz w:val="20"/>
          <w:szCs w:val="20"/>
          <w:shd w:val="clear" w:color="auto" w:fill="FFFFFF"/>
        </w:rPr>
        <w:t>15</w:t>
      </w:r>
      <w:r w:rsidRPr="00E4714B">
        <w:rPr>
          <w:rFonts w:cs="Arial"/>
          <w:bCs/>
          <w:sz w:val="20"/>
          <w:szCs w:val="20"/>
          <w:shd w:val="clear" w:color="auto" w:fill="FFFFFF"/>
        </w:rPr>
        <w:t>(7), 5649.</w:t>
      </w:r>
    </w:p>
    <w:p w14:paraId="7652EC79" w14:textId="77777777" w:rsidR="00F55D34" w:rsidRPr="00E4714B" w:rsidRDefault="00F55D34" w:rsidP="001510EA">
      <w:pPr>
        <w:ind w:left="720" w:hanging="720"/>
        <w:jc w:val="both"/>
        <w:rPr>
          <w:rFonts w:cs="Arial"/>
          <w:bCs/>
          <w:sz w:val="20"/>
          <w:szCs w:val="20"/>
          <w:shd w:val="clear" w:color="auto" w:fill="FFFFFF"/>
        </w:rPr>
      </w:pPr>
      <w:r w:rsidRPr="00E4714B">
        <w:rPr>
          <w:rFonts w:cs="Arial"/>
          <w:bCs/>
          <w:sz w:val="20"/>
          <w:szCs w:val="20"/>
          <w:shd w:val="clear" w:color="auto" w:fill="FFFFFF"/>
        </w:rPr>
        <w:t>Zou, Y., &amp; Yu, Q. (2022). Sense of safety toward tourism destinations: A social constructivist perspective. </w:t>
      </w:r>
      <w:r w:rsidRPr="00E4714B">
        <w:rPr>
          <w:rFonts w:cs="Arial"/>
          <w:bCs/>
          <w:i/>
          <w:iCs/>
          <w:sz w:val="20"/>
          <w:szCs w:val="20"/>
          <w:shd w:val="clear" w:color="auto" w:fill="FFFFFF"/>
        </w:rPr>
        <w:t>Journal of Destination Marketing &amp; Management</w:t>
      </w:r>
      <w:r w:rsidRPr="00E4714B">
        <w:rPr>
          <w:rFonts w:cs="Arial"/>
          <w:bCs/>
          <w:sz w:val="20"/>
          <w:szCs w:val="20"/>
          <w:shd w:val="clear" w:color="auto" w:fill="FFFFFF"/>
        </w:rPr>
        <w:t>, </w:t>
      </w:r>
      <w:r w:rsidRPr="00E4714B">
        <w:rPr>
          <w:rFonts w:cs="Arial"/>
          <w:bCs/>
          <w:i/>
          <w:iCs/>
          <w:sz w:val="20"/>
          <w:szCs w:val="20"/>
          <w:shd w:val="clear" w:color="auto" w:fill="FFFFFF"/>
        </w:rPr>
        <w:t>24</w:t>
      </w:r>
      <w:r w:rsidRPr="00E4714B">
        <w:rPr>
          <w:rFonts w:cs="Arial"/>
          <w:bCs/>
          <w:sz w:val="20"/>
          <w:szCs w:val="20"/>
          <w:shd w:val="clear" w:color="auto" w:fill="FFFFFF"/>
        </w:rPr>
        <w:t>, 100708.</w:t>
      </w:r>
    </w:p>
    <w:p w14:paraId="33F02D36" w14:textId="77777777" w:rsidR="00E83C16" w:rsidRPr="00E4714B" w:rsidRDefault="00E83C16" w:rsidP="00E4714B">
      <w:pPr>
        <w:jc w:val="both"/>
        <w:rPr>
          <w:color w:val="FF0000"/>
          <w:sz w:val="20"/>
          <w:szCs w:val="20"/>
        </w:rPr>
      </w:pPr>
    </w:p>
    <w:p w14:paraId="4CE94849" w14:textId="77777777" w:rsidR="006924C2" w:rsidRPr="00E4714B" w:rsidRDefault="006924C2" w:rsidP="00E4714B">
      <w:pPr>
        <w:jc w:val="both"/>
        <w:rPr>
          <w:color w:val="FF0000"/>
          <w:sz w:val="20"/>
          <w:szCs w:val="20"/>
        </w:rPr>
      </w:pPr>
    </w:p>
    <w:bookmarkEnd w:id="0"/>
    <w:p w14:paraId="7D11A6E1" w14:textId="77777777" w:rsidR="006924C2" w:rsidRPr="00E4714B" w:rsidRDefault="006924C2" w:rsidP="00E4714B">
      <w:pPr>
        <w:jc w:val="both"/>
        <w:rPr>
          <w:color w:val="FF0000"/>
          <w:sz w:val="20"/>
          <w:szCs w:val="20"/>
        </w:rPr>
      </w:pPr>
    </w:p>
    <w:sectPr w:rsidR="006924C2" w:rsidRPr="00E4714B" w:rsidSect="004B5FD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6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2DDF" w14:textId="77777777" w:rsidR="004B5FDA" w:rsidRDefault="004B5FDA">
      <w:r>
        <w:separator/>
      </w:r>
    </w:p>
  </w:endnote>
  <w:endnote w:type="continuationSeparator" w:id="0">
    <w:p w14:paraId="0EC630DD" w14:textId="77777777" w:rsidR="004B5FDA" w:rsidRDefault="004B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3663" w14:textId="77777777" w:rsidR="00B97983" w:rsidRDefault="00B97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53164"/>
      <w:docPartObj>
        <w:docPartGallery w:val="Page Numbers (Bottom of Page)"/>
        <w:docPartUnique/>
      </w:docPartObj>
    </w:sdtPr>
    <w:sdtEndPr>
      <w:rPr>
        <w:noProof/>
      </w:rPr>
    </w:sdtEndPr>
    <w:sdtContent>
      <w:p w14:paraId="46720177" w14:textId="7365EDD9" w:rsidR="00E4714B" w:rsidRDefault="00E4714B">
        <w:pPr>
          <w:pStyle w:val="Footer"/>
          <w:jc w:val="center"/>
        </w:pPr>
        <w:r w:rsidRPr="001510EA">
          <w:rPr>
            <w:sz w:val="20"/>
            <w:szCs w:val="20"/>
          </w:rPr>
          <w:fldChar w:fldCharType="begin"/>
        </w:r>
        <w:r w:rsidRPr="001510EA">
          <w:rPr>
            <w:sz w:val="20"/>
            <w:szCs w:val="20"/>
          </w:rPr>
          <w:instrText xml:space="preserve"> PAGE   \* MERGEFORMAT </w:instrText>
        </w:r>
        <w:r w:rsidRPr="001510EA">
          <w:rPr>
            <w:sz w:val="20"/>
            <w:szCs w:val="20"/>
          </w:rPr>
          <w:fldChar w:fldCharType="separate"/>
        </w:r>
        <w:r w:rsidRPr="001510EA">
          <w:rPr>
            <w:noProof/>
            <w:sz w:val="20"/>
            <w:szCs w:val="20"/>
          </w:rPr>
          <w:t>2</w:t>
        </w:r>
        <w:r w:rsidRPr="001510EA">
          <w:rPr>
            <w:noProof/>
            <w:sz w:val="20"/>
            <w:szCs w:val="20"/>
          </w:rPr>
          <w:fldChar w:fldCharType="end"/>
        </w:r>
      </w:p>
    </w:sdtContent>
  </w:sdt>
  <w:p w14:paraId="6DA8B971" w14:textId="38AC5628" w:rsidR="00092005" w:rsidRDefault="00092005">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ABCB" w14:textId="77777777" w:rsidR="00B97983" w:rsidRDefault="00B9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25A4" w14:textId="77777777" w:rsidR="004B5FDA" w:rsidRDefault="004B5FDA">
      <w:r>
        <w:separator/>
      </w:r>
    </w:p>
  </w:footnote>
  <w:footnote w:type="continuationSeparator" w:id="0">
    <w:p w14:paraId="78FEF8FD" w14:textId="77777777" w:rsidR="004B5FDA" w:rsidRDefault="004B5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9566" w14:textId="77777777" w:rsidR="00B97983" w:rsidRDefault="00B97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BCC0" w14:textId="77777777" w:rsidR="00E4714B" w:rsidRPr="00D52AB1" w:rsidRDefault="00E4714B" w:rsidP="00E4714B">
    <w:pPr>
      <w:pBdr>
        <w:bottom w:val="single" w:sz="12" w:space="1" w:color="auto"/>
      </w:pBdr>
      <w:shd w:val="clear" w:color="auto" w:fill="365F91"/>
      <w:ind w:left="10"/>
      <w:jc w:val="center"/>
      <w:rPr>
        <w:b/>
        <w:color w:val="FFFFFF"/>
        <w:sz w:val="20"/>
        <w:szCs w:val="20"/>
      </w:rPr>
    </w:pPr>
    <w:bookmarkStart w:id="2" w:name="_Hlk164358740"/>
    <w:r w:rsidRPr="00D52AB1">
      <w:rPr>
        <w:b/>
        <w:color w:val="FFFFFF"/>
        <w:sz w:val="20"/>
        <w:szCs w:val="20"/>
      </w:rPr>
      <w:t>Information Management and Business Review (ISSN 2220-3796)</w:t>
    </w:r>
  </w:p>
  <w:p w14:paraId="7896DA21" w14:textId="3A65B9E4" w:rsidR="00E4714B" w:rsidRPr="00D52AB1" w:rsidRDefault="00E4714B" w:rsidP="00E4714B">
    <w:pPr>
      <w:pBdr>
        <w:bottom w:val="single" w:sz="12" w:space="1" w:color="auto"/>
      </w:pBdr>
      <w:shd w:val="clear" w:color="auto" w:fill="365F91"/>
      <w:tabs>
        <w:tab w:val="center" w:pos="4680"/>
        <w:tab w:val="left" w:pos="7270"/>
      </w:tabs>
      <w:ind w:left="10"/>
      <w:jc w:val="center"/>
      <w:rPr>
        <w:noProof/>
        <w:sz w:val="20"/>
        <w:szCs w:val="20"/>
      </w:rPr>
    </w:pPr>
    <w:r w:rsidRPr="00D52AB1">
      <w:rPr>
        <w:b/>
        <w:color w:val="FFFFFF"/>
        <w:sz w:val="20"/>
        <w:szCs w:val="20"/>
      </w:rPr>
      <w:t>Vol. 16, No. 1, pp. 1</w:t>
    </w:r>
    <w:r>
      <w:rPr>
        <w:b/>
        <w:color w:val="FFFFFF"/>
        <w:sz w:val="20"/>
        <w:szCs w:val="20"/>
      </w:rPr>
      <w:t>6</w:t>
    </w:r>
    <w:r>
      <w:rPr>
        <w:b/>
        <w:color w:val="FFFFFF"/>
        <w:sz w:val="20"/>
        <w:szCs w:val="20"/>
      </w:rPr>
      <w:t>3</w:t>
    </w:r>
    <w:r w:rsidRPr="00D52AB1">
      <w:rPr>
        <w:b/>
        <w:color w:val="FFFFFF"/>
        <w:sz w:val="20"/>
        <w:szCs w:val="20"/>
      </w:rPr>
      <w:t>-1</w:t>
    </w:r>
    <w:r>
      <w:rPr>
        <w:b/>
        <w:color w:val="FFFFFF"/>
        <w:sz w:val="20"/>
        <w:szCs w:val="20"/>
      </w:rPr>
      <w:t>7</w:t>
    </w:r>
    <w:r w:rsidR="006B7605">
      <w:rPr>
        <w:b/>
        <w:color w:val="FFFFFF"/>
        <w:sz w:val="20"/>
        <w:szCs w:val="20"/>
      </w:rPr>
      <w:t>6</w:t>
    </w:r>
    <w:r w:rsidRPr="00D52AB1">
      <w:rPr>
        <w:b/>
        <w:color w:val="FFFFFF"/>
        <w:sz w:val="20"/>
        <w:szCs w:val="20"/>
      </w:rPr>
      <w:t>, SI(1) 2024</w:t>
    </w:r>
  </w:p>
  <w:bookmarkEnd w:id="2"/>
  <w:p w14:paraId="4E3B0FA9" w14:textId="77777777" w:rsidR="00E4714B" w:rsidRDefault="00E4714B" w:rsidP="00E4714B">
    <w:pPr>
      <w:pBdr>
        <w:top w:val="nil"/>
        <w:left w:val="nil"/>
        <w:bottom w:val="nil"/>
        <w:right w:val="nil"/>
        <w:between w:val="nil"/>
      </w:pBdr>
      <w:spacing w:line="14" w:lineRule="auto"/>
      <w:rPr>
        <w:color w:val="000000"/>
        <w:sz w:val="20"/>
        <w:szCs w:val="20"/>
      </w:rPr>
    </w:pPr>
  </w:p>
  <w:p w14:paraId="7B4281C6" w14:textId="5D7C9A3B" w:rsidR="00092005" w:rsidRDefault="00092005">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D82F" w14:textId="77777777" w:rsidR="00B97983" w:rsidRDefault="00B97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F64"/>
    <w:multiLevelType w:val="hybridMultilevel"/>
    <w:tmpl w:val="0414B81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5A66359"/>
    <w:multiLevelType w:val="hybridMultilevel"/>
    <w:tmpl w:val="9FE6A46C"/>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98E230D"/>
    <w:multiLevelType w:val="multilevel"/>
    <w:tmpl w:val="BA027566"/>
    <w:lvl w:ilvl="0">
      <w:start w:val="1"/>
      <w:numFmt w:val="decimal"/>
      <w:lvlText w:val="%1."/>
      <w:lvlJc w:val="left"/>
      <w:pPr>
        <w:ind w:left="446" w:hanging="206"/>
      </w:pPr>
      <w:rPr>
        <w:rFonts w:ascii="Cambria" w:eastAsia="Cambria" w:hAnsi="Cambria" w:cs="Cambria"/>
        <w:b/>
        <w:sz w:val="20"/>
        <w:szCs w:val="20"/>
      </w:rPr>
    </w:lvl>
    <w:lvl w:ilvl="1">
      <w:numFmt w:val="bullet"/>
      <w:lvlText w:val="•"/>
      <w:lvlJc w:val="left"/>
      <w:pPr>
        <w:ind w:left="1378" w:hanging="207"/>
      </w:pPr>
    </w:lvl>
    <w:lvl w:ilvl="2">
      <w:numFmt w:val="bullet"/>
      <w:lvlText w:val="•"/>
      <w:lvlJc w:val="left"/>
      <w:pPr>
        <w:ind w:left="2316" w:hanging="207"/>
      </w:pPr>
    </w:lvl>
    <w:lvl w:ilvl="3">
      <w:numFmt w:val="bullet"/>
      <w:lvlText w:val="•"/>
      <w:lvlJc w:val="left"/>
      <w:pPr>
        <w:ind w:left="3254" w:hanging="207"/>
      </w:pPr>
    </w:lvl>
    <w:lvl w:ilvl="4">
      <w:numFmt w:val="bullet"/>
      <w:lvlText w:val="•"/>
      <w:lvlJc w:val="left"/>
      <w:pPr>
        <w:ind w:left="4192" w:hanging="207"/>
      </w:pPr>
    </w:lvl>
    <w:lvl w:ilvl="5">
      <w:numFmt w:val="bullet"/>
      <w:lvlText w:val="•"/>
      <w:lvlJc w:val="left"/>
      <w:pPr>
        <w:ind w:left="5130" w:hanging="207"/>
      </w:pPr>
    </w:lvl>
    <w:lvl w:ilvl="6">
      <w:numFmt w:val="bullet"/>
      <w:lvlText w:val="•"/>
      <w:lvlJc w:val="left"/>
      <w:pPr>
        <w:ind w:left="6068" w:hanging="207"/>
      </w:pPr>
    </w:lvl>
    <w:lvl w:ilvl="7">
      <w:numFmt w:val="bullet"/>
      <w:lvlText w:val="•"/>
      <w:lvlJc w:val="left"/>
      <w:pPr>
        <w:ind w:left="7006" w:hanging="207"/>
      </w:pPr>
    </w:lvl>
    <w:lvl w:ilvl="8">
      <w:numFmt w:val="bullet"/>
      <w:lvlText w:val="•"/>
      <w:lvlJc w:val="left"/>
      <w:pPr>
        <w:ind w:left="7944" w:hanging="207"/>
      </w:pPr>
    </w:lvl>
  </w:abstractNum>
  <w:abstractNum w:abstractNumId="3" w15:restartNumberingAfterBreak="0">
    <w:nsid w:val="55864F1E"/>
    <w:multiLevelType w:val="hybridMultilevel"/>
    <w:tmpl w:val="0E30AD8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76372951">
    <w:abstractNumId w:val="2"/>
  </w:num>
  <w:num w:numId="2" w16cid:durableId="1002053189">
    <w:abstractNumId w:val="1"/>
  </w:num>
  <w:num w:numId="3" w16cid:durableId="1063722212">
    <w:abstractNumId w:val="0"/>
  </w:num>
  <w:num w:numId="4" w16cid:durableId="1890874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005"/>
    <w:rsid w:val="00044729"/>
    <w:rsid w:val="00092005"/>
    <w:rsid w:val="000B5392"/>
    <w:rsid w:val="000B5D89"/>
    <w:rsid w:val="000C710C"/>
    <w:rsid w:val="000D30AC"/>
    <w:rsid w:val="00110119"/>
    <w:rsid w:val="001136E5"/>
    <w:rsid w:val="00117179"/>
    <w:rsid w:val="00127585"/>
    <w:rsid w:val="001355A8"/>
    <w:rsid w:val="001510EA"/>
    <w:rsid w:val="00153250"/>
    <w:rsid w:val="001532BE"/>
    <w:rsid w:val="00186E82"/>
    <w:rsid w:val="001B1C9F"/>
    <w:rsid w:val="00201C2F"/>
    <w:rsid w:val="00204963"/>
    <w:rsid w:val="002125EE"/>
    <w:rsid w:val="00226456"/>
    <w:rsid w:val="002321CA"/>
    <w:rsid w:val="00234C3C"/>
    <w:rsid w:val="00236E76"/>
    <w:rsid w:val="00251677"/>
    <w:rsid w:val="00255A98"/>
    <w:rsid w:val="00267DD4"/>
    <w:rsid w:val="00301009"/>
    <w:rsid w:val="003072E4"/>
    <w:rsid w:val="00313F20"/>
    <w:rsid w:val="00324932"/>
    <w:rsid w:val="003356A9"/>
    <w:rsid w:val="003378CE"/>
    <w:rsid w:val="00341DF6"/>
    <w:rsid w:val="003527B6"/>
    <w:rsid w:val="00354B03"/>
    <w:rsid w:val="0038645D"/>
    <w:rsid w:val="00395218"/>
    <w:rsid w:val="00396C42"/>
    <w:rsid w:val="003A310C"/>
    <w:rsid w:val="003B447E"/>
    <w:rsid w:val="003C7987"/>
    <w:rsid w:val="003E66E1"/>
    <w:rsid w:val="00431CA1"/>
    <w:rsid w:val="00442DD4"/>
    <w:rsid w:val="00461CD3"/>
    <w:rsid w:val="00487728"/>
    <w:rsid w:val="004A0062"/>
    <w:rsid w:val="004B1E93"/>
    <w:rsid w:val="004B5FDA"/>
    <w:rsid w:val="004C425A"/>
    <w:rsid w:val="004E25BE"/>
    <w:rsid w:val="004E7B09"/>
    <w:rsid w:val="004F1FCF"/>
    <w:rsid w:val="005646CF"/>
    <w:rsid w:val="00567A18"/>
    <w:rsid w:val="0057426C"/>
    <w:rsid w:val="0058782D"/>
    <w:rsid w:val="005A5765"/>
    <w:rsid w:val="005A7E2E"/>
    <w:rsid w:val="005B7C11"/>
    <w:rsid w:val="005C4FCE"/>
    <w:rsid w:val="00630CF7"/>
    <w:rsid w:val="006656E0"/>
    <w:rsid w:val="00677DBD"/>
    <w:rsid w:val="00686A1D"/>
    <w:rsid w:val="006924C2"/>
    <w:rsid w:val="006B54BD"/>
    <w:rsid w:val="006B7605"/>
    <w:rsid w:val="006D52C9"/>
    <w:rsid w:val="00723D51"/>
    <w:rsid w:val="00734696"/>
    <w:rsid w:val="00766116"/>
    <w:rsid w:val="007D2BE9"/>
    <w:rsid w:val="007D3881"/>
    <w:rsid w:val="007D6616"/>
    <w:rsid w:val="007F0E53"/>
    <w:rsid w:val="008126C2"/>
    <w:rsid w:val="008128C3"/>
    <w:rsid w:val="008162BE"/>
    <w:rsid w:val="00870986"/>
    <w:rsid w:val="00894849"/>
    <w:rsid w:val="008C10C5"/>
    <w:rsid w:val="008C25EE"/>
    <w:rsid w:val="008D687D"/>
    <w:rsid w:val="008E3CCC"/>
    <w:rsid w:val="008F098A"/>
    <w:rsid w:val="0090410A"/>
    <w:rsid w:val="00912653"/>
    <w:rsid w:val="00924CE4"/>
    <w:rsid w:val="009346A4"/>
    <w:rsid w:val="00934CEA"/>
    <w:rsid w:val="00951795"/>
    <w:rsid w:val="00954C42"/>
    <w:rsid w:val="00982798"/>
    <w:rsid w:val="00992AA9"/>
    <w:rsid w:val="00992E76"/>
    <w:rsid w:val="009D678F"/>
    <w:rsid w:val="009F52AD"/>
    <w:rsid w:val="00A00DEC"/>
    <w:rsid w:val="00A01CB1"/>
    <w:rsid w:val="00A12E42"/>
    <w:rsid w:val="00A229E7"/>
    <w:rsid w:val="00A31F29"/>
    <w:rsid w:val="00A328E2"/>
    <w:rsid w:val="00A33530"/>
    <w:rsid w:val="00A40DDA"/>
    <w:rsid w:val="00A40F39"/>
    <w:rsid w:val="00A5145E"/>
    <w:rsid w:val="00A8227A"/>
    <w:rsid w:val="00AA464A"/>
    <w:rsid w:val="00AD79DC"/>
    <w:rsid w:val="00AE2FC6"/>
    <w:rsid w:val="00B002BC"/>
    <w:rsid w:val="00B5079E"/>
    <w:rsid w:val="00B52561"/>
    <w:rsid w:val="00B97983"/>
    <w:rsid w:val="00BD62AA"/>
    <w:rsid w:val="00BF5364"/>
    <w:rsid w:val="00C035CD"/>
    <w:rsid w:val="00C1424F"/>
    <w:rsid w:val="00C23EB8"/>
    <w:rsid w:val="00C24E5C"/>
    <w:rsid w:val="00C2599D"/>
    <w:rsid w:val="00C41F12"/>
    <w:rsid w:val="00C822E9"/>
    <w:rsid w:val="00CC09FE"/>
    <w:rsid w:val="00CC7A66"/>
    <w:rsid w:val="00D152C7"/>
    <w:rsid w:val="00D23F06"/>
    <w:rsid w:val="00D27E0C"/>
    <w:rsid w:val="00D74BDA"/>
    <w:rsid w:val="00D962F6"/>
    <w:rsid w:val="00DA6646"/>
    <w:rsid w:val="00DE2DF0"/>
    <w:rsid w:val="00E07364"/>
    <w:rsid w:val="00E15836"/>
    <w:rsid w:val="00E4714B"/>
    <w:rsid w:val="00E70C14"/>
    <w:rsid w:val="00E83AAF"/>
    <w:rsid w:val="00E83C16"/>
    <w:rsid w:val="00E8701E"/>
    <w:rsid w:val="00E9352B"/>
    <w:rsid w:val="00EA1DDB"/>
    <w:rsid w:val="00EB7654"/>
    <w:rsid w:val="00EC00BB"/>
    <w:rsid w:val="00ED14F0"/>
    <w:rsid w:val="00ED4B61"/>
    <w:rsid w:val="00EE5785"/>
    <w:rsid w:val="00F41765"/>
    <w:rsid w:val="00F5449B"/>
    <w:rsid w:val="00F55D34"/>
    <w:rsid w:val="00F66821"/>
    <w:rsid w:val="00FC045E"/>
    <w:rsid w:val="00FE34D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F65CF"/>
  <w15:docId w15:val="{18B2317D-B129-440F-8B36-8ABA32AC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MY"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CD3"/>
  </w:style>
  <w:style w:type="paragraph" w:styleId="Heading1">
    <w:name w:val="heading 1"/>
    <w:basedOn w:val="Normal"/>
    <w:link w:val="Heading1Char"/>
    <w:uiPriority w:val="9"/>
    <w:qFormat/>
    <w:pPr>
      <w:ind w:left="240"/>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245" w:lineRule="exact"/>
      <w:ind w:left="60"/>
    </w:pPr>
    <w:rPr>
      <w:rFonts w:ascii="Calibri" w:eastAsia="Calibri" w:hAnsi="Calibri" w:cs="Calibri"/>
    </w:rPr>
  </w:style>
  <w:style w:type="paragraph" w:styleId="BodyText">
    <w:name w:val="Body Text"/>
    <w:basedOn w:val="Normal"/>
    <w:uiPriority w:val="1"/>
    <w:qFormat/>
    <w:pPr>
      <w:ind w:left="240"/>
      <w:jc w:val="both"/>
    </w:pPr>
    <w:rPr>
      <w:sz w:val="20"/>
      <w:szCs w:val="20"/>
    </w:rPr>
  </w:style>
  <w:style w:type="paragraph" w:styleId="ListParagraph">
    <w:name w:val="List Paragraph"/>
    <w:basedOn w:val="Normal"/>
    <w:uiPriority w:val="34"/>
    <w:qFormat/>
    <w:pPr>
      <w:ind w:left="446" w:hanging="207"/>
    </w:pPr>
  </w:style>
  <w:style w:type="paragraph" w:customStyle="1" w:styleId="TableParagraph">
    <w:name w:val="Table Paragraph"/>
    <w:basedOn w:val="Normal"/>
    <w:uiPriority w:val="1"/>
    <w:qFormat/>
    <w:pPr>
      <w:ind w:left="122"/>
    </w:pPr>
  </w:style>
  <w:style w:type="paragraph" w:styleId="Header">
    <w:name w:val="header"/>
    <w:basedOn w:val="Normal"/>
    <w:link w:val="HeaderChar"/>
    <w:uiPriority w:val="99"/>
    <w:unhideWhenUsed/>
    <w:rsid w:val="00014D6C"/>
    <w:pPr>
      <w:tabs>
        <w:tab w:val="center" w:pos="4680"/>
        <w:tab w:val="right" w:pos="9360"/>
      </w:tabs>
    </w:pPr>
  </w:style>
  <w:style w:type="character" w:customStyle="1" w:styleId="HeaderChar">
    <w:name w:val="Header Char"/>
    <w:basedOn w:val="DefaultParagraphFont"/>
    <w:link w:val="Header"/>
    <w:uiPriority w:val="99"/>
    <w:rsid w:val="00014D6C"/>
    <w:rPr>
      <w:rFonts w:ascii="Cambria" w:eastAsia="Cambria" w:hAnsi="Cambria" w:cs="Cambria"/>
    </w:rPr>
  </w:style>
  <w:style w:type="paragraph" w:styleId="Footer">
    <w:name w:val="footer"/>
    <w:basedOn w:val="Normal"/>
    <w:link w:val="FooterChar"/>
    <w:uiPriority w:val="99"/>
    <w:unhideWhenUsed/>
    <w:rsid w:val="00014D6C"/>
    <w:pPr>
      <w:tabs>
        <w:tab w:val="center" w:pos="4680"/>
        <w:tab w:val="right" w:pos="9360"/>
      </w:tabs>
    </w:pPr>
  </w:style>
  <w:style w:type="character" w:customStyle="1" w:styleId="FooterChar">
    <w:name w:val="Footer Char"/>
    <w:basedOn w:val="DefaultParagraphFont"/>
    <w:link w:val="Footer"/>
    <w:uiPriority w:val="99"/>
    <w:rsid w:val="00014D6C"/>
    <w:rPr>
      <w:rFonts w:ascii="Cambria" w:eastAsia="Cambria" w:hAnsi="Cambria" w:cs="Cambria"/>
    </w:rPr>
  </w:style>
  <w:style w:type="character" w:styleId="Hyperlink">
    <w:name w:val="Hyperlink"/>
    <w:basedOn w:val="DefaultParagraphFont"/>
    <w:uiPriority w:val="99"/>
    <w:unhideWhenUsed/>
    <w:rsid w:val="00296EE6"/>
    <w:rPr>
      <w:color w:val="0000FF" w:themeColor="hyperlink"/>
      <w:u w:val="single"/>
    </w:rPr>
  </w:style>
  <w:style w:type="character" w:styleId="UnresolvedMention">
    <w:name w:val="Unresolved Mention"/>
    <w:basedOn w:val="DefaultParagraphFont"/>
    <w:uiPriority w:val="99"/>
    <w:semiHidden/>
    <w:unhideWhenUsed/>
    <w:rsid w:val="00296EE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Caption">
    <w:name w:val="caption"/>
    <w:basedOn w:val="Normal"/>
    <w:next w:val="Normal"/>
    <w:uiPriority w:val="35"/>
    <w:unhideWhenUsed/>
    <w:qFormat/>
    <w:rsid w:val="00204963"/>
    <w:pPr>
      <w:widowControl/>
      <w:spacing w:after="200"/>
    </w:pPr>
    <w:rPr>
      <w:rFonts w:ascii="Calibri" w:eastAsia="Calibri" w:hAnsi="Calibri" w:cs="Calibri"/>
      <w:b/>
      <w:bCs/>
      <w:color w:val="4F81BD" w:themeColor="accent1"/>
      <w:sz w:val="18"/>
      <w:szCs w:val="18"/>
    </w:rPr>
  </w:style>
  <w:style w:type="table" w:styleId="TableGrid">
    <w:name w:val="Table Grid"/>
    <w:basedOn w:val="TableNormal"/>
    <w:uiPriority w:val="59"/>
    <w:rsid w:val="00431CA1"/>
    <w:pPr>
      <w:widowControl/>
    </w:pPr>
    <w:rPr>
      <w:rFonts w:ascii="Calibri" w:eastAsia="Calibri" w:hAnsi="Calibri"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92E76"/>
    <w:rPr>
      <w:b/>
      <w:bCs/>
      <w:sz w:val="20"/>
      <w:szCs w:val="20"/>
    </w:rPr>
  </w:style>
  <w:style w:type="character" w:styleId="Strong">
    <w:name w:val="Strong"/>
    <w:basedOn w:val="DefaultParagraphFont"/>
    <w:uiPriority w:val="22"/>
    <w:qFormat/>
    <w:rsid w:val="00354B03"/>
    <w:rPr>
      <w:b/>
      <w:bCs/>
    </w:rPr>
  </w:style>
  <w:style w:type="paragraph" w:styleId="FootnoteText">
    <w:name w:val="footnote text"/>
    <w:basedOn w:val="Normal"/>
    <w:link w:val="FootnoteTextChar"/>
    <w:uiPriority w:val="99"/>
    <w:semiHidden/>
    <w:unhideWhenUsed/>
    <w:rsid w:val="00313F20"/>
    <w:rPr>
      <w:sz w:val="20"/>
      <w:szCs w:val="20"/>
    </w:rPr>
  </w:style>
  <w:style w:type="character" w:customStyle="1" w:styleId="FootnoteTextChar">
    <w:name w:val="Footnote Text Char"/>
    <w:basedOn w:val="DefaultParagraphFont"/>
    <w:link w:val="FootnoteText"/>
    <w:uiPriority w:val="99"/>
    <w:semiHidden/>
    <w:rsid w:val="00313F20"/>
    <w:rPr>
      <w:sz w:val="20"/>
      <w:szCs w:val="20"/>
    </w:rPr>
  </w:style>
  <w:style w:type="character" w:styleId="FootnoteReference">
    <w:name w:val="footnote reference"/>
    <w:basedOn w:val="DefaultParagraphFont"/>
    <w:uiPriority w:val="99"/>
    <w:semiHidden/>
    <w:unhideWhenUsed/>
    <w:rsid w:val="00313F20"/>
    <w:rPr>
      <w:vertAlign w:val="superscript"/>
    </w:rPr>
  </w:style>
  <w:style w:type="character" w:styleId="FollowedHyperlink">
    <w:name w:val="FollowedHyperlink"/>
    <w:basedOn w:val="DefaultParagraphFont"/>
    <w:uiPriority w:val="99"/>
    <w:semiHidden/>
    <w:unhideWhenUsed/>
    <w:rsid w:val="00313F20"/>
    <w:rPr>
      <w:color w:val="800080" w:themeColor="followedHyperlink"/>
      <w:u w:val="single"/>
    </w:rPr>
  </w:style>
  <w:style w:type="character" w:styleId="PlaceholderText">
    <w:name w:val="Placeholder Text"/>
    <w:basedOn w:val="DefaultParagraphFont"/>
    <w:uiPriority w:val="99"/>
    <w:semiHidden/>
    <w:rsid w:val="00236E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6565">
      <w:bodyDiv w:val="1"/>
      <w:marLeft w:val="0"/>
      <w:marRight w:val="0"/>
      <w:marTop w:val="0"/>
      <w:marBottom w:val="0"/>
      <w:divBdr>
        <w:top w:val="none" w:sz="0" w:space="0" w:color="auto"/>
        <w:left w:val="none" w:sz="0" w:space="0" w:color="auto"/>
        <w:bottom w:val="none" w:sz="0" w:space="0" w:color="auto"/>
        <w:right w:val="none" w:sz="0" w:space="0" w:color="auto"/>
      </w:divBdr>
      <w:divsChild>
        <w:div w:id="574902657">
          <w:marLeft w:val="0"/>
          <w:marRight w:val="0"/>
          <w:marTop w:val="120"/>
          <w:marBottom w:val="0"/>
          <w:divBdr>
            <w:top w:val="none" w:sz="0" w:space="0" w:color="auto"/>
            <w:left w:val="none" w:sz="0" w:space="0" w:color="auto"/>
            <w:bottom w:val="none" w:sz="0" w:space="0" w:color="auto"/>
            <w:right w:val="none" w:sz="0" w:space="0" w:color="auto"/>
          </w:divBdr>
          <w:divsChild>
            <w:div w:id="1988514636">
              <w:marLeft w:val="0"/>
              <w:marRight w:val="0"/>
              <w:marTop w:val="0"/>
              <w:marBottom w:val="0"/>
              <w:divBdr>
                <w:top w:val="none" w:sz="0" w:space="0" w:color="auto"/>
                <w:left w:val="none" w:sz="0" w:space="0" w:color="auto"/>
                <w:bottom w:val="none" w:sz="0" w:space="0" w:color="auto"/>
                <w:right w:val="none" w:sz="0" w:space="0" w:color="auto"/>
              </w:divBdr>
            </w:div>
          </w:divsChild>
        </w:div>
        <w:div w:id="1864896357">
          <w:marLeft w:val="0"/>
          <w:marRight w:val="0"/>
          <w:marTop w:val="120"/>
          <w:marBottom w:val="0"/>
          <w:divBdr>
            <w:top w:val="none" w:sz="0" w:space="0" w:color="auto"/>
            <w:left w:val="none" w:sz="0" w:space="0" w:color="auto"/>
            <w:bottom w:val="none" w:sz="0" w:space="0" w:color="auto"/>
            <w:right w:val="none" w:sz="0" w:space="0" w:color="auto"/>
          </w:divBdr>
          <w:divsChild>
            <w:div w:id="15809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3332">
      <w:bodyDiv w:val="1"/>
      <w:marLeft w:val="0"/>
      <w:marRight w:val="0"/>
      <w:marTop w:val="0"/>
      <w:marBottom w:val="0"/>
      <w:divBdr>
        <w:top w:val="none" w:sz="0" w:space="0" w:color="auto"/>
        <w:left w:val="none" w:sz="0" w:space="0" w:color="auto"/>
        <w:bottom w:val="none" w:sz="0" w:space="0" w:color="auto"/>
        <w:right w:val="none" w:sz="0" w:space="0" w:color="auto"/>
      </w:divBdr>
      <w:divsChild>
        <w:div w:id="1010595999">
          <w:marLeft w:val="0"/>
          <w:marRight w:val="0"/>
          <w:marTop w:val="120"/>
          <w:marBottom w:val="0"/>
          <w:divBdr>
            <w:top w:val="none" w:sz="0" w:space="0" w:color="auto"/>
            <w:left w:val="none" w:sz="0" w:space="0" w:color="auto"/>
            <w:bottom w:val="none" w:sz="0" w:space="0" w:color="auto"/>
            <w:right w:val="none" w:sz="0" w:space="0" w:color="auto"/>
          </w:divBdr>
          <w:divsChild>
            <w:div w:id="654795481">
              <w:marLeft w:val="0"/>
              <w:marRight w:val="0"/>
              <w:marTop w:val="0"/>
              <w:marBottom w:val="0"/>
              <w:divBdr>
                <w:top w:val="none" w:sz="0" w:space="0" w:color="auto"/>
                <w:left w:val="none" w:sz="0" w:space="0" w:color="auto"/>
                <w:bottom w:val="none" w:sz="0" w:space="0" w:color="auto"/>
                <w:right w:val="none" w:sz="0" w:space="0" w:color="auto"/>
              </w:divBdr>
            </w:div>
          </w:divsChild>
        </w:div>
        <w:div w:id="1348604740">
          <w:marLeft w:val="0"/>
          <w:marRight w:val="0"/>
          <w:marTop w:val="120"/>
          <w:marBottom w:val="0"/>
          <w:divBdr>
            <w:top w:val="none" w:sz="0" w:space="0" w:color="auto"/>
            <w:left w:val="none" w:sz="0" w:space="0" w:color="auto"/>
            <w:bottom w:val="none" w:sz="0" w:space="0" w:color="auto"/>
            <w:right w:val="none" w:sz="0" w:space="0" w:color="auto"/>
          </w:divBdr>
          <w:divsChild>
            <w:div w:id="5480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7260">
      <w:bodyDiv w:val="1"/>
      <w:marLeft w:val="0"/>
      <w:marRight w:val="0"/>
      <w:marTop w:val="0"/>
      <w:marBottom w:val="0"/>
      <w:divBdr>
        <w:top w:val="none" w:sz="0" w:space="0" w:color="auto"/>
        <w:left w:val="none" w:sz="0" w:space="0" w:color="auto"/>
        <w:bottom w:val="none" w:sz="0" w:space="0" w:color="auto"/>
        <w:right w:val="none" w:sz="0" w:space="0" w:color="auto"/>
      </w:divBdr>
    </w:div>
    <w:div w:id="175744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AkZMh5sAV5j9hKEkM96tiVq3g==">CgMxLjAyCGguZ2pkZ3hzOAByITE2NklLOE9XSy05ZHRNN1Brdjl5TEZQR3VLQkdualVRdw==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6558EC-8B04-468E-975E-2FE45920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7096</Words>
  <Characters>41647</Characters>
  <Application>Microsoft Office Word</Application>
  <DocSecurity>0</DocSecurity>
  <Lines>1011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Yiadom, Michael (Dr) (Second Avenue Campus)</dc:creator>
  <cp:lastModifiedBy>Umair Muneer Butt</cp:lastModifiedBy>
  <cp:revision>6</cp:revision>
  <cp:lastPrinted>2024-04-18T13:49:00Z</cp:lastPrinted>
  <dcterms:created xsi:type="dcterms:W3CDTF">2024-04-15T16:23:00Z</dcterms:created>
  <dcterms:modified xsi:type="dcterms:W3CDTF">2024-04-18T13:52:00Z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2022-07-24T00:00:00Z</vt:filetime>
  </property>
  <property fmtid="{D5CDD505-2E9C-101B-9397-08002B2CF9AE}" pid="3" name="Creator">
    <vt:lpwstr>Microsoft® Office Word 2007</vt:lpwstr>
  </property>
  <property fmtid="{D5CDD505-2E9C-101B-9397-08002B2CF9AE}" pid="4" name="LastSaved">
    <vt:filetime>2022-12-19T00:00:00Z</vt:filetime>
  </property>
  <property fmtid="{D5CDD505-2E9C-101B-9397-08002B2CF9AE}" pid="5" name="GrammarlyDocumentId">
    <vt:lpwstr>3a61e88b587c1d1014052db784ae699f2de513221e1a531836bbe79b0fa29eca</vt:lpwstr>
  </property>
</Properties>
</file>